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D1EA47" w14:textId="77777777" w:rsidR="008C10B0" w:rsidRDefault="008C10B0" w:rsidP="008C10B0">
      <w:pPr>
        <w:pStyle w:val="Texto"/>
        <w:tabs>
          <w:tab w:val="left" w:pos="284"/>
        </w:tabs>
        <w:spacing w:after="0" w:line="276" w:lineRule="auto"/>
        <w:ind w:left="284" w:firstLine="0"/>
        <w:jc w:val="center"/>
        <w:rPr>
          <w:b/>
          <w:szCs w:val="18"/>
          <w:lang w:val="es-MX"/>
        </w:rPr>
      </w:pPr>
    </w:p>
    <w:p w14:paraId="74158639" w14:textId="77777777" w:rsidR="008C10B0" w:rsidRPr="0073056A" w:rsidRDefault="008C10B0" w:rsidP="008C10B0">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14:paraId="78CB3024" w14:textId="77777777" w:rsidR="008C10B0" w:rsidRDefault="008C10B0" w:rsidP="008C10B0">
      <w:pPr>
        <w:pStyle w:val="Texto"/>
        <w:tabs>
          <w:tab w:val="left" w:pos="284"/>
        </w:tabs>
        <w:spacing w:after="0" w:line="276" w:lineRule="auto"/>
        <w:ind w:left="284" w:firstLine="0"/>
        <w:rPr>
          <w:b/>
          <w:szCs w:val="18"/>
          <w:lang w:val="es-MX"/>
        </w:rPr>
      </w:pPr>
    </w:p>
    <w:p w14:paraId="2602C399" w14:textId="77777777" w:rsidR="008C10B0" w:rsidRPr="0073056A" w:rsidRDefault="008C10B0" w:rsidP="008C10B0">
      <w:pPr>
        <w:pStyle w:val="Texto"/>
        <w:tabs>
          <w:tab w:val="left" w:pos="284"/>
        </w:tabs>
        <w:spacing w:after="0" w:line="276" w:lineRule="auto"/>
        <w:ind w:left="284" w:firstLine="0"/>
        <w:rPr>
          <w:b/>
          <w:szCs w:val="18"/>
        </w:rPr>
      </w:pPr>
      <w:r w:rsidRPr="0073056A">
        <w:rPr>
          <w:b/>
          <w:szCs w:val="18"/>
          <w:lang w:val="es-MX"/>
        </w:rPr>
        <w:t>Introducción</w:t>
      </w:r>
    </w:p>
    <w:p w14:paraId="53169B6C" w14:textId="77777777" w:rsidR="008C10B0" w:rsidRPr="0073056A" w:rsidRDefault="008C10B0" w:rsidP="008C10B0">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14:paraId="25556C15" w14:textId="77777777" w:rsidR="008C10B0" w:rsidRPr="0073056A" w:rsidRDefault="008C10B0" w:rsidP="008C10B0">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14:paraId="5920200B" w14:textId="77777777" w:rsidR="008C10B0" w:rsidRDefault="008C10B0" w:rsidP="008C10B0">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14:paraId="407A2B99" w14:textId="77777777" w:rsidR="008C10B0" w:rsidRDefault="008C10B0" w:rsidP="008C10B0">
      <w:pPr>
        <w:pStyle w:val="Texto"/>
        <w:numPr>
          <w:ilvl w:val="0"/>
          <w:numId w:val="5"/>
        </w:numPr>
        <w:tabs>
          <w:tab w:val="left" w:pos="284"/>
        </w:tabs>
        <w:spacing w:after="0" w:line="276" w:lineRule="auto"/>
        <w:rPr>
          <w:b/>
          <w:szCs w:val="18"/>
          <w:lang w:val="es-MX"/>
        </w:rPr>
      </w:pPr>
      <w:r>
        <w:rPr>
          <w:b/>
          <w:szCs w:val="18"/>
          <w:lang w:val="es-MX"/>
        </w:rPr>
        <w:t>Autorización e Historia</w:t>
      </w:r>
    </w:p>
    <w:p w14:paraId="29E7721D"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 xml:space="preserve">El Estado de Tlaxcala es una de las </w:t>
      </w:r>
      <w:r w:rsidRPr="00E4317F">
        <w:rPr>
          <w:rFonts w:ascii="Arial" w:hAnsi="Arial" w:cs="Arial"/>
          <w:sz w:val="18"/>
          <w:szCs w:val="18"/>
        </w:rPr>
        <w:t>32 Entidades Federativas</w:t>
      </w:r>
      <w:r>
        <w:rPr>
          <w:rFonts w:ascii="Arial" w:hAnsi="Arial" w:cs="Arial"/>
          <w:sz w:val="18"/>
          <w:szCs w:val="18"/>
        </w:rPr>
        <w:t xml:space="preserve"> de </w:t>
      </w:r>
      <w:r w:rsidRPr="00E4317F">
        <w:rPr>
          <w:rFonts w:ascii="Arial" w:hAnsi="Arial" w:cs="Arial"/>
          <w:sz w:val="18"/>
          <w:szCs w:val="18"/>
        </w:rPr>
        <w:t>México</w:t>
      </w:r>
      <w:r>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14:paraId="2F117ABC"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14:paraId="4C9E3A9D"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r w:rsidRPr="00E4317F">
        <w:rPr>
          <w:rFonts w:ascii="Arial" w:hAnsi="Arial" w:cs="Arial"/>
          <w:sz w:val="18"/>
          <w:szCs w:val="18"/>
        </w:rPr>
        <w:t>Nueva España</w:t>
      </w:r>
      <w:r>
        <w:rPr>
          <w:rFonts w:ascii="Arial" w:hAnsi="Arial" w:cs="Arial"/>
          <w:sz w:val="18"/>
          <w:szCs w:val="18"/>
        </w:rPr>
        <w:t xml:space="preserve"> </w:t>
      </w:r>
      <w:r w:rsidRPr="00E4317F">
        <w:rPr>
          <w:rFonts w:ascii="Arial" w:hAnsi="Arial" w:cs="Arial"/>
          <w:sz w:val="18"/>
          <w:szCs w:val="18"/>
        </w:rPr>
        <w:t>Antonio de Mendoza</w:t>
      </w:r>
      <w:r>
        <w:rPr>
          <w:rFonts w:ascii="Arial" w:hAnsi="Arial" w:cs="Arial"/>
          <w:sz w:val="18"/>
          <w:szCs w:val="18"/>
        </w:rPr>
        <w:t>. La ciudad de Tlaxcala fue fundada en la primavera de 1522.</w:t>
      </w:r>
    </w:p>
    <w:p w14:paraId="6D3B7B57"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En el año de 1535 Tlaxcala se convierte en la primera ciudad acreedora del escudo de armas por el rey Felipe II junto con el título de “Muy noble y muy leal ciudad de Tlaxcala”.</w:t>
      </w:r>
    </w:p>
    <w:p w14:paraId="1DF79E6F"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El Estado de Tlaxcala es parte integrante de los Estados Unidos Mexicanos, es Libre y Soberano en lo concerniente a su régimen interior, para su organización política y administrativa se divide en 60 municipios, 8 Distritos Judiciales y 794 poblaciones.</w:t>
      </w:r>
    </w:p>
    <w:p w14:paraId="3F85DC78"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 xml:space="preserve">El estado se localiza en la parte centro-oriente del país. Limita en su mayor parte con </w:t>
      </w:r>
      <w:r w:rsidRPr="00E4317F">
        <w:rPr>
          <w:rFonts w:ascii="Arial" w:hAnsi="Arial" w:cs="Arial"/>
          <w:sz w:val="18"/>
          <w:szCs w:val="18"/>
        </w:rPr>
        <w:t>Puebla</w:t>
      </w:r>
      <w:r>
        <w:rPr>
          <w:rFonts w:ascii="Arial" w:hAnsi="Arial" w:cs="Arial"/>
          <w:sz w:val="18"/>
          <w:szCs w:val="18"/>
        </w:rPr>
        <w:t xml:space="preserve"> al norte, este y sur, al oeste con el </w:t>
      </w:r>
      <w:r w:rsidRPr="00E4317F">
        <w:rPr>
          <w:rFonts w:ascii="Arial" w:hAnsi="Arial" w:cs="Arial"/>
          <w:sz w:val="18"/>
          <w:szCs w:val="18"/>
        </w:rPr>
        <w:t>Estado de México</w:t>
      </w:r>
      <w:r>
        <w:rPr>
          <w:rFonts w:ascii="Arial" w:hAnsi="Arial" w:cs="Arial"/>
          <w:sz w:val="18"/>
          <w:szCs w:val="18"/>
        </w:rPr>
        <w:t xml:space="preserve"> y al noroeste con </w:t>
      </w:r>
      <w:r w:rsidRPr="00E4317F">
        <w:rPr>
          <w:rFonts w:ascii="Arial" w:hAnsi="Arial" w:cs="Arial"/>
          <w:sz w:val="18"/>
          <w:szCs w:val="18"/>
        </w:rPr>
        <w:t>Hidalgo</w:t>
      </w:r>
      <w:r>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14:paraId="0D67C0C3" w14:textId="663DFB4B" w:rsidR="008C10B0" w:rsidRDefault="008C10B0" w:rsidP="008C10B0">
      <w:pPr>
        <w:tabs>
          <w:tab w:val="left" w:pos="284"/>
        </w:tabs>
        <w:ind w:left="284"/>
        <w:jc w:val="both"/>
        <w:rPr>
          <w:rFonts w:ascii="Arial" w:hAnsi="Arial" w:cs="Arial"/>
          <w:sz w:val="18"/>
          <w:szCs w:val="18"/>
        </w:rPr>
      </w:pPr>
      <w:r>
        <w:rPr>
          <w:rFonts w:ascii="Arial" w:hAnsi="Arial" w:cs="Arial"/>
          <w:sz w:val="18"/>
          <w:szCs w:val="18"/>
        </w:rPr>
        <w:t>El Estado de Tlaxcala, cuenta con una superficie de 3,991 kilómetros cuadrados, lo cual representa el 0,2 % del territorio nacional.</w:t>
      </w:r>
    </w:p>
    <w:p w14:paraId="4905EA49" w14:textId="77777777" w:rsidR="00A11793" w:rsidRDefault="00A11793" w:rsidP="008C10B0">
      <w:pPr>
        <w:tabs>
          <w:tab w:val="left" w:pos="284"/>
        </w:tabs>
        <w:ind w:left="284"/>
        <w:jc w:val="both"/>
        <w:rPr>
          <w:rFonts w:ascii="Arial" w:hAnsi="Arial" w:cs="Arial"/>
          <w:sz w:val="18"/>
          <w:szCs w:val="18"/>
        </w:rPr>
      </w:pPr>
    </w:p>
    <w:p w14:paraId="605AB229" w14:textId="77777777" w:rsidR="008C10B0" w:rsidRPr="0073056A" w:rsidRDefault="008C10B0" w:rsidP="008C10B0">
      <w:pPr>
        <w:pStyle w:val="Texto"/>
        <w:tabs>
          <w:tab w:val="left" w:pos="284"/>
        </w:tabs>
        <w:spacing w:after="0" w:line="276" w:lineRule="auto"/>
        <w:ind w:left="284" w:firstLine="0"/>
        <w:rPr>
          <w:b/>
          <w:szCs w:val="18"/>
          <w:lang w:val="es-MX"/>
        </w:rPr>
      </w:pPr>
      <w:r>
        <w:rPr>
          <w:b/>
          <w:szCs w:val="18"/>
          <w:lang w:val="es-MX"/>
        </w:rPr>
        <w:lastRenderedPageBreak/>
        <w:t xml:space="preserve">2. </w:t>
      </w:r>
      <w:r w:rsidRPr="0073056A">
        <w:rPr>
          <w:b/>
          <w:szCs w:val="18"/>
          <w:lang w:val="es-MX"/>
        </w:rPr>
        <w:t>Panorama Económico y Financiero</w:t>
      </w:r>
    </w:p>
    <w:p w14:paraId="1271A703" w14:textId="77777777" w:rsidR="008C10B0" w:rsidRPr="00A74179" w:rsidRDefault="008C10B0" w:rsidP="008C10B0">
      <w:pPr>
        <w:tabs>
          <w:tab w:val="left" w:pos="284"/>
        </w:tabs>
        <w:ind w:left="284"/>
        <w:jc w:val="both"/>
        <w:rPr>
          <w:rFonts w:ascii="Arial" w:hAnsi="Arial" w:cs="Arial"/>
          <w:sz w:val="18"/>
          <w:szCs w:val="18"/>
        </w:rPr>
      </w:pPr>
      <w:r w:rsidRPr="00A74179">
        <w:rPr>
          <w:rFonts w:ascii="Arial" w:hAnsi="Arial" w:cs="Arial"/>
          <w:sz w:val="18"/>
          <w:szCs w:val="18"/>
        </w:rPr>
        <w:t>Estamos comprometidos a llevar al Estado de Tlaxcala a una transición hacia un nuevo régimen, en el que se incluirán cambios paulatinos en el andamiaje institucional, así como diversas acciones de gobierno, en donde el ejercicio del poder ciudadano sea parte fundamental del actuar gubernamental. La crisis que vive nuestro país no se puede afrontar sin cortar de tajo la corrupción e impunidad, la cual estuvo tolerada por funcionarios públicos que sacaron ventaja en la aplicación de los recursos públicos, por lo que refrendamos la lucha frontal contra la corrupción en la que México y nuestro Estado se ha desarrollado. El Estado debe ser y será un factor fundamental para incidir en la orientación económica y social de la sociedad tlaxcalteca, sin la intervención de entes ajenos que afecten al Gobierno y al propio Estado.</w:t>
      </w:r>
    </w:p>
    <w:p w14:paraId="2D20E8F2" w14:textId="77777777" w:rsidR="008C10B0" w:rsidRPr="00A74179" w:rsidRDefault="008C10B0" w:rsidP="008C10B0">
      <w:pPr>
        <w:tabs>
          <w:tab w:val="left" w:pos="284"/>
        </w:tabs>
        <w:ind w:left="284"/>
        <w:jc w:val="both"/>
        <w:rPr>
          <w:rFonts w:ascii="Arial" w:hAnsi="Arial" w:cs="Arial"/>
          <w:sz w:val="18"/>
          <w:szCs w:val="18"/>
        </w:rPr>
      </w:pPr>
      <w:r w:rsidRPr="00A74179">
        <w:rPr>
          <w:rFonts w:ascii="Arial" w:hAnsi="Arial" w:cs="Arial"/>
          <w:sz w:val="18"/>
          <w:szCs w:val="18"/>
        </w:rPr>
        <w:t>El evitar duplicidad de funciones y reducir remuneraciones excesivas en la administración pública, son parte de la Austeridad Republicana que habremos de aplicar; sin embargo, el problema no termina con los altos sueldos, ni con las canonjías que van más allá de los salarios; pues buscaremos el generar ahorros en prestaciones para altos mandos; reducir el gasto en comunicación social y publicidad del Gobierno; hacer eficiente el gasto en viáticos y pasajes; canalizar el gasto a programas integrales de bienestar social; reducir gastos administrativos excesivos en materiales de oficina, impresiones y combustibles y ante todo priorizaremos siempre la seguridad social y el trabajo que son elementos esenciales en la realidad de los ciudadanos.</w:t>
      </w:r>
    </w:p>
    <w:p w14:paraId="629550FF" w14:textId="77777777" w:rsidR="008C10B0" w:rsidRPr="00A74179" w:rsidRDefault="008C10B0" w:rsidP="008C10B0">
      <w:pPr>
        <w:tabs>
          <w:tab w:val="left" w:pos="284"/>
        </w:tabs>
        <w:ind w:left="284"/>
        <w:jc w:val="both"/>
        <w:rPr>
          <w:rFonts w:ascii="Arial" w:hAnsi="Arial" w:cs="Arial"/>
          <w:sz w:val="18"/>
          <w:szCs w:val="18"/>
        </w:rPr>
      </w:pPr>
      <w:r w:rsidRPr="00A74179">
        <w:rPr>
          <w:rFonts w:ascii="Arial" w:hAnsi="Arial" w:cs="Arial"/>
          <w:sz w:val="18"/>
          <w:szCs w:val="18"/>
        </w:rPr>
        <w:t>En esta nueva etapa de la Cuarta Transformación de la Vida Pública, el Estado no será gestor de oportunidades sino será garante de los derechos universales de las personas, siendo el Gobierno del Estado impulsor del desarrollo para el bienestar, considerando los impactos que tendrán las políticas y programas que se implementen en el tejido social, en el entorno y en los horizontes de corto y largo plazo, siguiendo la idea de que el desarrollo subsane las injusticias sociales e impulse el crecimiento económico sin provocar afectaciones a la convivencia de los ciudadanos.</w:t>
      </w:r>
    </w:p>
    <w:p w14:paraId="4C1CA0E8"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La economía global comenzó el primer trimestre de 2025 con un aumento en la incertidumbre comercial y una moderación del crecimiento. Los cambios en la política arancelaria por parte de Estados Unidos (EE.UU.) y las respuestas de otros países, así como las tensiones geopolíticas, afectaron negativamente la confianza de empresas y hogares, lo que a su vez moderó el crecimiento del consumo y la inversión. Durante el primer trimestre del año, la actividad económica en EE.UU. disminuyó a una tasa de 0.1% con respecto al trimestre previo, en gran medida por la contribución negativa de las exportaciones netas y el aumento de inventarios asociados a importaciones anticipadas ante el temor del aumento en las tarifas arancelarias. </w:t>
      </w:r>
    </w:p>
    <w:p w14:paraId="51295FE8"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En la zona euro, la economía mantuvo un bajo desempeño asociado a la debilidad de su producción industrial que continuó desde el año pasado. Mientras tanto, la economía de China perdió impulso ante la debilidad del mercado interno y del sector inmobiliario, desempeño parcialmente compensado por el apoyo de la política fiscal. Las presiones inflacionarias se moderaron a nivel global, aunque el ritmo de desinflación se ha ralentizado. En EE.UU., la inflación de servicios continuó elevada, no obstante, mantuvo una trayectoria descendente, mientras que los precios de las mercancías comenzaron a contribuir nuevamente a la inflación, si bien desde una base alta de 2024. </w:t>
      </w:r>
    </w:p>
    <w:p w14:paraId="35140102"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Sin embargo, los anuncios de nuevos aranceles presionaron al alza las expectativas de inflación de los hogares en el corto plazo, aunque las de largo plazo se mantuvieron relativamente ancladas en torno a su promedio histórico. Por su parte, los precios internacionales de materias primas contribuyeron a la reducción de la inflación, en especial las cotizaciones del petróleo, reflejo de una menor demanda global y un aumento en la oferta de la Organización de Países Exportadores de Petróleo y aliados (OPEP+). En este contexto, la mayoría de los bancos centrales de las principales economías mantuvo su relajamiento monetario en el primer trimestre de 2025, aunque con cautela y a la espera de mejores datos luego del aumento en la incertidumbre y sus posibles repercusiones económicas. </w:t>
      </w:r>
    </w:p>
    <w:p w14:paraId="10530221"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En EE.UU. la Reserva Federal (FED) anunció una pausa en su ciclo de recortes, manteniendo la tasa de fondos federales en un rango de 4.25-4.50% y a la espera de mayor claridad para sus decisiones. En cambio, el Banco Central Europeo (BCE) redujo sus tres tasas de interés oficiales ante un moderado crecimiento económico. Mientras tanto, el Banco Popular de China (BPC) mantuvo sus tasas de interés de referencia sin cambios con el fin de incentivar su mercado interno.</w:t>
      </w:r>
    </w:p>
    <w:p w14:paraId="29DC852D"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Durante el primer trimestre, las condiciones financieras se endurecieron ante los episodios de aversión al riesgo y los altos niveles de volatilidad en los precios de los activos, principalmente a causa de las nuevas políticas comerciales y las tensiones geopolíticas. En EE.UU., se observaron caídas en los índices bursátiles y en el dólar, </w:t>
      </w:r>
      <w:r w:rsidRPr="00A444DB">
        <w:rPr>
          <w:rFonts w:ascii="Arial" w:hAnsi="Arial" w:cs="Arial"/>
          <w:sz w:val="18"/>
          <w:szCs w:val="18"/>
        </w:rPr>
        <w:lastRenderedPageBreak/>
        <w:t xml:space="preserve">además de incrementos en los rendimientos de los bonos gubernamentales a mediano y largo plazo. No obstante, los índices bursátiles de las economías emergentes mostraron una mayor resiliencia, aunque el </w:t>
      </w:r>
      <w:proofErr w:type="spellStart"/>
      <w:r w:rsidRPr="00A444DB">
        <w:rPr>
          <w:rFonts w:ascii="Arial" w:hAnsi="Arial" w:cs="Arial"/>
          <w:sz w:val="18"/>
          <w:szCs w:val="18"/>
        </w:rPr>
        <w:t>riesgopaís</w:t>
      </w:r>
      <w:proofErr w:type="spellEnd"/>
      <w:r w:rsidRPr="00A444DB">
        <w:rPr>
          <w:rFonts w:ascii="Arial" w:hAnsi="Arial" w:cs="Arial"/>
          <w:sz w:val="18"/>
          <w:szCs w:val="18"/>
        </w:rPr>
        <w:t xml:space="preserve"> de las economías aumentó de forma generalizada y varias monedas registraron un aumento en la volatilidad y depreciaciones. </w:t>
      </w:r>
    </w:p>
    <w:p w14:paraId="0BEDD542"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La economía mexicana no fue ajena a los efectos provocados por las tensiones comerciales y otros factores adversos del entorno global. En este sentido, durante el primer trimestre de 2025, se observaron algunos signos de desaceleración, mismos que fueron parcialmente compensados por la fortaleza del mercado doméstico y la participación estratégica de nuestro país en las cadenas globales de valor. Lo anterior, en un entorno de baja inflación, bajo desempleo y creación de puestos de trabajo. </w:t>
      </w:r>
    </w:p>
    <w:p w14:paraId="2E6F0CA5"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De acuerdo con la estimación oportuna publicada por el Instituto Nacional de Estadística y Geografía (INEGI), en el primer trimestre de 2025 el Producto Interno Bruto (PIB) registró un crecimiento trimestral de 0.2%, con cifras ajustadas por estacionalidad. Este desempeño se explicó principalmente por la contracción de 0.3% de las actividades industriales, que fueron las más afectadas por la incertidumbre comercial. El sector servicios, por su parte, se mantuvo sin cambios respecto al trimestre previo. Finalmente, las actividades primarias repuntaron 8.1%, recuperando lo perdido en el trimestre anterior y favorecidas por condiciones de sequía menos severas a las observadas durante la mayor parte de 2023 y 2024. </w:t>
      </w:r>
    </w:p>
    <w:p w14:paraId="714236BB"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En materia de empleo, entre enero y marzo se observó una moderación en el ritmo de creación de plazas de trabajo, relacionada con el menor dinamismo de la actividad económica y el efecto de una alta base de comparación en 2024. A pesar de ello, se crearon en el primer trimestre 176 mil nuevos puestos de trabajo respecto al año anterior ante el Instituto Mexicano del Seguro Social (IMSS), principalmente en el sector servicios, mientras que la tasa de desocupación se mantuvo baja en un nivel de 2.6%, con cifras ajustadas por estacionalidad, acumulando 29 meses consecutivos por debajo del 3.0%. Además, los salarios registrados ante el IMSS crecieron 3.7% real anual. </w:t>
      </w:r>
    </w:p>
    <w:p w14:paraId="25E904CC"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La inflación general continuó con su tendencia a la baja durante el primer trimestre de 2025, alcanzando un nivel promedio de 3.7% anual. Al interior, el componente subyacente se ubicó en 3.6%, inferior a lo observado en el periodo previo, beneficiado por la desaceleración de los precios de los servicios y las mercancías. En el caso del componente no subyacente, éste se ubicó en 3.9%, lo cual representó una reducción de 3.2 puntos porcentuales (</w:t>
      </w:r>
      <w:proofErr w:type="spellStart"/>
      <w:r w:rsidRPr="00A444DB">
        <w:rPr>
          <w:rFonts w:ascii="Arial" w:hAnsi="Arial" w:cs="Arial"/>
          <w:sz w:val="18"/>
          <w:szCs w:val="18"/>
        </w:rPr>
        <w:t>pp</w:t>
      </w:r>
      <w:proofErr w:type="spellEnd"/>
      <w:r w:rsidRPr="00A444DB">
        <w:rPr>
          <w:rFonts w:ascii="Arial" w:hAnsi="Arial" w:cs="Arial"/>
          <w:sz w:val="18"/>
          <w:szCs w:val="18"/>
        </w:rPr>
        <w:t>) respecto al promedio del trimestre pasado que obedeció a disminuciones en los precios de frutas y verduras, así como a una menor inflación de los energéticos, particularmente gasolinas, en el marco del acuerdo nacional para mantener el precio de la gasolina regular por debajo de 24 pesos por litro.</w:t>
      </w:r>
    </w:p>
    <w:p w14:paraId="2E26DF7C"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Respecto al sector externo, durante el primer trimestre de 2025, el valor de las exportaciones creció 0.8%, impulsado por la competitividad del tipo de cambio y el dinamismo de las exportaciones no automotrices, lo que compensó la desaceleración de la industria automotriz estadounidense y los efectos de la incertidumbre comercial. Por su parte, las importaciones disminuyeron 1.5% trimestral. Otro resultado relevante sobre la relación de México con el exterior fue el aumento de 15.0% anual en la llegada de viajeros internacionales durante enero-febrero, lo que contribuyó a que los ingresos por turismo aumentaran en 282 millones de dólares respecto al primer bimestre de 2024. </w:t>
      </w:r>
    </w:p>
    <w:p w14:paraId="6DBFFE09"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Sobre las remesas, el flujo observado durante el primer bimestre de 2025 fue 0.6% superior a lo observado en el mismo periodo de 2024. A pesar de los cambios en el panorama internacional, la Inversión Extranjera Directa (IED) continuó en máximos históricos. Con cifras preliminares, al cierre de 2024, este indicador acumuló 37 mil millones de dólares, de los cuales 10 mil millones fueron destinados a la industria de equipo de transporte, el monto más alto desde que se tiene registro. Estos niveles de inversión reflejaron la confianza en el entorno económico del país y las oportunidades de crecimiento hacia el futuro. </w:t>
      </w:r>
    </w:p>
    <w:p w14:paraId="78F8A2EE"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Finalmente, destacó que el sistema financiero mexicano se mantuvo sólido durante el primer trimestre de 2025, a pesar de los distintos episodios de volatilidad y aversión al riesgo observados en el panorama internacional. El tipo de cambio alcanzó un nivel de 20.44 pesos por dólar al cierre de marzo, el cual significó una apreciación de 1.7% respecto al cierre del trimestre anterior. Esto último fue consistente con el desempeño de divisas como el real brasileño, el peso colombiano o el peso chileno. </w:t>
      </w:r>
    </w:p>
    <w:p w14:paraId="1D5D0575"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En el caso del riesgo país en México, éste se incrementó durante el periodo, si bien el aumento sólo representó una cuarta parte del aumento promedio de 32 puntos base (pb) observado en el resto de las economías </w:t>
      </w:r>
      <w:r w:rsidRPr="00A444DB">
        <w:rPr>
          <w:rFonts w:ascii="Arial" w:hAnsi="Arial" w:cs="Arial"/>
          <w:sz w:val="18"/>
          <w:szCs w:val="18"/>
        </w:rPr>
        <w:lastRenderedPageBreak/>
        <w:t xml:space="preserve">emergentes. En materia de financiamiento, el crédito vigente al sector privado no financiero aumentó 1.4% real entre diciembre de 2024 y febrero de 2025, con incrementos en los rubros de consumo y vivienda de 1.5 y 0.4% real, respectivamente. La banca comercial, por su parte, alcanzó un Índice de Capitalización (ICAP) de 19.93% en febrero, superior al estándar mínimo de regulación internacional de 10.5%. </w:t>
      </w:r>
    </w:p>
    <w:p w14:paraId="6850835A"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Por último, el Índice de Morosidad (IMOR) observado a febrero se ubicó en 2.03%, mientras que el Índice de Morosidad Ajustada (IMORA) ascendió a 4.15%, ambos muy por debajo de los valores observados en periodos de estrés financiero como la Gran Recesión de 2009 (3.5% IMOR y 8.2% IMORA) o la pandemia de COVID-19 en 2020 (2.3% IMOR y 4.7% IMORA).</w:t>
      </w:r>
    </w:p>
    <w:p w14:paraId="75BFC043"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A pesar de la incertidumbre y moderación en la actividad económica observadas en el primer trimestre de 2025, las finanzas públicas se mantuvieron sanas y en línea con el cumplimiento de las metas fiscales del año en curso. Con datos acumulados a marzo, los principales balances fiscales mostraron un mejor desempeño respecto a lo programado, garantizando que la deuda pública permanezca bajo control y en una trayectoria sostenible. De este modo, el Gobierno de México reafirma su compromiso con el proceso de normalización planteado desde el Paquete Económico, mismo que brinda certidumbre sobre el rumbo de la política fiscal hacia el mediano plazo. </w:t>
      </w:r>
    </w:p>
    <w:p w14:paraId="1E5635C5"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Los ingresos presupuestarios se incrementaron en 11.0% real anual en el primer trimestre de 2025. En su interior, la recaudación tributaria del Gobierno Federal presentó un aumento de 17.8% real respecto a lo observado entre enero y marzo de 2024, el más alto desde 2015 para un primer trimestre. Este resultado se dio en un contexto de resultados extraordinarios, así como por los efectos de diversas medidas para fomentar el cumplimiento de los contribuyentes y combatir las prácticas de evasión fiscal, aunado a los esfuerzos para promover una mayor digitalización en los servicios públicos. </w:t>
      </w:r>
    </w:p>
    <w:p w14:paraId="3F91EAD5"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Dentro de la recaudación, los ingresos por concepto del Impuesto sobre la Renta (ISR) registraron un crecimiento real anual de 21.3% en el acumulado a marzo, muy superior al promedio de 3.9% observado en los cinco años previos; lo cual se explicó por la influencia positiva del mercado laboral, en particular los mayores salarios reales, aunado a un efecto de calendarización relacionado con el último día hábil para el pago definitivo por parte de las personas morales. </w:t>
      </w:r>
    </w:p>
    <w:p w14:paraId="5BEAC591"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En el caso del Impuesto al Valor Agregado (IVA), lo recaudado en el primer trimestre de este año fue superior en 20.9% real al nivel observado en el mismo periodo de 2024, la tasa más alta desde que se tiene registro, derivado de las medidas para la retención del IVA para las plataformas electrónicas, el cobro al ingreso de minimis y el efecto de la depreciación del tipo de cambio sobre el registro en moneda nacional de los bienes de importación que deben pagar ese impuesto. </w:t>
      </w:r>
    </w:p>
    <w:p w14:paraId="16FA3640"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Por su parte, la recaudación del Impuesto Especial sobre Producción y Servicios (IEPS) disminuyó en 6.0% real anual al cierre del periodo enero-marzo. Lo anterior se explicó por reducciones anuales de 9.0% del componente de combustibles y de 1.8% del rubro que captura la carga tributaria asociada al consumo de tabaco, alcohol y ciertos alimentos calóricos, entre otros. En cuanto a los ingresos petroleros del Sector Público, en el acumulado a marzo se observó una reducción de 13.8% real anual que obedeció mayoritariamente a una disminución en la producción de hidrocarburos, misma que fue compensada parcialmente por un mayor tipo de cambio promedio al observado en el mismo periodo de 2024. Este último factor podría mejorar el desempeño de este rubro de los ingresos en los próximos meses, junto con un mayor precio del gas natural en la comparación anual.</w:t>
      </w:r>
    </w:p>
    <w:p w14:paraId="5255F94C"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Finalmente, en el primer trimestre de 2025, los ingresos de organismos y empresas distintas de Petróleos Mexicanos (Pemex) registraron un incremento anual de 0.9% real. En su interior, los ingresos propios del IMSS aumentaron en 1.2% anual, en el contexto de los mayores niveles de empleo y del salario promedio, mientras que aquellos de la Comisión Federal de Electricidad (CFE) crecieron 1.1% en el mismo periodo de comparación, impulsados por la solidez de las ventas internas. </w:t>
      </w:r>
    </w:p>
    <w:p w14:paraId="73ED7950"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En cambio, los ingresos propios del Instituto de Seguridad y Servicios Sociales de los Trabajadores del Estado (ISSSTE) disminuyeron 4.9% anual, si bien superaron lo previsto para el trimestre en 2.1%. Respecto al gasto público, la evolución observada en el acumulado a marzo reflejó los esfuerzos para alcanzar una convergencia fiscal al cierre de 2025 sin descuidar la asignación de recursos a aquellos programas presupuestarios con impacto directo en el bienestar de la población y la inversión para el desarrollo económico. En este tenor, destacó que el gasto de operación distinto de servicios personales se redujo en 4.4% real anual, en el marco de las acciones para promover una mayor eficiencia en las labores gubernamentales. </w:t>
      </w:r>
    </w:p>
    <w:p w14:paraId="47458F3E"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lastRenderedPageBreak/>
        <w:t xml:space="preserve">En el caso de la inversión en infraestructura, ésta se redujo en 12.3% real respecto a lo observado en el primer trimestre de 2024, lo cual se explicó por una alta base de comparación ante la culminación de diversos proyectos prioritarios de la administración anterior. Es importante destacar que los recursos asignados han abonado a la conformación de los Polos de Desarrollo para el Bienestar en su objetivo de captar inversión extranjera y fortalecer las condiciones de crecimiento de la economía. Si bien durante el periodo se observó un incremento anual de 11.7% del costo financiero, derivado de la persistencia de condiciones financieras restrictivas y del efecto de la depreciación del tipo de cambio sobre la valuación de pasivos denominados en moneda extranjera, el pago de intereses fue 10.6% inferior a lo previsto en el programa para el periodo enero-marzo. </w:t>
      </w:r>
    </w:p>
    <w:p w14:paraId="3A6F3653"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Lo anterior, como resultado de una gestión estratégica del portafolio de pasivos. Considerando la información descrita anteriormente, el balance presupuestario alcanzó un déficit de 121 mil millones de pesos al cierre de marzo, 115 mil millones de pesos por debajo de lo previsto en el programa. En el caso del balance primario presupuestario, se observó un superávit de 182 mil millones de pesos, el cual se compara favorablemente con el valor proyectado de 103 mil millones de pesos. Como consecuencia, los Requerimientos Financieros del Sector Público (RFSP) alcanzaron un nivel de 159 mil millones de pesos, en línea con los criterios de sostenibilidad fiscal planteados desde el Paquete Económico 2025.</w:t>
      </w:r>
    </w:p>
    <w:p w14:paraId="775FAFDC"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En el primer trimestre de 2025, la política de deuda se enfocó en cubrir las necesidades de financiamiento buscando en todo momento minimizar costos y riesgos. Ante retos como la persistencia de posturas monetarias restrictivas, tanto a nivel nacional como en el extranjero, tensiones geopolíticas y volatilidad del tipo de cambio, se priorizó el financiamiento en el mercado local a tasa fija y largo plazo, así como el diseño de acciones para mejorar el perfil de vencimientos del portafolio de deuda. Lo anterior, permitió mantener un portafolio de deuda flexible y contribuir a la estabilidad de la trayectoria de la deuda como proporción del PIB.</w:t>
      </w:r>
    </w:p>
    <w:p w14:paraId="3CDC9CE4"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Al primer trimestre de 2025, la deuda pública, medida por el Saldo Histórico de los Requerimientos Financieros del Sector Público (SHRFSP) se ubicó en 17 billones 662 mil millones de pesos, equivalente al 49.2% del PIB. Al interior, el componente interno ascendió a 13 billones 7 mil millones de pesos (73.7% del total), mientras que el externo registró un nivel de 229 mil millones de dólares (26.3% del total). </w:t>
      </w:r>
    </w:p>
    <w:p w14:paraId="7FE81C4D"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En lo que respecta a la estrategia de manejo de pasivos, en el primer trimestre se refinanciaron 367 mil millones de pesos en el mercado interno, mediante un proceso de vencimiento anticipado que no implicó la emisión de un nuevo financiamiento. Estas acciones disminuyeron las necesidades de liquidez de corto plazo y beneficiaron al perfil de vencimientos. Asimismo, se llevaron a cabo tres colocaciones sindicadas en el mercado interno por un monto total de 52 mil millones de pesos: una colocación de Bonos M por 16 mil millones de pesos, una colocación de Bondes G por 28 mil millones de pesos y una colocación de </w:t>
      </w:r>
      <w:proofErr w:type="spellStart"/>
      <w:r w:rsidRPr="00A444DB">
        <w:rPr>
          <w:rFonts w:ascii="Arial" w:hAnsi="Arial" w:cs="Arial"/>
          <w:sz w:val="18"/>
          <w:szCs w:val="18"/>
        </w:rPr>
        <w:t>Udibonos</w:t>
      </w:r>
      <w:proofErr w:type="spellEnd"/>
      <w:r w:rsidRPr="00A444DB">
        <w:rPr>
          <w:rFonts w:ascii="Arial" w:hAnsi="Arial" w:cs="Arial"/>
          <w:sz w:val="18"/>
          <w:szCs w:val="18"/>
        </w:rPr>
        <w:t xml:space="preserve"> por un equivalente a 8 mil millones de pesos. </w:t>
      </w:r>
    </w:p>
    <w:p w14:paraId="4574ED52"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De igual manera, se realizaron dos operaciones en los mercados internacionales por un equivalente a 11 mil millones de dólares, con las que se aprovecharon las condiciones favorables de liquidez de inicio de año y se continuó con el desarrollo de la curva de rendimientos en los mercados de dólares y euros.</w:t>
      </w:r>
    </w:p>
    <w:p w14:paraId="29941179"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Durante el primer trimestre de 2025, la economía global mostró señales de desaceleración en medio de una elevada incertidumbre política y comercial. La actividad económica en EE.UU. disminuyó con respecto al trimestre previo, en gran medida, por la contribución negativa de las exportaciones netas asociada a importaciones anticipadas ante el aumento en las tarifas arancelarias. En la zona euro, la economía mantuvo un bajo desempeño, mientras que China perdió impulso en el primer trimestre por la debilidad del mercado interno. </w:t>
      </w:r>
    </w:p>
    <w:p w14:paraId="3323CFCB"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En este entorno, las presiones inflacionarias se moderaron, aunque con repuntes en los primeros meses del año. En EE.UU., la inflación de servicios, aunque elevada, mantuvo una trayectoria descendente, mientras que los precios de las mercancías comenzaron a contribuir nuevamente a la inflación, aunque desde bases muy bajas. Las expectativas de inflación de corto plazo aumentaron ante los posibles efectos inflacionarios por las políticas arancelarias, mientras que las de largo plazo se mantuvieron relativamente estables. </w:t>
      </w:r>
    </w:p>
    <w:p w14:paraId="6A1EB14C"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Por su parte, los precios internacionales de materias primas contribuyeron a la reducción de la inflación. En particular, las cotizaciones del crudo disminuyeron durante el primer trimestre, reflejando una menor demanda global y un aumento en la oferta de la OPEP+, aunque limitada por tensiones geopolíticas. La mayoría de los bancos centrales de las principales economías mantuvo su relajamiento monetario, aunque con cautela ante la política arancelaria de EE.UU. y sus posibles repercusiones económicas. </w:t>
      </w:r>
    </w:p>
    <w:p w14:paraId="18834FA3"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lastRenderedPageBreak/>
        <w:t xml:space="preserve">En este contexto, la FED pausó su ciclo de recortes durante el primer trimestre del año, situando la tasa de fondos federales en un rango de 4.25-4.50%, ante la inflación que se mantuvo por encima de su objetivo y el aumento en la incertidumbre de las perspectivas económicas. Las últimas proyecciones de marzo, realizadas por el Comité de Mercado Abierto, prevén recortes adicionales de hasta 50 pb durante el año. El comportamiento de los mercados financieros internacionales estuvo marcado por episodios de aversión al riesgo y elevados niveles de volatilidad en los precios de activos, principalmente por las políticas comerciales de EE.UU. y las tensiones geopolíticas. </w:t>
      </w:r>
    </w:p>
    <w:p w14:paraId="1F0BD9BB"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Esto resultó en un endurecimiento de las condiciones financieras provocada por caídas en los índices accionarios y el dólar, así como por aumentos en los rendimientos gubernamentales de mediano y largo plazo. Por su parte, los índices accionarios de las economías emergentes mostraron mayor resiliencia, aunque el riesgo-país aumentó y se registraron depreciaciones en diversas monedas.</w:t>
      </w:r>
    </w:p>
    <w:p w14:paraId="0B2AEBF5"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El PIB real de EE.UU. disminuyó a una tasa de 0.1% trimestral, inferior al crecimiento de 0.6% observado en el trimestre anterior y del 0.5% esperado por el consenso de analistas a inicios de año. Esta disminución respondió, principalmente, a un aumento significativo de importaciones anticipadas por el anuncio y aumento en las tarifas arancelarias a sus socios comerciales. Lo anterior, resultó en una fuerte contribución negativa de las exportaciones netas al crecimiento del PIB, de 1.2 </w:t>
      </w:r>
      <w:proofErr w:type="spellStart"/>
      <w:r w:rsidRPr="00A444DB">
        <w:rPr>
          <w:rFonts w:ascii="Arial" w:hAnsi="Arial" w:cs="Arial"/>
          <w:sz w:val="18"/>
          <w:szCs w:val="18"/>
        </w:rPr>
        <w:t>pp</w:t>
      </w:r>
      <w:proofErr w:type="spellEnd"/>
      <w:r w:rsidRPr="00A444DB">
        <w:rPr>
          <w:rFonts w:ascii="Arial" w:hAnsi="Arial" w:cs="Arial"/>
          <w:sz w:val="18"/>
          <w:szCs w:val="18"/>
        </w:rPr>
        <w:t xml:space="preserve"> durante el primer trimestre. </w:t>
      </w:r>
    </w:p>
    <w:p w14:paraId="1E51AF24"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Además, el gasto de los hogares se desaceleró ante una menor creación de empleo y la incertidumbre provocada por las políticas comerciales de la nueva administración, lo que resultó en una contribución del consumo privado al PIB de 0.3 </w:t>
      </w:r>
      <w:proofErr w:type="spellStart"/>
      <w:r w:rsidRPr="00A444DB">
        <w:rPr>
          <w:rFonts w:ascii="Arial" w:hAnsi="Arial" w:cs="Arial"/>
          <w:sz w:val="18"/>
          <w:szCs w:val="18"/>
        </w:rPr>
        <w:t>pp</w:t>
      </w:r>
      <w:proofErr w:type="spellEnd"/>
      <w:r w:rsidRPr="00A444DB">
        <w:rPr>
          <w:rFonts w:ascii="Arial" w:hAnsi="Arial" w:cs="Arial"/>
          <w:sz w:val="18"/>
          <w:szCs w:val="18"/>
        </w:rPr>
        <w:t xml:space="preserve">, inferior a los 0.7 </w:t>
      </w:r>
      <w:proofErr w:type="spellStart"/>
      <w:r w:rsidRPr="00A444DB">
        <w:rPr>
          <w:rFonts w:ascii="Arial" w:hAnsi="Arial" w:cs="Arial"/>
          <w:sz w:val="18"/>
          <w:szCs w:val="18"/>
        </w:rPr>
        <w:t>pp</w:t>
      </w:r>
      <w:proofErr w:type="spellEnd"/>
      <w:r w:rsidRPr="00A444DB">
        <w:rPr>
          <w:rFonts w:ascii="Arial" w:hAnsi="Arial" w:cs="Arial"/>
          <w:sz w:val="18"/>
          <w:szCs w:val="18"/>
        </w:rPr>
        <w:t xml:space="preserve"> registrados en el trimestre anterior. Además, el adelanto de las importaciones llevó a un aumento en la acumulación de inventarios, por lo que la contribución al PIB fue de 0.6 </w:t>
      </w:r>
      <w:proofErr w:type="spellStart"/>
      <w:r w:rsidRPr="00A444DB">
        <w:rPr>
          <w:rFonts w:ascii="Arial" w:hAnsi="Arial" w:cs="Arial"/>
          <w:sz w:val="18"/>
          <w:szCs w:val="18"/>
        </w:rPr>
        <w:t>pp</w:t>
      </w:r>
      <w:proofErr w:type="spellEnd"/>
      <w:r w:rsidRPr="00A444DB">
        <w:rPr>
          <w:rFonts w:ascii="Arial" w:hAnsi="Arial" w:cs="Arial"/>
          <w:sz w:val="18"/>
          <w:szCs w:val="18"/>
        </w:rPr>
        <w:t xml:space="preserve">, luego de una contracción en el período previo. </w:t>
      </w:r>
    </w:p>
    <w:p w14:paraId="51E2D6EB"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La inversión fija aportó 0.3 </w:t>
      </w:r>
      <w:proofErr w:type="spellStart"/>
      <w:r w:rsidRPr="00A444DB">
        <w:rPr>
          <w:rFonts w:ascii="Arial" w:hAnsi="Arial" w:cs="Arial"/>
          <w:sz w:val="18"/>
          <w:szCs w:val="18"/>
        </w:rPr>
        <w:t>pp</w:t>
      </w:r>
      <w:proofErr w:type="spellEnd"/>
      <w:r w:rsidRPr="00A444DB">
        <w:rPr>
          <w:rFonts w:ascii="Arial" w:hAnsi="Arial" w:cs="Arial"/>
          <w:sz w:val="18"/>
          <w:szCs w:val="18"/>
        </w:rPr>
        <w:t xml:space="preserve"> al crecimiento del PIB, especialmente por el sector no residencial, después de una contracción el trimestre pasado. En cambio, el sector residencial tuvo una contribución prácticamente nula debido a las altas tasas de interés hipotecarias. Finalmente, el gasto público disminuyó, principalmente en defensa, por lo que registró una contribución negativa de 0.1 pp.</w:t>
      </w:r>
    </w:p>
    <w:p w14:paraId="0E119ACC"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En el primer trimestre de 2025, la producción industrial repuntó con un crecimiento de 1.4%, destacando un aumento de 1.2% en la producción de manufacturas, tras dos trimestres de caídas consecutivas. A pesar de la incertidumbre comercial y la moderación económica en EE.UU., este incremento en la actividad industrial se atribuyó en gran medida a una mayor producción de bienes duraderos, en particular durante febrero. Así, sectores clave para las exportaciones mexicanas, como vehículos, equipo eléctrico, maquinaria, electrónicos y aeroespacial, crecieron 0.1, 1.0, 1.8, 2.2 y 13.4%, respectivamente. No obstante, el sector de autopartes cayó 1.0% por tercer trimestre consecutivo, reflejo en parte de la incertidumbre por la política arancelaria.</w:t>
      </w:r>
    </w:p>
    <w:p w14:paraId="57919C2C"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En el primer trimestre de 2025, el mercado laboral se mantuvo sólido. La tasa de desempleo continuó en niveles bajos y cerca de su promedio previo a la pandemia, con una tasa de 4.2% al cierre de marzo, 0.1 </w:t>
      </w:r>
      <w:proofErr w:type="spellStart"/>
      <w:r w:rsidRPr="00A444DB">
        <w:rPr>
          <w:rFonts w:ascii="Arial" w:hAnsi="Arial" w:cs="Arial"/>
          <w:sz w:val="18"/>
          <w:szCs w:val="18"/>
        </w:rPr>
        <w:t>pp</w:t>
      </w:r>
      <w:proofErr w:type="spellEnd"/>
      <w:r w:rsidRPr="00A444DB">
        <w:rPr>
          <w:rFonts w:ascii="Arial" w:hAnsi="Arial" w:cs="Arial"/>
          <w:sz w:val="18"/>
          <w:szCs w:val="18"/>
        </w:rPr>
        <w:t xml:space="preserve"> por encima del observado en diciembre pasado. La creación de empleo se desaceleró a un promedio de 152 mil plazas por mes, inferior a las 209 mil del trimestre anterior, aunque cercano a su promedio de los últimos doce meses (157 mil). La principal disminución provino de los servicios de hotelería y restaurantes, mientras que se observó un aumento en comercio, transporte y servicios públicos. </w:t>
      </w:r>
    </w:p>
    <w:p w14:paraId="78B022C3"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La tasa de participación laboral cerró el trimestre en 62.5%, un nivel similar al de finales de 2024. Se observó una menor participación de personas entre 25 y 54 años, la cual fue compensada por un aumento en la oferta laboral de aquellos entre 16 y 24 años. Los salarios reales por hora crecieron 1.4% anual en marzo, superior a la tasa observada en diciembre, debido a la disminución en la inflación.</w:t>
      </w:r>
    </w:p>
    <w:p w14:paraId="6645C9EB"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Las presiones inflacionarias disminuyeron durante el primer trimestre de 2025, después de los repuntes observados en el trimestre previo. La inflación anual del deflactor del gasto en consumo personal (PCE, por sus siglas en inglés) se desaceleró de 2.6% en diciembre a 2.3% en marzo de 2025. Esto, como resultado de una disminución en los precios de energéticos y del componente subyacente, de 2.9 a 2.6% en el mismo periodo, ante una menor inflación de los servicios, en particular rentas de vivienda, que fue parcialmente contrarrestado por un alza en la inflación de bienes. </w:t>
      </w:r>
    </w:p>
    <w:p w14:paraId="692C712C"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Sin embargo, las expectativas de inflación a corto plazo repuntaron ante las posibles presiones inflacionarias por la política arancelaria de EE.UU. De acuerdo con la Reserva Federal de Nueva York, la mediana de expectativas </w:t>
      </w:r>
      <w:r w:rsidRPr="00A444DB">
        <w:rPr>
          <w:rFonts w:ascii="Arial" w:hAnsi="Arial" w:cs="Arial"/>
          <w:sz w:val="18"/>
          <w:szCs w:val="18"/>
        </w:rPr>
        <w:lastRenderedPageBreak/>
        <w:t>de inflación a doce meses aumentó de 3.0% en diciembre de 2024 a 3.6% en marzo de 2025, una cifra no vista desde octubre de 2023. Por otro lado, la expectativa de inflación a cinco años se mantuvo estable en el 3.0%, aunque superior al objetivo de 2.0% de la FED.</w:t>
      </w:r>
    </w:p>
    <w:p w14:paraId="09E36D55"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En el primer trimestre de 2025, la actividad económica de la zona euro creció a una tasa trimestral de 0.4%, superior al 0.2% del trimestre anterior. La demanda interna mostró un desempeño moderado, apoyada por una baja tasa de desempleo, aunque la confianza del sector privado disminuyó debido a tensiones geopolíticas y comerciales. En marzo, los indicadores adelantados del sector manufacturero mejoraron, aunque permanecieron en contracción, mientras que el sector servicios continuó impulsando el crecimiento. Destacó el caso de Alemania, al aprobar un aumento significativo en el gasto en infraestructura, defensa y medio ambiente por 569 mil millones de dólares, cerca de 12% del PIB, durante un plazo de 12 años, elevando así las expectativas de crecimiento económico de mediano plazo.</w:t>
      </w:r>
    </w:p>
    <w:p w14:paraId="37A2DE00"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Por su parte, la inflación general anual disminuyó de 2.4% en diciembre a 2.2% en marzo de 2025, ligeramente por encima del 2.0% objetivo del BCE. Este descenso se debió a una caída en los precios de energéticos y a una moderación en el componente subyacente, que se redujo de 2.7 a 2.4% en el mismo periodo, ante una menor inflación de los servicios. Por otro lado, la inflación de bienes y alimentos procesados mostraron ligeros aumentos.</w:t>
      </w:r>
    </w:p>
    <w:p w14:paraId="63280B8E"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Durante el primer trimestre de 2025, la economía china se desaceleró a una tasa trimestral de 1.2% real, inferior al 1.6% registrado en el trimestre anterior. Las exportaciones netas contribuyeron positivamente al crecimiento del PIB, impulsadas por un aumento significativo de las exportaciones, en anticipación a los anuncios de política arancelaria del gobierno de EE.UU. La producción industrial y la inversión fija también aumentaron en comparación con el trimestre anterior, reflejado el dinamismo del sector exportador de manufacturas.</w:t>
      </w:r>
    </w:p>
    <w:p w14:paraId="2A29228B"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Sin embargo, las importaciones se contrajeron durante el periodo, mientras que la inversión residencial continuó disminuyendo y la tasa de desempleo aumentó a 5.2%, lo que reflejó un desempeño moderado del mercado interno. Los indicadores de confianza del sector privado mostraron signos de debilidad en medio de las tensiones comerciales con EE.UU., al tiempo que los precios al consumidor registraron una deflación de 0.1% anual en el primer trimestre. Así, con el objetivo de fortalecer el consumo interno y fomentar el avance tecnológico, el gobierno estableció su objetivo oficial de crecimiento del PIB en 5.0% para 2025 y propuso aumentar el déficit fiscal al 4.0% del PIB, superior al 3.0% del año previo, manteniendo una política fiscal más proactiva.</w:t>
      </w:r>
    </w:p>
    <w:p w14:paraId="4992FF50"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En los mercados de materias primas, los precios internacionales del petróleo presentaron una tendencia a la baja ante la incertidumbre comercial, la política arancelaria de EE.UU., la desaceleración económica de las principales economías avanzadas y la mayor producción esperada de crudo por parte de la OPEP+, de hasta 2.2 millones de barriles diarios (</w:t>
      </w:r>
      <w:proofErr w:type="spellStart"/>
      <w:r w:rsidRPr="00A444DB">
        <w:rPr>
          <w:rFonts w:ascii="Arial" w:hAnsi="Arial" w:cs="Arial"/>
          <w:sz w:val="18"/>
          <w:szCs w:val="18"/>
        </w:rPr>
        <w:t>Mbd</w:t>
      </w:r>
      <w:proofErr w:type="spellEnd"/>
      <w:r w:rsidRPr="00A444DB">
        <w:rPr>
          <w:rFonts w:ascii="Arial" w:hAnsi="Arial" w:cs="Arial"/>
          <w:sz w:val="18"/>
          <w:szCs w:val="18"/>
        </w:rPr>
        <w:t>) a partir de abril. Así, al 31 de marzo, el Brent, el WTI y la Mezcla Mexicana presentaron variaciones de 4.1, -0.3 y 0.0%, respectivamente, con respecto al cierre del trimestre previo.</w:t>
      </w:r>
    </w:p>
    <w:p w14:paraId="31E23F58"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Los precios del gas natural mostraron movimientos mixtos. Por un lado, la alta demanda de calefacción en enero y febrero, la disminución de inventarios en EE.UU. y Europa, y el aumento en la demanda de importación de gas natural licuado hacia EE.UU., principalmente desde Europa, presionaron al alza los precios del Henry Hub, que subieron un 20.9% respecto al cierre del cuarto trimestre. Por otro lado, el acuerdo de alto al fuego parcial entre Rusia y Ucrania, mediado por EE.UU., provocó una caída del 13.2% en la referencia TTF durante el mismo periodo, aunque ésta continuó por encima de los niveles previos a la pandemia.</w:t>
      </w:r>
    </w:p>
    <w:p w14:paraId="05684F83"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Los metales industriales experimentaron volatilidad ante compras anticipadas por el anuncio y aumento en las tarifas arancelarias por parte de EE.UU. Al 31 de marzo, los precios de aluminio cayeron 0.8% respecto al cierre del trimestre pasado, mientras que el oro, el cobre y el acero aumentaron 18.2, 25.0 y 25.5%, respectivamente. Por su parte, los precios de los alimentos disminuyeron 0.2% en el mismo periodo, de acuerdo con la Organización de las Naciones Unidas para la Alimentación y la Agricultura (FAO, por sus siglas en inglés). En particular, los precios del trigo y el maíz cayeron 2.6 y 0.3%, respectivamente, ante mejores cosechas por condiciones climatológicas más favorables hacia el cierre del primer trimestre.</w:t>
      </w:r>
    </w:p>
    <w:p w14:paraId="75C4B8E9"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En el primer trimestre del año, los bancos centrales de las principales economías continuaron con su ciclo de relajamiento monetario, aunque con cautela en un contexto de elevada incertidumbre comercial. Sin embargo, en EE.UU., la FED anunció una pausa en su ciclo de recortes en las reuniones del 29 de enero y del 19 de marzo de 2025, manteniendo la tasa de los fondos federales en un rango de 4.25%-4.50% ante la persistencia inflacionaria y la incertidumbre en torno a las perspectivas económicas. </w:t>
      </w:r>
    </w:p>
    <w:p w14:paraId="15080049"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lastRenderedPageBreak/>
        <w:t xml:space="preserve">Sin embargo, se prevé que la FED realice disminuciones adicionales de hasta 50 pb durante el año, de acuerdo con las últimas proyecciones publicadas en marzo por parte del Comité Federal de Mercado Abierto. Asimismo, se anunció, a partir de abril, una reducción en el límite de amortización de activos de la hoja de balance, de 60 a 40 mil millones de dólares mensuales, con el fin de aligerar las presiones de liquidez en el sistema financiero. </w:t>
      </w:r>
    </w:p>
    <w:p w14:paraId="63E97547"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El BCE, por su parte, redujo sus tres tasas de interés oficiales en 25 pb, durante las reuniones del 30 de enero y del 6 de marzo, ante un moderado crecimiento económico. Como resultado, la tasa de depósitos, de operaciones de financiamiento y de la facilidad marginal de crédito se ubicaron en 2.50, 2.65 y 2.90%, respectivamente. Su hoja de balance se redujo en 110 mil millones de euros, hasta situarse en 6.3 billones de euros al cierre del trimestre.</w:t>
      </w:r>
    </w:p>
    <w:p w14:paraId="085C595B"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El BPC mantuvo sus tasas de interés de referencia sin cambios durante el primer trimestre, para incentivar su mercado interno. La tasa preferencial de préstamos a un año, que sirve de referencia para la mayoría de los préstamos corporativos y domésticos, se mantuvo en 3.1%, mientras que la de cinco años, utilizada como referencia para hipotecas, permaneció en 3.6%. Ambas tasas se encuentran en mínimos históricos tras las reducciones realizadas en octubre y julio del año pasado. </w:t>
      </w:r>
    </w:p>
    <w:p w14:paraId="7FE74CDF"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En América Latina, destacó el Banco Central de Brasil con dos incrementos en su tasa de referencia en 100 pb cada uno, durante sus reuniones del 29 de enero y el 19 de marzo. Lo anterior, situó la tasa de referencia en 14.25%, el nivel más alto en nueve años, con el fin de contener las presiones inflacionarias y anclar las expectativas de inflación.</w:t>
      </w:r>
    </w:p>
    <w:p w14:paraId="42511D50"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El primer trimestre del año estuvo marcado por episodios de aversión al riesgo y elevados niveles de volatilidad en los precios de activos internacionales, principalmente por las políticas comerciales del gobierno de EE.UU. y sus repercusiones económicas, aunado a las tensiones geopolíticas. Lo anterior resultó en caídas de los índices accionarios, del dólar y aumentos en las tasas de interés. </w:t>
      </w:r>
    </w:p>
    <w:p w14:paraId="3BE67D83"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En EE.UU., al 31 de marzo, el índice VIX se ubicó en 22.3 puntos, un incremento de 4.9 con respecto al cierre del año previo, mientras que el índice S&amp;P 500 registró una caída de 4.6%, seguido de un descenso de 10.3% del Nasdaq, tras haber alcanzado máximos históricos en la primera mitad de febrero. El dólar, medido por el DXY, registró un retroceso de 3.9% en el mismo periodo. Por su parte, el rendimiento de los bonos del Tesoro a 10 años se ubicó en 4.23%, 35 pb por debajo del cierre del trimestre previo. Asimismo, el oro reafirmó su papel como activo de refugio frente a la creciente incertidumbre global, impulsándolo a máximos históricos y mostrando un aumento del 18.2% en el trimestre.</w:t>
      </w:r>
    </w:p>
    <w:p w14:paraId="3A6DA42A"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Los mercados emergentes también reflejaron en el precio de sus activos la elevada incertidumbre y volatilidad global. Al cierre del primer trimestre, el índice bursátil MSCI registró un avance del 2.4% en relación con el cierre del trimestre anterior, mientras que el índice MSCI de monedas emergentes mostró una depreciación de 1.7% en el mismo periodo. Asimismo, el riesgo país de las economías emergentes, medido por el EMBI+, aumentó en 32 pb a finales de marzo, con respecto a diciembre del año pasado, debido al entorno de incertidumbre comercial.</w:t>
      </w:r>
    </w:p>
    <w:p w14:paraId="35416ED2"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Durante el primer trimestre de 2025, la economía mexicana exhibió algunos signos de desaceleración, afectada por la incertidumbre derivada de las tensiones comerciales, los conflictos geopolíticos y ajustes en el panorama económico internacional. No obstante, la fortaleza de los fundamentos macroeconómicos y la posición estratégica de México en las cadenas globales de valor han contribuido a mitigar estos efectos. </w:t>
      </w:r>
    </w:p>
    <w:p w14:paraId="3FC481F6"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El sector externo recibió el impulso de un tipo de cambio real más competitivo, que contribuyó a compensar parcialmente la incertidumbre generada por los cambios en la política comercial de EE.UU. Cabe destacar que los acuerdos alcanzados en materia comercial mediante el T-MEC han contribuido a mitigar los efectos de las nuevas medidas en materia comercial. De esta forma, las mercancías exportadas por México que ingresan a EE.UU. bajo el amparo del T-MEC continúan exentas de aranceles. </w:t>
      </w:r>
    </w:p>
    <w:p w14:paraId="406FEB74"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De acuerdo con la estimación oportuna publicada por el INEGI, durante el primer trimestre de 2025 el PIB registró un crecimiento trimestral de 0.2%, con cifras ajustadas por estacionalidad. Las actividades industriales fueron las más afectadas por la incertidumbre en materia comercial, al registrar una disminución trimestral de 0.3%. Por su parte, el sector servicios se mantuvo sin cambios respecto al trimestre previo. En el caso de las actividades primarias, se registró un repunte de 8.1% trimestral, impulsadas por una base de comparación favorable y condiciones de sequía menos severas a las observadas durante la mayor parte de 2023 y 2024.</w:t>
      </w:r>
    </w:p>
    <w:p w14:paraId="7DDE7168"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lastRenderedPageBreak/>
        <w:t xml:space="preserve">Con base en la información del Indicador Global de Actividad Económica (IGAE) correspondiente al bimestre enero-febrero, y utilizando cifras ajustadas por estacionalidad, se observó el siguiente comportamiento de los sectores económicos: </w:t>
      </w:r>
    </w:p>
    <w:p w14:paraId="0D4540A0"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sym w:font="Symbol" w:char="F0B7"/>
      </w:r>
      <w:r w:rsidRPr="00A444DB">
        <w:rPr>
          <w:rFonts w:ascii="Arial" w:hAnsi="Arial" w:cs="Arial"/>
          <w:sz w:val="18"/>
          <w:szCs w:val="18"/>
        </w:rPr>
        <w:t xml:space="preserve"> Las actividades primarias registraron un repunte de 4.1% bimestral, impulsadas por una base de comparación favorable y una mejora en las cosechas de productos como el maíz y el sorgo, los cuales registraron disminuciones en el cuarto trimestre de 2024. Este desempeño se dio en un contexto en el que, si bien persistieron condiciones de sequía en estados del norte del país, a nivel nacional éstas fueron considerablemente menores en comparación con los promedios observados durante 2023 y 2024.</w:t>
      </w:r>
    </w:p>
    <w:p w14:paraId="3802B93E"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sym w:font="Symbol" w:char="F0B7"/>
      </w:r>
      <w:r w:rsidRPr="00A444DB">
        <w:rPr>
          <w:rFonts w:ascii="Arial" w:hAnsi="Arial" w:cs="Arial"/>
          <w:sz w:val="18"/>
          <w:szCs w:val="18"/>
        </w:rPr>
        <w:t xml:space="preserve"> La producción industrial disminuyó 0.2%, afectada por la incertidumbre en materia comercial, la cual ha impactado principalmente la manufactura y la construcción. Asimismo, la minería y la generación de electricidad registraron contracciones.</w:t>
      </w:r>
    </w:p>
    <w:p w14:paraId="3EE2BA35"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o Durante el bimestre, la manufactura mostró un comportamiento mixto, afectada por la incertidumbre asociada a la política comercial de EE.UU., con lo que registró una disminución de 0.2%. En enero, la actividad manufacturera disminuyó 1.0%, mientras que en febrero se observó un repunte de 2.9%, impulsado por crecimientos en industrias orientadas al mercado externo, como la fabricación de equipo de transporte y maquinaria y equipo. </w:t>
      </w:r>
    </w:p>
    <w:p w14:paraId="11AE8C8A"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o La construcción alcanzó un crecimiento de 0.7%. Este desempeño se explicó por un incremento de 0.1% en la edificación, que compensó la contracción de 0.2% en la construcción de obras de ingeniaría civil. Lo anterior, a pesar de que algunas empresas han reportado suspender proyectos en espera de mayor certidumbre sobre el futuro de la relación comercial entre México y EE.UU. </w:t>
      </w:r>
    </w:p>
    <w:p w14:paraId="1FC467D1"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o El sector de la minería cayó 1.6%, afectado por incidentes industriales y una menor perforación de pozos de exploración. o El sector de electricidad, agua y gas disminuyó a una tasa de 2.1%, atribuida a una menor demanda de electricidad por temperaturas más cálidas respecto a lo esperado durante la temporada de invierno.</w:t>
      </w:r>
    </w:p>
    <w:p w14:paraId="51847E22"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sym w:font="Symbol" w:char="F0B7"/>
      </w:r>
      <w:r w:rsidRPr="00A444DB">
        <w:rPr>
          <w:rFonts w:ascii="Arial" w:hAnsi="Arial" w:cs="Arial"/>
          <w:sz w:val="18"/>
          <w:szCs w:val="18"/>
        </w:rPr>
        <w:t xml:space="preserve"> Los servicios crecieron 0.1%, con un desempeño positivo en 7 de los 14 subsectores. Al interior, servicios vinculados con la demanda interna, como el comercio al por menor y los servicios de esparcimiento, experimentaron incrementos de 1.6 y 5.0%, respectivamente. Destacó también el crecimiento de 6.8% de los servicios profesionales, científicos y técnicos, quienes continuaron como uno de los subsectores más dinámicos de la economía. En contraste, los servicios de transporte y comercio al por mayor mostraron disminuciones de 1.2 y 2.5%, respectivamente, siendo el último afectado por la competencia de algunos productos importados sin regulación.</w:t>
      </w:r>
    </w:p>
    <w:p w14:paraId="72635580"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La información más reciente de la demanda interna muestra que, en enero, el consumo privado retrocedió 0.3% mensual, con cifras ajustadas por estacionalidad. La incertidumbre en el panorama económico global y nacional afectó la confianza de los hogares, lo que modificó sus intenciones de consumo en el inicio del año. Asimismo, la depreciación real del tipo de cambio redujo el consumo de bienes importados, el cual registró una contracción mensual de 0.1%. No obstante, el gasto en servicios mostró una mayor resiliencia, con un aumento de 0.2%.</w:t>
      </w:r>
    </w:p>
    <w:p w14:paraId="4A57A193"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En el primer trimestre de 2025, las ventas minoristas registradas en la Asociación Nacional de Tiendas de Autoservicio y Departamentales (ANTAD) disminuyeron 0.2% trimestral, con cifras ajustadas por estacionalidad</w:t>
      </w:r>
      <w:proofErr w:type="gramStart"/>
      <w:r w:rsidRPr="00A444DB">
        <w:rPr>
          <w:rFonts w:ascii="Arial" w:hAnsi="Arial" w:cs="Arial"/>
          <w:sz w:val="18"/>
          <w:szCs w:val="18"/>
        </w:rPr>
        <w:t>1 .</w:t>
      </w:r>
      <w:proofErr w:type="gramEnd"/>
      <w:r w:rsidRPr="00A444DB">
        <w:rPr>
          <w:rFonts w:ascii="Arial" w:hAnsi="Arial" w:cs="Arial"/>
          <w:sz w:val="18"/>
          <w:szCs w:val="18"/>
        </w:rPr>
        <w:t xml:space="preserve"> Este desempeño estuvo relacionado con contracciones en los segmentos de mercancías, ropa y tiendas de abarrotes.</w:t>
      </w:r>
    </w:p>
    <w:p w14:paraId="518ABC73"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La inversión fija bruta también se vio afectada por el aumento en la incertidumbre sobre el panorama económico, al registrar en enero una contracción mensual de 1.5%, con cifras ajustadas por estacionalidad. Al interior, la inversión en construcción disminuyó 1.4%, ya que el repunte en la inversión residencial no fue suficiente para compensar la caída de 3.2% en la construcción no residencial. Por su parte, la inversión en maquinaria y equipo se redujo 1.8% mensual, debido principalmente a la disminución en el componente de equipo de transporte, en particular el de origen importado, que se contrajo en 16.1%.</w:t>
      </w:r>
    </w:p>
    <w:p w14:paraId="21BBE9A7"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En materia laboral, se observó una moderación en el ritmo de creación de empleo, en línea con el desempeño de la actividad económica y una alta base de comparación. No obstante, el mercado laboral se mantuvo sólido. Entre enero y marzo de 2025, la población ocupada registró un nivel promedio de 59.5 millones, un aumento de 69 mil personas respecto al mismo periodo de 2024. Lo anterior se explicó principalmente por un incremento en la </w:t>
      </w:r>
      <w:r w:rsidRPr="00A444DB">
        <w:rPr>
          <w:rFonts w:ascii="Arial" w:hAnsi="Arial" w:cs="Arial"/>
          <w:sz w:val="18"/>
          <w:szCs w:val="18"/>
        </w:rPr>
        <w:lastRenderedPageBreak/>
        <w:t>población ocupada en el sector servicios, destacando los sectores de transportes y comercio, en los que el empleo fue 212 y 202 mil personas superiores a los registrados en el mismo periodo del año pasado, respectivamente.</w:t>
      </w:r>
    </w:p>
    <w:p w14:paraId="217BAE66"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Durante el trimestre, la población económicamente activa ascendió a 61.0 millones de personas, en promedio. No obstante, un incremento de 1.6 millones de personas en la población no económicamente activa resultó en una disminución de 0.9 </w:t>
      </w:r>
      <w:proofErr w:type="spellStart"/>
      <w:r w:rsidRPr="00A444DB">
        <w:rPr>
          <w:rFonts w:ascii="Arial" w:hAnsi="Arial" w:cs="Arial"/>
          <w:sz w:val="18"/>
          <w:szCs w:val="18"/>
        </w:rPr>
        <w:t>pp</w:t>
      </w:r>
      <w:proofErr w:type="spellEnd"/>
      <w:r w:rsidRPr="00A444DB">
        <w:rPr>
          <w:rFonts w:ascii="Arial" w:hAnsi="Arial" w:cs="Arial"/>
          <w:sz w:val="18"/>
          <w:szCs w:val="18"/>
        </w:rPr>
        <w:t xml:space="preserve"> en la tasa de participación. Cabe destacar que el aumento en la población no económicamente activa se concentró principalmente en población no disponible, que reportó no tener interés para trabajar por atender otras obligaciones.</w:t>
      </w:r>
    </w:p>
    <w:p w14:paraId="08D4EB1B"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La población desocupada, por su parte, disminuyó en 30 mil personas, al tiempo que la tasa de desempleo alcanzó el nivel más bajo desde que se tiene registro. En el caso de la tasa de informalidad, ésta mostró un incremento de 0.1 </w:t>
      </w:r>
      <w:proofErr w:type="spellStart"/>
      <w:r w:rsidRPr="00A444DB">
        <w:rPr>
          <w:rFonts w:ascii="Arial" w:hAnsi="Arial" w:cs="Arial"/>
          <w:sz w:val="18"/>
          <w:szCs w:val="18"/>
        </w:rPr>
        <w:t>pp</w:t>
      </w:r>
      <w:proofErr w:type="spellEnd"/>
      <w:r w:rsidRPr="00A444DB">
        <w:rPr>
          <w:rFonts w:ascii="Arial" w:hAnsi="Arial" w:cs="Arial"/>
          <w:sz w:val="18"/>
          <w:szCs w:val="18"/>
        </w:rPr>
        <w:t xml:space="preserve"> como resultado de crecimientos del empleo informal superiores a los observados en el empleo formal. Asimismo, la tasa de subocupación se redujo en 0.1 </w:t>
      </w:r>
      <w:proofErr w:type="spellStart"/>
      <w:r w:rsidRPr="00A444DB">
        <w:rPr>
          <w:rFonts w:ascii="Arial" w:hAnsi="Arial" w:cs="Arial"/>
          <w:sz w:val="18"/>
          <w:szCs w:val="18"/>
        </w:rPr>
        <w:t>pp</w:t>
      </w:r>
      <w:proofErr w:type="spellEnd"/>
      <w:r w:rsidRPr="00A444DB">
        <w:rPr>
          <w:rFonts w:ascii="Arial" w:hAnsi="Arial" w:cs="Arial"/>
          <w:sz w:val="18"/>
          <w:szCs w:val="18"/>
        </w:rPr>
        <w:t xml:space="preserve"> respecto al mismo trimestre del año pasado y alcanzó el nivel más bajo desde el segundo trimestre de 2006. </w:t>
      </w:r>
    </w:p>
    <w:p w14:paraId="62860470"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Al cierre del primer trimestre de 2025, se registró un incremento anual de 176 mil puestos de trabajo asegurados ante el IMSS. El incremento se explicó por un mayor número de empleos permanentes con una creación de 329 mil trabajadores, quienes compensaron la contracción de 154 mil en los empleos eventuales. Los mejores desempeños se dieron en sectores de servicios como el comercio, los servicios sociales y los servicios a empresas. </w:t>
      </w:r>
    </w:p>
    <w:p w14:paraId="2825D0C7"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En contraste, entre los sectores donde se observó una disminución en el nivel de empleo destacaron la manufactura, la construcción y la minería, en línea con el desempeño de la actividad de esos sectores. Con cifras ajustadas por estacionalidad, los puestos de trabajo asegurados ante el IMSS aumentaron en 37 mil personas con respecto al cierre de 2024. Durante el trimestre, destacó que hubo crecimientos en el empleo durante los tres meses, en contraste con el trimestre previo, que registró contracciones en los meses de octubre y noviembre. </w:t>
      </w:r>
    </w:p>
    <w:p w14:paraId="6E917F13"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En este periodo, los salarios reales de los trabajadores continuaron al alza. El salario real promedio registrado ante el IMSS creció 3.7% anual. De manera similar, el ingreso laboral real promedio reportado en la Encuesta Nacional de Ocupación y Empleo creció 6.3%. Finalmente, los salarios contractuales de jurisdicción federal aumentaron en 4.1% anual.</w:t>
      </w:r>
    </w:p>
    <w:p w14:paraId="43340A25"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Durante el primer trimestre de 2025, la inflación al consumidor mantuvo una trayectoria descendente y se ubicó dentro del intervalo de variabilidad del objetivo establecido por el Banco de México (Banxico) a lo largo de todo el periodo. Lo anterior obedeció a la desaceleración de la inflación de los servicios y los energéticos, así como a una disminución de los precios de las frutas y verduras. Así, la inflación general registró una tasa promedio anual de 3.7%, 0.8 </w:t>
      </w:r>
      <w:proofErr w:type="spellStart"/>
      <w:r w:rsidRPr="00A444DB">
        <w:rPr>
          <w:rFonts w:ascii="Arial" w:hAnsi="Arial" w:cs="Arial"/>
          <w:sz w:val="18"/>
          <w:szCs w:val="18"/>
        </w:rPr>
        <w:t>pp</w:t>
      </w:r>
      <w:proofErr w:type="spellEnd"/>
      <w:r w:rsidRPr="00A444DB">
        <w:rPr>
          <w:rFonts w:ascii="Arial" w:hAnsi="Arial" w:cs="Arial"/>
          <w:sz w:val="18"/>
          <w:szCs w:val="18"/>
        </w:rPr>
        <w:t xml:space="preserve"> por debajo del trimestre previo y el menor nivel desde el primer trimestre de 2021. </w:t>
      </w:r>
    </w:p>
    <w:p w14:paraId="5263B6EC"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La inflación subyacente fue de 3.6% anual, menor a la observada en el trimestre anterior (- 0.03 </w:t>
      </w:r>
      <w:proofErr w:type="spellStart"/>
      <w:r w:rsidRPr="00A444DB">
        <w:rPr>
          <w:rFonts w:ascii="Arial" w:hAnsi="Arial" w:cs="Arial"/>
          <w:sz w:val="18"/>
          <w:szCs w:val="18"/>
        </w:rPr>
        <w:t>pp</w:t>
      </w:r>
      <w:proofErr w:type="spellEnd"/>
      <w:r w:rsidRPr="00A444DB">
        <w:rPr>
          <w:rFonts w:ascii="Arial" w:hAnsi="Arial" w:cs="Arial"/>
          <w:sz w:val="18"/>
          <w:szCs w:val="18"/>
        </w:rPr>
        <w:t xml:space="preserve">). Destacó la desaceleración en los precios de los servicios, cuya inflación se ubicó en 4.6% anual, con una disminución de 0.4 </w:t>
      </w:r>
      <w:proofErr w:type="spellStart"/>
      <w:r w:rsidRPr="00A444DB">
        <w:rPr>
          <w:rFonts w:ascii="Arial" w:hAnsi="Arial" w:cs="Arial"/>
          <w:sz w:val="18"/>
          <w:szCs w:val="18"/>
        </w:rPr>
        <w:t>pp</w:t>
      </w:r>
      <w:proofErr w:type="spellEnd"/>
      <w:r w:rsidRPr="00A444DB">
        <w:rPr>
          <w:rFonts w:ascii="Arial" w:hAnsi="Arial" w:cs="Arial"/>
          <w:sz w:val="18"/>
          <w:szCs w:val="18"/>
        </w:rPr>
        <w:t xml:space="preserve"> en comparación con el trimestre anterior, lo que constituyó la mayor reducción en este componente desde 2020. La inflación de mercancías fue de 2.8%, aunque con un ligero repunte estacional debido a la actualización del IEPS que incidió en los precios de refrescos, cigarrillos y pan dulce. </w:t>
      </w:r>
    </w:p>
    <w:p w14:paraId="3A2E28F3"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La inflación no subyacente se ubicó en 3.9% anual, 3.2 </w:t>
      </w:r>
      <w:proofErr w:type="spellStart"/>
      <w:r w:rsidRPr="00A444DB">
        <w:rPr>
          <w:rFonts w:ascii="Arial" w:hAnsi="Arial" w:cs="Arial"/>
          <w:sz w:val="18"/>
          <w:szCs w:val="18"/>
        </w:rPr>
        <w:t>pp</w:t>
      </w:r>
      <w:proofErr w:type="spellEnd"/>
      <w:r w:rsidRPr="00A444DB">
        <w:rPr>
          <w:rFonts w:ascii="Arial" w:hAnsi="Arial" w:cs="Arial"/>
          <w:sz w:val="18"/>
          <w:szCs w:val="18"/>
        </w:rPr>
        <w:t xml:space="preserve"> inferior al trimestre anterior. La reducción se explicó por la deflación en las frutas y verduras y menores inflaciones en los energéticos, cuya inflación disminuyó apoyada por el acuerdo nacional para mantener el precio de la gasolina regular por debajo de 24 pesos por litro. Durante el trimestre se observaron incrementos, temporales en algunos casos, como en el pollo y el huevo debido al efecto de la gripe aviar en EE.UU., así como en la carne de res por afectaciones fitosanitarias a la producción. </w:t>
      </w:r>
    </w:p>
    <w:p w14:paraId="620BB827"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El Índice de Precios al Productor (INPP), excluyendo petróleo, se elevó por cuarto trimestre consecutivo entre enero y marzo de 2025, al registrar una inflación de 7.6% anual, 1.1 </w:t>
      </w:r>
      <w:proofErr w:type="spellStart"/>
      <w:r w:rsidRPr="00A444DB">
        <w:rPr>
          <w:rFonts w:ascii="Arial" w:hAnsi="Arial" w:cs="Arial"/>
          <w:sz w:val="18"/>
          <w:szCs w:val="18"/>
        </w:rPr>
        <w:t>pp</w:t>
      </w:r>
      <w:proofErr w:type="spellEnd"/>
      <w:r w:rsidRPr="00A444DB">
        <w:rPr>
          <w:rFonts w:ascii="Arial" w:hAnsi="Arial" w:cs="Arial"/>
          <w:sz w:val="18"/>
          <w:szCs w:val="18"/>
        </w:rPr>
        <w:t xml:space="preserve"> mayor al trimestre previo. Dicho incremento se explicó principalmente por la depreciación del tipo de cambio. Así, la inflación al productor de las actividades primarias se ubicó en 8.2% y en las actividades secundarias excluyendo petróleo en 8.8%. Por su parte, la inflación al productor de los servicios se ubicó en 5.5%, 0.5 </w:t>
      </w:r>
      <w:proofErr w:type="spellStart"/>
      <w:r w:rsidRPr="00A444DB">
        <w:rPr>
          <w:rFonts w:ascii="Arial" w:hAnsi="Arial" w:cs="Arial"/>
          <w:sz w:val="18"/>
          <w:szCs w:val="18"/>
        </w:rPr>
        <w:t>pp</w:t>
      </w:r>
      <w:proofErr w:type="spellEnd"/>
      <w:r w:rsidRPr="00A444DB">
        <w:rPr>
          <w:rFonts w:ascii="Arial" w:hAnsi="Arial" w:cs="Arial"/>
          <w:sz w:val="18"/>
          <w:szCs w:val="18"/>
        </w:rPr>
        <w:t xml:space="preserve"> menor al cuarto trimestre del año anterior.</w:t>
      </w:r>
    </w:p>
    <w:p w14:paraId="226613DB"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Cabe recalcar que los precios al productor con destino de demanda interna excluyendo petróleo tuvieron una variación anual de 5.5% durante el trimestre, solo 0.3 </w:t>
      </w:r>
      <w:proofErr w:type="spellStart"/>
      <w:r w:rsidRPr="00A444DB">
        <w:rPr>
          <w:rFonts w:ascii="Arial" w:hAnsi="Arial" w:cs="Arial"/>
          <w:sz w:val="18"/>
          <w:szCs w:val="18"/>
        </w:rPr>
        <w:t>pp</w:t>
      </w:r>
      <w:proofErr w:type="spellEnd"/>
      <w:r w:rsidRPr="00A444DB">
        <w:rPr>
          <w:rFonts w:ascii="Arial" w:hAnsi="Arial" w:cs="Arial"/>
          <w:sz w:val="18"/>
          <w:szCs w:val="18"/>
        </w:rPr>
        <w:t xml:space="preserve"> mayor a la del trimestre anterior. En contraste, los bienes y servicios con destino de exportación alcanzaron una inflación de 12.0%, 2.8 </w:t>
      </w:r>
      <w:proofErr w:type="spellStart"/>
      <w:r w:rsidRPr="00A444DB">
        <w:rPr>
          <w:rFonts w:ascii="Arial" w:hAnsi="Arial" w:cs="Arial"/>
          <w:sz w:val="18"/>
          <w:szCs w:val="18"/>
        </w:rPr>
        <w:t>pp</w:t>
      </w:r>
      <w:proofErr w:type="spellEnd"/>
      <w:r w:rsidRPr="00A444DB">
        <w:rPr>
          <w:rFonts w:ascii="Arial" w:hAnsi="Arial" w:cs="Arial"/>
          <w:sz w:val="18"/>
          <w:szCs w:val="18"/>
        </w:rPr>
        <w:t xml:space="preserve"> superior a la del trimestre previo.</w:t>
      </w:r>
    </w:p>
    <w:p w14:paraId="4AC8C12E"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lastRenderedPageBreak/>
        <w:t xml:space="preserve">En el primer trimestre de 2025, el valor de las exportaciones aumentó, impulsado por un tipo de cambio más competitivo y el dinamismo de sectores no automotrices. Este desempeño compensó la incertidumbre asociada a la política comercial de EE.UU. y la debilidad de su industria automotriz. En contraste, las importaciones disminuyeron ante una menor demanda de bienes intermedios y de capital, reflejo de la desaceleración manufacturera y de la depreciación real del tipo de cambio. De manera específica, el valor de las exportaciones registró un incremento trimestral de 0.8%, con cifras ajustadas por estacionalidad. A lo anterior contribuyó el aumento de 1.6% en las exportaciones de manufacturas, impulsado por el crecimiento de 3.9% de las no automotrices. Por su parte, las exportaciones petroleras disminuyeron 13.1%, afectadas por una menor plataforma de exportación, parcialmente compensada por un incremento en el precio de la mezcla mexicana. El valor de las importaciones disminuyó 1.5% trimestral, con cifras ajustadas por estacionalidad. </w:t>
      </w:r>
    </w:p>
    <w:p w14:paraId="4A70DAFC"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Este resultado es consecuencia de menores compras internas de bienes de consumo, intermedios y de capital, en un contexto de moderación en la economía nacional y de una apreciación del tipo de cambio respecto al trimestre previo. Por su parte, las importaciones petroleras se incrementaron 2.1%. En el primer trimestre de 2025, la balanza comercial, con cifras ajustadas por estacionalidad, registró un superávit de 2 mil 862 millones de dólares, que revirtió el déficit de 730 millones de dólares observado en el trimestre anterior. Esta variación positiva se explicó por la ampliación del superávit en la balanza no petrolera, que alcanzó 6 mil 679 millones, a pesar de un mayor déficit de la balanza petrolera.</w:t>
      </w:r>
    </w:p>
    <w:p w14:paraId="685CE604"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El flujo de remesas aumentó 0.1% bimestral en el periodo enero-febrero, con cifras ajustadas por estacionalidad, afectado por la contracción en la masa salarial de trabajadores mexicanos en EE.UU. Esta tendencia puede estar vinculada a la incertidumbre generada por los cambios en la política migratoria, los cuales posiblemente afectaron la confianza de los trabajadores mexicanos en su capacidad para enviar remesas o encontrar empleo.</w:t>
      </w:r>
    </w:p>
    <w:p w14:paraId="11550EB2"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El turismo mantuvo su dinamismo y contribuyó a la entrada de divisas. En el primer bimestre, la llegada de viajeros internacionales aumentó un 15.0% anual. Como resultado, los ingresos por turismo alcanzaron 6 mil 601 millones de dólares, superando en 282 millones de dólares a la cifra observada en el mismo período de 2024.</w:t>
      </w:r>
    </w:p>
    <w:p w14:paraId="2814A7E4"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La cuenta corriente de la balanza de pagos, con la última información disponible al cuarto trimestre de 2024, mostró un superávit de 12 mil 601 millones de dólares (2.9% del PIB anualizado), superior al de 11 mil 745 millones observado el mismo periodo de 2023. Este resultado reflejó un menor déficit en la balanza de servicios y un mayor saldo superavitario en la balanza del ingreso secundario. Asimismo, se observó un mayor déficit en las balanzas de mercancías petroleras y de ingreso primario, así como un menor superávit de la balanza no petrolera.</w:t>
      </w:r>
    </w:p>
    <w:p w14:paraId="45AE4C4B"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Los flujos de capital registrados en la cuenta financiera reportaron una salida neta de recursos de 15 mil 86 millones de dólares, superior a la salida de 8 mil 592 millones del cuarto trimestre de 2023. Esto obedeció a salidas netas en inversión de cartera y otra inversión, las cuales fueron parcialmente compensadas por una entrada neta de recursos en derivados financieros de 1 mil 919 millones. Además, los activos de reserva ascendieron a 2 mil 408 millones de dólares en el cuarto trimestre de 2024, cifra mayor a los 532 millones mostrados en el mismo trimestre del año anterior. </w:t>
      </w:r>
    </w:p>
    <w:p w14:paraId="1F72162F"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México continuó atrayendo IED, acumulando 36 mil 872 millones de dólares al cierre del cuarto trimestre de 2024, un nivel récord según cifras preliminares. Destacaron los 9 mil 931 millones destinados a la industria de equipo de transporte, el monto más alto desde que se tiene registro (1999).</w:t>
      </w:r>
    </w:p>
    <w:p w14:paraId="341401BE"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Durante el primer trimestre de 2025, el sistema financiero mexicano registró episodios de volatilidad y aversión al riesgo derivados de la incertidumbre generada por las políticas comerciales en EE.UU. y sus posibles repercusiones en la actividad económica, así como las tensiones geopolíticas. No obstante, el sistema financiero se mantuvo sólido y el sector bancario continuó bien capitalizado, con niveles de morosidad tolerables. </w:t>
      </w:r>
    </w:p>
    <w:p w14:paraId="7F142DE4"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Al 31 de marzo, el tipo de cambio se ubicó en 20.44 pesos por dólar estadounidense, lo que representó una apreciación de 1.7% respecto al cierre del trimestre previo. Este comportamiento se debió, en gran parte, al debilitamiento del dólar en 3.9%, medido por el índice DXY, así como al amplio diferencial de tasas entre Banxico y la FED, lo que volvió atractivo al peso mexicano. Otras divisas de países emergentes como el real brasileño, el peso colombiano, el peso chileno y el rand sudafricano, también registraron apreciaciones durante el mismo periodo de 8.3, 5.3, 4.6 y 2.8%, respectivamente. </w:t>
      </w:r>
    </w:p>
    <w:p w14:paraId="38A90F6A"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La volatilidad implícita del tipo de cambio a un mes cerró en 13.2% al final del primer trimestre, lo que implicó un aumento de 6 </w:t>
      </w:r>
      <w:proofErr w:type="spellStart"/>
      <w:r w:rsidRPr="00A444DB">
        <w:rPr>
          <w:rFonts w:ascii="Arial" w:hAnsi="Arial" w:cs="Arial"/>
          <w:sz w:val="18"/>
          <w:szCs w:val="18"/>
        </w:rPr>
        <w:t>pp</w:t>
      </w:r>
      <w:proofErr w:type="spellEnd"/>
      <w:r w:rsidRPr="00A444DB">
        <w:rPr>
          <w:rFonts w:ascii="Arial" w:hAnsi="Arial" w:cs="Arial"/>
          <w:sz w:val="18"/>
          <w:szCs w:val="18"/>
        </w:rPr>
        <w:t xml:space="preserve"> respecto al trimestre anterior. En paralelo, el riesgo país en México, medido por el EMBI+, subió </w:t>
      </w:r>
      <w:r w:rsidRPr="00A444DB">
        <w:rPr>
          <w:rFonts w:ascii="Arial" w:hAnsi="Arial" w:cs="Arial"/>
          <w:sz w:val="18"/>
          <w:szCs w:val="18"/>
        </w:rPr>
        <w:lastRenderedPageBreak/>
        <w:t xml:space="preserve">8 pb, alcanzando 221 puntos. Este incremento fue menor en comparación con el promedio de las economías emergentes, que creció 32 pb en el mismo período. </w:t>
      </w:r>
    </w:p>
    <w:p w14:paraId="36B255F6"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En materia de política monetaria, durante el primer trimestre, Banxico realizó dos recortes de 50 pb en su tasa de referencia, el 6 de febrero y el 27 de marzo, hasta situarse en 9.00%. En su última reunión, la Junta de Gobierno señaló que podría seguir ajustando su postura monetaria en magnitud similar. Lo anterior provocó reducciones en toda la curva de rendimientos en pesos. Así, los bonos del Gobierno Federal a 10 años se situaron en 9.34%, con una caída de 108 pb respecto al trimestre anterior; mientras que la pendiente de la curva de 10 y 2 años se mantuvo positiva en 82 pb al cierre del trimestre.</w:t>
      </w:r>
    </w:p>
    <w:p w14:paraId="61EBE83F"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En el mercado de renta variable, el Índice de Precios y Cotizaciones (IPC) cerró el primer trimestre de 2025 en 52 mil 484 unidades, un aumento de 6.0% respecto al cierre del trimestre previo. Al interior, prácticamente todos los componentes mostraron un comportamiento positivo liderado por los sectores de consumo frecuente, materiales y financiero quienes crecieron 11.9, 8.5, y 6.9%, respectivamente; sólo el sector de telecomunicaciones retrocedió 0.9%. </w:t>
      </w:r>
    </w:p>
    <w:p w14:paraId="660F379E"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En febrero de 2025, el crédito vigente al sector privado no financiero de la banca comercial creció 1.4% real respecto a diciembre de 2024, con cifras ajustadas por estacionalidad. Al interior, el crédito al consumo registró un crecimiento de 1.5% real, principalmente, por los segmentos automotriz y de tarjetas de crédito. El crédito a la vivienda aumentó 0.4% real, a pesar de una reducción en el segmento de interés social. La cartera empresarial, por su parte, creció 0.1% por un aumento en las manufacturas, construcción y comercio, que compensaron caídas en rubros como servicios de información de medios masivos, agropecuario y electricidad. </w:t>
      </w:r>
    </w:p>
    <w:p w14:paraId="4F952EE9"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Por su parte, el ICAP de la banca comercial se ubicó en 19.93% en febrero, superando el mínimo regulatorio de Basilea III (10.5%), mientras que la tasa de morosidad en febrero se ubicó en 2.03% y la ajustada por quitas y castigos se ubicó en 4.15%, por debajo de niveles previos de estrés como los observados en 2009 y 2020.</w:t>
      </w:r>
    </w:p>
    <w:p w14:paraId="0404B496"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En el primer trimestre de 2025, las finanzas públicas registraron una evolución ordenada, en apego a los criterios de normalización fiscal planteados en el Paquete Económico y al cumplimiento de las metas aprobadas por el H. Congreso de la Unión. Lo anterior se vio favorecido por la solidez de los ingresos presupuestarios, los cuales exhibieron la segunda tasa de crecimiento real más alta desde 2006 para el periodo enero-marzo. En su interior, la recaudación tributaria reflejó los resultados de las medidas para mejorar la fiscalización, así como un efecto de calendarización relacionado con el último día hábil para el pago definitivo del ISR por parte de las personas morales, mismo que en 2024 se recorrió hasta abril. En el caso del gasto público, se observó una asignación estratégica de recursos a programas con impacto directo en el bienestar y el desarrollo económico. Además, durante el periodo, destacó la continuidad de los esfuerzos para reducir el gasto de operación distinto de servicios personales.</w:t>
      </w:r>
    </w:p>
    <w:p w14:paraId="12E1C6D0"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Tlaxcala tiene una localización geográfica estratégica al encontrarse en la región centro del país, integrada por los Estados de Guanajuato, Hidalgo, Morelos, Puebla, Querétaro, Ciudad de México y Estado de México; colindando con Hidalgo, Puebla y el Estado de México. Una parte de los Municipios de la Entidad se integran a las zonas metropolitanas de Tlaxcala-Apizaco y Puebla-Tlaxcala, por lo que la presencia de estas ciudades es </w:t>
      </w:r>
      <w:proofErr w:type="gramStart"/>
      <w:r w:rsidRPr="00A444DB">
        <w:rPr>
          <w:rFonts w:ascii="Arial" w:hAnsi="Arial" w:cs="Arial"/>
          <w:sz w:val="18"/>
          <w:szCs w:val="18"/>
        </w:rPr>
        <w:t>indicativo</w:t>
      </w:r>
      <w:proofErr w:type="gramEnd"/>
      <w:r w:rsidRPr="00A444DB">
        <w:rPr>
          <w:rFonts w:ascii="Arial" w:hAnsi="Arial" w:cs="Arial"/>
          <w:sz w:val="18"/>
          <w:szCs w:val="18"/>
        </w:rPr>
        <w:t xml:space="preserve"> de una participación importante en actividades comerciales y de servicios orientados al consumidor.</w:t>
      </w:r>
    </w:p>
    <w:p w14:paraId="38151B1E"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En 2020, la población en Tlaxcala fue de 1,342,977 habitantes (48.4% hombres y 51.6% mujeres). En comparación a 2010, la población en Tlaxcala creció un 14.8%. Las ventas internacionales de Tlaxcala en 2023 decrecieron un 0.74% respecto al año anterior. Los productos con mayor nivel de ventas internacionales en 2023 fueron Asientos Convertibles o no en Camas y Partes, Fibra de Vidrio, Lana de Vidrio y Manufacturas de esta materia y Partes y Accesorios de Vehículos Automotores.</w:t>
      </w:r>
    </w:p>
    <w:p w14:paraId="45C25270"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Las exportaciones de Tlaxcala en 2024 fueron de 1,578 millones de dólares, las cuales decrecieron un 1.94% respecto al año anterior. Los productos con mayores exportaciones en 2024 fueron Aparatos Eléctricos para Conmutar o Proteger Circuitos Eléctricos, Asientos Convertibles o no en Camas y Partes y Fibra de Vidrio, Lana de Vidrio, y Manufacturas de esta Materia.</w:t>
      </w:r>
    </w:p>
    <w:p w14:paraId="428F256D" w14:textId="77777777" w:rsidR="00A444DB" w:rsidRPr="00A444DB" w:rsidRDefault="00A444DB" w:rsidP="00A444DB">
      <w:pPr>
        <w:tabs>
          <w:tab w:val="left" w:pos="284"/>
        </w:tabs>
        <w:ind w:left="284"/>
        <w:jc w:val="both"/>
        <w:rPr>
          <w:rFonts w:ascii="Arial" w:hAnsi="Arial" w:cs="Arial"/>
          <w:sz w:val="18"/>
          <w:szCs w:val="18"/>
          <w:lang w:val="es-ES_tradnl"/>
        </w:rPr>
      </w:pPr>
      <w:r w:rsidRPr="00A444DB">
        <w:rPr>
          <w:rFonts w:ascii="Arial" w:hAnsi="Arial" w:cs="Arial"/>
          <w:sz w:val="18"/>
          <w:szCs w:val="18"/>
          <w:lang w:val="es-ES_tradnl"/>
        </w:rPr>
        <w:t xml:space="preserve">Las importaciones de Tlaxcala en 2024 fueron de 1,492 millones de dólares, las cuales crecieron un 2.59% respecto al año anterior. Los productos con mayor importación en 2024 fueron Piezas para el Uso de Aparatos Usados en Protección de Circuitos Eléctricos, con un Voltaje Superior a 1000 V y Tableros, Paneles, para Control y Distribución </w:t>
      </w:r>
      <w:r w:rsidRPr="00A444DB">
        <w:rPr>
          <w:rFonts w:ascii="Arial" w:hAnsi="Arial" w:cs="Arial"/>
          <w:sz w:val="18"/>
          <w:szCs w:val="18"/>
          <w:lang w:val="es-ES_tradnl"/>
        </w:rPr>
        <w:lastRenderedPageBreak/>
        <w:t>de Electricidad, Aparatos Eléctricos para Conmutar o Proteger Circuitos Eléctricos y Polímeros de Acetato de Vinilo o de otros Ésteres Vinílicos, en Formas Primarias; los Demás Polímeros Vinílicos en Formas Primarias.</w:t>
      </w:r>
    </w:p>
    <w:p w14:paraId="54754539"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En abril de 2025, las ventas internacionales de Tlaxcala fueron de 126 millones de dólares y un total de 118 millones de dólares en compras internacionales. Para este mes el balance comercial neto de Tlaxcala fue de 8.45 millones de dólares.</w:t>
      </w:r>
    </w:p>
    <w:p w14:paraId="31ED75FF"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En Tlaxcala, la estructura productiva del sector servicios tiene una gran variedad de actividades que han mostrado crecimiento y concentración, la industria automotriz es una de las principales actividades en el Estado, debiéndose en buena medida su dinamismo a que las empresas instaladas son proveedoras o distribuidoras de Volkswagen de México. En el sector terciario coexisten actividades de mayor dinamismo económico que responden al comportamiento nacional por sus vínculos a la producción, y una alta concentración en las zonas urbanas.</w:t>
      </w:r>
    </w:p>
    <w:p w14:paraId="5E28AF23"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En 2024, la economía de Tlaxcala ha mostrado un crecimiento mixto. En el primer trimestre, la actividad económica estatal creció un 1.2% a tasa anual, con las actividades primarias descendiendo (-5.8%), las secundarias creciendo (0.7%) y las terciarias aumentando (1.7%). En el tercer trimestre, se registró un aumento del 2.6% en ciertas actividades, y una contribución de 0.01 puntos porcentuales al total nacional, ubicándose en el lugar 16 a nivel nacional, se ha observado un crecimiento promedio del 1.54% en los últimos dos trimestres, aunque este crecimiento aún está por debajo de la meta del 4.5% anual.</w:t>
      </w:r>
    </w:p>
    <w:p w14:paraId="2CC48615"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Se espera que Tlaxcala siga registrando márgenes operativos positivos en 2025, pero menores a los observados en años previos a la pandemia, debido principalmente a la disminución en las transferencias federales no etiquetadas (participaciones) al cierre de 2024. Si bien, se espera que las participaciones se ubiquen en términos de lo programado, en caso de no cumplirse la estimación ante la reducción de la recaudación federal participable, el Gobierno Federal previó la potenciación del Fondo de Estabilización de los Ingresos de las Entidades Federativas (FEIEF) con miras a proteger la disponibilidad de recursos de los Estados y Municipios. </w:t>
      </w:r>
    </w:p>
    <w:p w14:paraId="030A140D"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La política fiscal que se implementará en el ejercicio 2025, tendrá como finalidad mantener un balance presupuestario positivo, procurando que las fuentes de ingreso financien el gasto corriente del ejercicio, por lo que se estima que se sigan registrando márgenes operativos positivos al cierre de 2025, pero menores a los registrados en ejercicios anteriores. Los resultados financieros balanceados y la política de deuda conservadora, han permitido que desde el ejercicio 2008 el Estado de Tlaxcala haya registrado una posición libre de endeudamiento.</w:t>
      </w:r>
    </w:p>
    <w:p w14:paraId="5BCF772A"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Asimismo, con la finalidad de controlar el crecimiento del gasto, se puso en marcha el Acuerdo que Establece los Lineamientos y Políticas Generales del Ejercicio del Presupuesto, las Medidas de Mejora y Modernización, así como de Austeridad del Gasto Público de la Gestión Administrativa, destacando entre otras medidas para limitar el crecimiento del presupuesto, el establecimiento de topes a ciertos rubros del gasto.</w:t>
      </w:r>
    </w:p>
    <w:p w14:paraId="5672A084"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Se estima que para 2025, los ingresos propios se mantengan en niveles similares a los de 2024, en línea con las previsiones efectuadas por el Gobierno Federal, considerando que los recursos destinados a las entidades federativas por participaciones, al mes de mayo corresponde a 624,038.8 millones de pesos, lo que representa un crecimiento de 3% con respecto al 2024.</w:t>
      </w:r>
    </w:p>
    <w:p w14:paraId="2D957FB9"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La liquidez del Estado de Tlaxcala es un factor que permite enfrentar choques externos imprevistos, por lo que se espera que el efectivo del Estado cubra al menos el 0.5% de los pasivos promedio para 2024 y 2025, como resultado del buen manejo del presupuesto.</w:t>
      </w:r>
    </w:p>
    <w:p w14:paraId="6543C440"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El comportamiento de los ingresos derivados de fuentes locales en los últimos 5 años, ha presentado un comportamiento creciente, derivado de las acciones implementadas, enfocadas a la simplificación administrativa y a la mejora en la prestación de servicios a la ciudadanía; sin embargo, durante el ejercicio 2020 esta estabilidad se vio afectada por los efectos de la pandemia ocasionada por la COVID-19.</w:t>
      </w:r>
    </w:p>
    <w:p w14:paraId="0F2DBAC7"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 xml:space="preserve">Ante un panorama económico que puede presentar riesgos en el corto y en el mediano plazo, esta administración no prevé la creación de nuevos impuestos ni el incremento de los ya vigentes, por lo que será una tarea fundamental el implementar una política fiscal que favorezca el financiamiento del gasto público, permitiendo </w:t>
      </w:r>
      <w:proofErr w:type="spellStart"/>
      <w:r w:rsidRPr="00A444DB">
        <w:rPr>
          <w:rFonts w:ascii="Arial" w:hAnsi="Arial" w:cs="Arial"/>
          <w:sz w:val="18"/>
          <w:szCs w:val="18"/>
        </w:rPr>
        <w:t>eficientar</w:t>
      </w:r>
      <w:proofErr w:type="spellEnd"/>
      <w:r w:rsidRPr="00A444DB">
        <w:rPr>
          <w:rFonts w:ascii="Arial" w:hAnsi="Arial" w:cs="Arial"/>
          <w:sz w:val="18"/>
          <w:szCs w:val="18"/>
        </w:rPr>
        <w:t xml:space="preserve"> la administración y recaudación de las diferentes fuentes de ingresos.</w:t>
      </w:r>
    </w:p>
    <w:p w14:paraId="3DA1E615"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lastRenderedPageBreak/>
        <w:t>En materia de incentivos fiscales estatales, se han propuesto políticas de fomento económico para impulsar la creación de nuevos empleos y generar cadenas productivas en el ámbito rural e industrial, que permitan atraer la atención de inversionistas al Estado.</w:t>
      </w:r>
    </w:p>
    <w:p w14:paraId="54130D82"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Observando el principio de justicia tributaria, se prevé otorgar estímulos en materia del Impuesto Sobre Nóminas a empresas que ya se encuentren instaladas y a las de nueva creación con domicilio fiscal en el Estado, que contraten adultos mayores y a personas con alguna discapacidad; por otra parte, se continuará subsidiando el pago del Impuesto Estatal Sobre Tenencia o Uso de Vehículos.</w:t>
      </w:r>
    </w:p>
    <w:p w14:paraId="09003398"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Asimismo, se otorgan beneficios a los propietarios, tenedores o usuarios de vehículos automotores híbridos que circulen en la Entidad, otorgándoles una exención del 100% en el pago del Impuesto Estatal Sobre Tenencia o Uso de Vehículos y de los Derechos por Registro y Control Vehicular; la reducción en el cobro de infracciones, estableciendo un tabulador para tal efecto, a fin de otorgar certeza jurídica a los infractores que se les imponga alguna multa por los supuestos establecidos en el Reglamento de la Ley de Comunicaciones y Transportes en el Estado de Tlaxcala en Materia de Transporte Público y Privado, así como facilidades a los propietarios de motocicletas para su registro en el Padrón Estatal Vehicular.</w:t>
      </w:r>
    </w:p>
    <w:p w14:paraId="7DA86A56"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El Gobierno del Estado considera prioritaria una estrategia de inclusión social con perspectiva de género, por lo que la atención de los derechos de las niñas, niños y adolescentes de 0 a 5 años y adolescentes hasta los 18 años es fundamental, por lo que se han emprendido acciones que permiten identificar plenamente los recursos que son ejercidos en estos rubros por las Dependencias del Estado, previniendo rezagos y desigualdades, para lo que se incorporarán propuestas y estrategias de desarrollo con perspectiva de género al interior de éstas.</w:t>
      </w:r>
    </w:p>
    <w:p w14:paraId="5D89FCA1"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Al mes de mayo de 2025 la tasa de ocupación reflejó una participación del 1% al total nacional, presentando un incremento de 1,666 puestos de trabajo permanentes respecto a diciembre de 2024. Al mes de mayo de 2025, se tienen registrados 117,952 trabajadores asegurados en el IMSS, tal y como se muestra en los cuadros siguientes:</w:t>
      </w:r>
    </w:p>
    <w:p w14:paraId="4BB05789" w14:textId="6FDDAC74" w:rsidR="00A444DB" w:rsidRPr="00A444DB" w:rsidRDefault="00A444DB" w:rsidP="00A444DB">
      <w:pPr>
        <w:tabs>
          <w:tab w:val="left" w:pos="284"/>
        </w:tabs>
        <w:ind w:left="284"/>
        <w:jc w:val="both"/>
        <w:rPr>
          <w:rFonts w:ascii="Arial" w:hAnsi="Arial" w:cs="Arial"/>
          <w:sz w:val="18"/>
          <w:szCs w:val="18"/>
          <w:lang w:val="es-ES"/>
        </w:rPr>
      </w:pPr>
      <w:r w:rsidRPr="00A444DB">
        <w:rPr>
          <w:rFonts w:ascii="Arial" w:hAnsi="Arial" w:cs="Arial"/>
          <w:noProof/>
          <w:sz w:val="18"/>
          <w:szCs w:val="18"/>
          <w:lang w:val="es-ES_tradnl"/>
        </w:rPr>
        <w:drawing>
          <wp:inline distT="0" distB="0" distL="0" distR="0" wp14:anchorId="75219CE6" wp14:editId="20A6F2AD">
            <wp:extent cx="5684292" cy="4523740"/>
            <wp:effectExtent l="0" t="0" r="0" b="0"/>
            <wp:docPr id="92265265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l="27582" t="20802" r="25317" b="8511"/>
                    <a:stretch>
                      <a:fillRect/>
                    </a:stretch>
                  </pic:blipFill>
                  <pic:spPr bwMode="auto">
                    <a:xfrm>
                      <a:off x="0" y="0"/>
                      <a:ext cx="5688982" cy="4527473"/>
                    </a:xfrm>
                    <a:prstGeom prst="rect">
                      <a:avLst/>
                    </a:prstGeom>
                    <a:noFill/>
                    <a:ln>
                      <a:noFill/>
                    </a:ln>
                  </pic:spPr>
                </pic:pic>
              </a:graphicData>
            </a:graphic>
          </wp:inline>
        </w:drawing>
      </w:r>
    </w:p>
    <w:p w14:paraId="471B10EA" w14:textId="77777777" w:rsidR="00A444DB" w:rsidRPr="00A444DB" w:rsidRDefault="00A444DB" w:rsidP="00A444DB">
      <w:pPr>
        <w:tabs>
          <w:tab w:val="left" w:pos="284"/>
        </w:tabs>
        <w:ind w:left="284"/>
        <w:jc w:val="both"/>
        <w:rPr>
          <w:rFonts w:ascii="Arial" w:hAnsi="Arial" w:cs="Arial"/>
          <w:bCs/>
          <w:sz w:val="18"/>
          <w:szCs w:val="18"/>
          <w:lang w:val="es-ES_tradnl"/>
        </w:rPr>
      </w:pPr>
      <w:r w:rsidRPr="00A444DB">
        <w:rPr>
          <w:rFonts w:ascii="Arial" w:hAnsi="Arial" w:cs="Arial"/>
          <w:bCs/>
          <w:sz w:val="18"/>
          <w:szCs w:val="18"/>
          <w:lang w:val="es-ES_tradnl"/>
        </w:rPr>
        <w:lastRenderedPageBreak/>
        <w:t>De acuerdo al Directorio Estadístico Nacional de Unidades Económicas, Tlaxcala cuenta con 98,711 Unidades Económicas al mes de junio de 2025, lo que representa una participación del 1% del Estado en el total nacional. Al primer trimestre de 2025 la Población Económicamente Activa (PEA) ascendió a 692,989 personas, representando el 60% de la población en edad de trabajar. Del total de la PEA, el 97% está ocupada y el 3% se encuentra desocupada.</w:t>
      </w:r>
    </w:p>
    <w:p w14:paraId="577227BA" w14:textId="72C84355" w:rsidR="00A444DB" w:rsidRPr="00A444DB" w:rsidRDefault="00A444DB" w:rsidP="00A444DB">
      <w:pPr>
        <w:tabs>
          <w:tab w:val="left" w:pos="284"/>
        </w:tabs>
        <w:ind w:left="284"/>
        <w:jc w:val="both"/>
        <w:rPr>
          <w:rFonts w:ascii="Arial" w:hAnsi="Arial" w:cs="Arial"/>
          <w:sz w:val="18"/>
          <w:szCs w:val="18"/>
          <w:lang w:val="es-ES"/>
        </w:rPr>
      </w:pPr>
      <w:r w:rsidRPr="00A444DB">
        <w:rPr>
          <w:rFonts w:ascii="Arial" w:hAnsi="Arial" w:cs="Arial"/>
          <w:noProof/>
          <w:sz w:val="18"/>
          <w:szCs w:val="18"/>
          <w:lang w:val="es-ES_tradnl"/>
        </w:rPr>
        <w:drawing>
          <wp:inline distT="0" distB="0" distL="0" distR="0" wp14:anchorId="258D0962" wp14:editId="39C26C79">
            <wp:extent cx="5943600" cy="4205605"/>
            <wp:effectExtent l="0" t="0" r="0" b="4445"/>
            <wp:docPr id="93715108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l="22670" t="22379" r="23805" b="6479"/>
                    <a:stretch>
                      <a:fillRect/>
                    </a:stretch>
                  </pic:blipFill>
                  <pic:spPr bwMode="auto">
                    <a:xfrm>
                      <a:off x="0" y="0"/>
                      <a:ext cx="5943600" cy="4205605"/>
                    </a:xfrm>
                    <a:prstGeom prst="rect">
                      <a:avLst/>
                    </a:prstGeom>
                    <a:noFill/>
                    <a:ln>
                      <a:noFill/>
                    </a:ln>
                  </pic:spPr>
                </pic:pic>
              </a:graphicData>
            </a:graphic>
          </wp:inline>
        </w:drawing>
      </w:r>
    </w:p>
    <w:p w14:paraId="516AF199" w14:textId="77777777" w:rsidR="00A444DB" w:rsidRPr="00A444DB" w:rsidRDefault="00A444DB" w:rsidP="00A444DB">
      <w:pPr>
        <w:tabs>
          <w:tab w:val="left" w:pos="284"/>
        </w:tabs>
        <w:ind w:left="284"/>
        <w:jc w:val="both"/>
        <w:rPr>
          <w:rFonts w:ascii="Arial" w:hAnsi="Arial" w:cs="Arial"/>
          <w:sz w:val="18"/>
          <w:szCs w:val="18"/>
          <w:lang w:val="es-ES"/>
        </w:rPr>
      </w:pPr>
      <w:r w:rsidRPr="00A444DB">
        <w:rPr>
          <w:rFonts w:ascii="Arial" w:hAnsi="Arial" w:cs="Arial"/>
          <w:sz w:val="18"/>
          <w:szCs w:val="18"/>
          <w:lang w:val="es-ES"/>
        </w:rPr>
        <w:t>El Indicador Trimestral de la Actividad Económica Estatal (ITAEE), reveló para el caso de Tlaxcala que la variación trimestral de la actividad económica al cuarto trimestre de 2024 es de -1.0 %, a tasa anual. Las actividades primarias reportaron un incremento anual de 1.2 %, las secundarias decrecieron 5.3 % y las terciarias aumentaron 1.6 por ciento.</w:t>
      </w:r>
    </w:p>
    <w:p w14:paraId="75233512" w14:textId="77777777" w:rsidR="00A444DB" w:rsidRPr="00A444DB" w:rsidRDefault="00A444DB" w:rsidP="00A444DB">
      <w:pPr>
        <w:tabs>
          <w:tab w:val="left" w:pos="284"/>
        </w:tabs>
        <w:ind w:left="284"/>
        <w:jc w:val="both"/>
        <w:rPr>
          <w:rFonts w:ascii="Arial" w:hAnsi="Arial" w:cs="Arial"/>
          <w:sz w:val="18"/>
          <w:szCs w:val="18"/>
          <w:lang w:val="es-ES"/>
        </w:rPr>
      </w:pPr>
      <w:r w:rsidRPr="00A444DB">
        <w:rPr>
          <w:rFonts w:ascii="Arial" w:hAnsi="Arial" w:cs="Arial"/>
          <w:sz w:val="18"/>
          <w:szCs w:val="18"/>
        </w:rPr>
        <w:t>En el cuarto trimestre de 2024, las actividades primarias (sector Agricultura, cría y explotación de animales, aprovechamiento forestal, pesca y caza) reportaron un incremento anual de 1.2 por ciento. Con ello, Tlaxcala se situó en el lugar 14 a nivel nacional.</w:t>
      </w:r>
    </w:p>
    <w:p w14:paraId="42B3185D"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Las actividades secundarias corresponden a los sectores dedicados a la industria de la minería, manufacturas, construcción y electricidad. El descenso anual de 5.3 % en estas actividades ubicó a Tlaxcala en el lugar 26 de las 32 entidades federativas.</w:t>
      </w:r>
    </w:p>
    <w:p w14:paraId="6DA9C1AE" w14:textId="77777777" w:rsidR="00A444DB" w:rsidRPr="00A444DB" w:rsidRDefault="00A444DB" w:rsidP="00A444DB">
      <w:pPr>
        <w:tabs>
          <w:tab w:val="left" w:pos="284"/>
        </w:tabs>
        <w:ind w:left="284"/>
        <w:jc w:val="both"/>
        <w:rPr>
          <w:rFonts w:ascii="Arial" w:hAnsi="Arial" w:cs="Arial"/>
          <w:sz w:val="18"/>
          <w:szCs w:val="18"/>
        </w:rPr>
      </w:pPr>
      <w:r w:rsidRPr="00A444DB">
        <w:rPr>
          <w:rFonts w:ascii="Arial" w:hAnsi="Arial" w:cs="Arial"/>
          <w:sz w:val="18"/>
          <w:szCs w:val="18"/>
        </w:rPr>
        <w:t>Las actividades terciarias incluyen los sectores que se dedican a la distribución de bienes, a operaciones con información o con activos, así como a servicios cuyo insumo principal es el conocimiento y la experiencia del personal. Asimismo, incluyen lo relacionado con la recreación y el gobierno. En el cuarto trimestre de 2024, Tlaxcala registró una variación anual de 1.6 % en estas actividades. Así, se ubicó en el lugar 13 a nivel nacional.</w:t>
      </w:r>
    </w:p>
    <w:p w14:paraId="325EDED3" w14:textId="77777777" w:rsidR="00A444DB" w:rsidRDefault="00A444DB" w:rsidP="00A444DB">
      <w:pPr>
        <w:tabs>
          <w:tab w:val="left" w:pos="284"/>
        </w:tabs>
        <w:ind w:left="284"/>
        <w:jc w:val="both"/>
        <w:rPr>
          <w:rFonts w:ascii="Arial" w:hAnsi="Arial" w:cs="Arial"/>
          <w:sz w:val="18"/>
          <w:szCs w:val="18"/>
          <w:lang w:val="es-ES"/>
        </w:rPr>
      </w:pPr>
      <w:r w:rsidRPr="00A444DB">
        <w:rPr>
          <w:rFonts w:ascii="Arial" w:hAnsi="Arial" w:cs="Arial"/>
          <w:sz w:val="18"/>
          <w:szCs w:val="18"/>
        </w:rPr>
        <w:t>Finalmente, en el cuarto trimestre de 2024, debido al retroceso de 1.0 % en el total de la actividad económica, Tlaxcala se ubicó en el lugar 24 a nivel nacional y contribuyó con -0.01 puntos porcentuales a la variación nacional</w:t>
      </w:r>
      <w:r w:rsidRPr="00A444DB">
        <w:rPr>
          <w:rFonts w:ascii="Arial" w:hAnsi="Arial" w:cs="Arial"/>
          <w:sz w:val="18"/>
          <w:szCs w:val="18"/>
          <w:lang w:val="es-ES"/>
        </w:rPr>
        <w:t>.</w:t>
      </w:r>
    </w:p>
    <w:p w14:paraId="30E19AF4" w14:textId="77777777" w:rsidR="00A444DB" w:rsidRDefault="00A444DB" w:rsidP="00A444DB">
      <w:pPr>
        <w:tabs>
          <w:tab w:val="left" w:pos="284"/>
        </w:tabs>
        <w:ind w:left="284"/>
        <w:jc w:val="both"/>
        <w:rPr>
          <w:rFonts w:ascii="Arial" w:hAnsi="Arial" w:cs="Arial"/>
          <w:sz w:val="18"/>
          <w:szCs w:val="18"/>
          <w:lang w:val="es-ES"/>
        </w:rPr>
      </w:pPr>
    </w:p>
    <w:p w14:paraId="260A7EB9" w14:textId="77777777" w:rsidR="00A444DB" w:rsidRPr="00A444DB" w:rsidRDefault="00A444DB" w:rsidP="00A444DB">
      <w:pPr>
        <w:tabs>
          <w:tab w:val="left" w:pos="284"/>
        </w:tabs>
        <w:ind w:left="284"/>
        <w:jc w:val="both"/>
        <w:rPr>
          <w:rFonts w:ascii="Arial" w:hAnsi="Arial" w:cs="Arial"/>
          <w:sz w:val="18"/>
          <w:szCs w:val="18"/>
          <w:lang w:val="es-ES"/>
        </w:rPr>
      </w:pPr>
    </w:p>
    <w:p w14:paraId="4A829014" w14:textId="5235F03B" w:rsidR="00A444DB" w:rsidRPr="00A444DB" w:rsidRDefault="00A444DB" w:rsidP="00A444DB">
      <w:pPr>
        <w:tabs>
          <w:tab w:val="left" w:pos="284"/>
        </w:tabs>
        <w:ind w:left="284"/>
        <w:jc w:val="both"/>
        <w:rPr>
          <w:rFonts w:ascii="Arial" w:hAnsi="Arial" w:cs="Arial"/>
          <w:sz w:val="18"/>
          <w:szCs w:val="18"/>
          <w:lang w:val="es-ES"/>
        </w:rPr>
      </w:pPr>
      <w:r w:rsidRPr="00A444DB">
        <w:rPr>
          <w:rFonts w:ascii="Arial" w:hAnsi="Arial" w:cs="Arial"/>
          <w:noProof/>
          <w:sz w:val="18"/>
          <w:szCs w:val="18"/>
          <w:lang w:val="es-ES_tradnl"/>
        </w:rPr>
        <w:drawing>
          <wp:inline distT="0" distB="0" distL="0" distR="0" wp14:anchorId="2EADC8BF" wp14:editId="493C4675">
            <wp:extent cx="5657850" cy="5854605"/>
            <wp:effectExtent l="0" t="0" r="0" b="0"/>
            <wp:docPr id="84428331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l="31490" t="25050" r="32506" b="6813"/>
                    <a:stretch>
                      <a:fillRect/>
                    </a:stretch>
                  </pic:blipFill>
                  <pic:spPr bwMode="auto">
                    <a:xfrm>
                      <a:off x="0" y="0"/>
                      <a:ext cx="5660728" cy="5857583"/>
                    </a:xfrm>
                    <a:prstGeom prst="rect">
                      <a:avLst/>
                    </a:prstGeom>
                    <a:noFill/>
                    <a:ln>
                      <a:noFill/>
                    </a:ln>
                  </pic:spPr>
                </pic:pic>
              </a:graphicData>
            </a:graphic>
          </wp:inline>
        </w:drawing>
      </w:r>
    </w:p>
    <w:p w14:paraId="0DDE2104" w14:textId="77777777" w:rsidR="00A444DB" w:rsidRDefault="00A444DB" w:rsidP="00A444DB">
      <w:pPr>
        <w:tabs>
          <w:tab w:val="left" w:pos="284"/>
        </w:tabs>
        <w:ind w:left="284"/>
        <w:jc w:val="both"/>
        <w:rPr>
          <w:rFonts w:ascii="Arial" w:hAnsi="Arial" w:cs="Arial"/>
          <w:sz w:val="18"/>
          <w:szCs w:val="18"/>
          <w:lang w:val="es-ES"/>
        </w:rPr>
      </w:pPr>
      <w:r w:rsidRPr="00A444DB">
        <w:rPr>
          <w:rFonts w:ascii="Arial" w:hAnsi="Arial" w:cs="Arial"/>
          <w:sz w:val="18"/>
          <w:szCs w:val="18"/>
          <w:lang w:val="es-ES"/>
        </w:rPr>
        <w:t>Al primer trimestre de 2025, la Inversión Extranjera Directa Acumulada del año 2006 al mes de marzo de 2025 en el Estado de Tlaxcala fue de 3,342.0 millones de dólares, lo que representó un aporte del 1.0% al total nacional, instalándose empresas de diversas nacionalidades en el país, tal y como se observa en el cuadro comparativo siguiente:</w:t>
      </w:r>
    </w:p>
    <w:p w14:paraId="1985A536" w14:textId="77777777" w:rsidR="00A444DB" w:rsidRDefault="00A444DB" w:rsidP="00A444DB">
      <w:pPr>
        <w:tabs>
          <w:tab w:val="left" w:pos="284"/>
        </w:tabs>
        <w:ind w:left="284"/>
        <w:jc w:val="both"/>
        <w:rPr>
          <w:rFonts w:ascii="Arial" w:hAnsi="Arial" w:cs="Arial"/>
          <w:sz w:val="18"/>
          <w:szCs w:val="18"/>
          <w:lang w:val="es-ES"/>
        </w:rPr>
      </w:pPr>
    </w:p>
    <w:p w14:paraId="5B5C89E7" w14:textId="77777777" w:rsidR="00A444DB" w:rsidRDefault="00A444DB" w:rsidP="00A444DB">
      <w:pPr>
        <w:tabs>
          <w:tab w:val="left" w:pos="284"/>
        </w:tabs>
        <w:ind w:left="284"/>
        <w:jc w:val="both"/>
        <w:rPr>
          <w:rFonts w:ascii="Arial" w:hAnsi="Arial" w:cs="Arial"/>
          <w:sz w:val="18"/>
          <w:szCs w:val="18"/>
          <w:lang w:val="es-ES"/>
        </w:rPr>
      </w:pPr>
    </w:p>
    <w:p w14:paraId="4B126DD2" w14:textId="77777777" w:rsidR="00A444DB" w:rsidRDefault="00A444DB" w:rsidP="00A444DB">
      <w:pPr>
        <w:tabs>
          <w:tab w:val="left" w:pos="284"/>
        </w:tabs>
        <w:ind w:left="284"/>
        <w:jc w:val="both"/>
        <w:rPr>
          <w:rFonts w:ascii="Arial" w:hAnsi="Arial" w:cs="Arial"/>
          <w:sz w:val="18"/>
          <w:szCs w:val="18"/>
          <w:lang w:val="es-ES"/>
        </w:rPr>
      </w:pPr>
    </w:p>
    <w:p w14:paraId="6D989F09" w14:textId="77777777" w:rsidR="00A444DB" w:rsidRDefault="00A444DB" w:rsidP="00A444DB">
      <w:pPr>
        <w:tabs>
          <w:tab w:val="left" w:pos="284"/>
        </w:tabs>
        <w:ind w:left="284"/>
        <w:jc w:val="both"/>
        <w:rPr>
          <w:rFonts w:ascii="Arial" w:hAnsi="Arial" w:cs="Arial"/>
          <w:sz w:val="18"/>
          <w:szCs w:val="18"/>
          <w:lang w:val="es-ES"/>
        </w:rPr>
      </w:pPr>
    </w:p>
    <w:p w14:paraId="6BA660FF" w14:textId="77777777" w:rsidR="00A444DB" w:rsidRDefault="00A444DB" w:rsidP="00A444DB">
      <w:pPr>
        <w:tabs>
          <w:tab w:val="left" w:pos="284"/>
        </w:tabs>
        <w:ind w:left="284"/>
        <w:jc w:val="both"/>
        <w:rPr>
          <w:rFonts w:ascii="Arial" w:hAnsi="Arial" w:cs="Arial"/>
          <w:sz w:val="18"/>
          <w:szCs w:val="18"/>
          <w:lang w:val="es-ES"/>
        </w:rPr>
      </w:pPr>
    </w:p>
    <w:p w14:paraId="0CF499D4" w14:textId="77777777" w:rsidR="00A444DB" w:rsidRDefault="00A444DB" w:rsidP="00A444DB">
      <w:pPr>
        <w:tabs>
          <w:tab w:val="left" w:pos="284"/>
        </w:tabs>
        <w:ind w:left="284"/>
        <w:jc w:val="both"/>
        <w:rPr>
          <w:rFonts w:ascii="Arial" w:hAnsi="Arial" w:cs="Arial"/>
          <w:sz w:val="18"/>
          <w:szCs w:val="18"/>
          <w:lang w:val="es-ES"/>
        </w:rPr>
      </w:pPr>
    </w:p>
    <w:p w14:paraId="7F516753" w14:textId="77777777" w:rsidR="00A444DB" w:rsidRPr="00A444DB" w:rsidRDefault="00A444DB" w:rsidP="00A444DB">
      <w:pPr>
        <w:tabs>
          <w:tab w:val="left" w:pos="284"/>
        </w:tabs>
        <w:ind w:left="284"/>
        <w:jc w:val="both"/>
        <w:rPr>
          <w:rFonts w:ascii="Arial" w:hAnsi="Arial" w:cs="Arial"/>
          <w:sz w:val="18"/>
          <w:szCs w:val="18"/>
          <w:lang w:val="es-ES"/>
        </w:rPr>
      </w:pPr>
    </w:p>
    <w:p w14:paraId="1DA55073" w14:textId="07705B9B" w:rsidR="00A444DB" w:rsidRPr="00A444DB" w:rsidRDefault="00A444DB" w:rsidP="00A444DB">
      <w:pPr>
        <w:tabs>
          <w:tab w:val="left" w:pos="284"/>
        </w:tabs>
        <w:ind w:left="284"/>
        <w:jc w:val="both"/>
        <w:rPr>
          <w:rFonts w:ascii="Arial" w:hAnsi="Arial" w:cs="Arial"/>
          <w:sz w:val="18"/>
          <w:szCs w:val="18"/>
          <w:lang w:val="es-ES"/>
        </w:rPr>
      </w:pPr>
      <w:r w:rsidRPr="00A444DB">
        <w:rPr>
          <w:rFonts w:ascii="Arial" w:hAnsi="Arial" w:cs="Arial"/>
          <w:noProof/>
          <w:sz w:val="18"/>
          <w:szCs w:val="18"/>
          <w:lang w:val="es-ES_tradnl"/>
        </w:rPr>
        <w:drawing>
          <wp:inline distT="0" distB="0" distL="0" distR="0" wp14:anchorId="5BFB208D" wp14:editId="2DC8B263">
            <wp:extent cx="5943600" cy="3639820"/>
            <wp:effectExtent l="0" t="0" r="0" b="0"/>
            <wp:docPr id="51674420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639820"/>
                    </a:xfrm>
                    <a:prstGeom prst="rect">
                      <a:avLst/>
                    </a:prstGeom>
                    <a:noFill/>
                    <a:ln>
                      <a:noFill/>
                    </a:ln>
                  </pic:spPr>
                </pic:pic>
              </a:graphicData>
            </a:graphic>
          </wp:inline>
        </w:drawing>
      </w:r>
    </w:p>
    <w:p w14:paraId="6A0C15E1" w14:textId="77777777" w:rsidR="00A444DB" w:rsidRPr="00A444DB" w:rsidRDefault="00A444DB" w:rsidP="00A444DB">
      <w:pPr>
        <w:tabs>
          <w:tab w:val="left" w:pos="284"/>
        </w:tabs>
        <w:ind w:left="284"/>
        <w:jc w:val="both"/>
        <w:rPr>
          <w:rFonts w:ascii="Arial" w:hAnsi="Arial" w:cs="Arial"/>
          <w:sz w:val="18"/>
          <w:szCs w:val="18"/>
          <w:lang w:val="es-ES"/>
        </w:rPr>
      </w:pPr>
      <w:r w:rsidRPr="00A444DB">
        <w:rPr>
          <w:rFonts w:ascii="Arial" w:hAnsi="Arial" w:cs="Arial"/>
          <w:sz w:val="18"/>
          <w:szCs w:val="18"/>
          <w:lang w:val="es-ES"/>
        </w:rPr>
        <w:t>La economía del Estado es débil en relación con otras Entidades Federativas, lo que limita su capacidad de generación de ingresos de la base fiscal regional; se espera que las actividades productivas del Estado se desarrollen a la par de las nacionales durante el transcurso del ejercicio 2025. La evolución de las finanzas públicas del Estado obedece a la dinámica recaudatoria de los ingresos estatales totales y de las transferencias federales, las que a su vez son determinados por el comportamiento de la Recaudación Federal Participable (RFP); representando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de Coordinación Fiscal para evitar la doble tributación, por lo que las finanzas estatales son muy sensibles al comportamiento de la economía nacional y de los choques externos.</w:t>
      </w:r>
    </w:p>
    <w:p w14:paraId="1315B2DB" w14:textId="6417DDA3" w:rsidR="00833657" w:rsidRPr="00833657" w:rsidRDefault="00833657" w:rsidP="00833657">
      <w:pPr>
        <w:tabs>
          <w:tab w:val="left" w:pos="284"/>
        </w:tabs>
        <w:ind w:left="284"/>
        <w:jc w:val="both"/>
        <w:rPr>
          <w:rFonts w:ascii="Arial" w:hAnsi="Arial" w:cs="Arial"/>
          <w:sz w:val="18"/>
          <w:szCs w:val="18"/>
          <w:lang w:val="es-ES"/>
        </w:rPr>
      </w:pPr>
      <w:r w:rsidRPr="00833657">
        <w:rPr>
          <w:rFonts w:ascii="Arial" w:hAnsi="Arial" w:cs="Arial"/>
          <w:sz w:val="18"/>
          <w:szCs w:val="18"/>
          <w:lang w:val="es-ES"/>
        </w:rPr>
        <w:t>En función de los factores antes mencionados, las perspectivas económicas locales en el corto plazo son moderadamente favorables, por lo que el manejo del gasto es un factor fundamental en el quehacer gubernamental, lo cual redundará en mejores condiciones económicas para el Estado y los Municipios en el mediano plazo.</w:t>
      </w:r>
    </w:p>
    <w:p w14:paraId="251F6FBE" w14:textId="77777777" w:rsidR="008C10B0" w:rsidRPr="001240AA" w:rsidRDefault="008C10B0" w:rsidP="008C10B0">
      <w:pPr>
        <w:tabs>
          <w:tab w:val="left" w:pos="284"/>
        </w:tabs>
        <w:ind w:left="284"/>
        <w:jc w:val="both"/>
        <w:rPr>
          <w:rFonts w:ascii="Arial" w:hAnsi="Arial" w:cs="Arial"/>
          <w:sz w:val="18"/>
          <w:szCs w:val="18"/>
        </w:rPr>
      </w:pPr>
      <w:r w:rsidRPr="001240AA">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14:paraId="420E8FE9" w14:textId="77777777" w:rsidR="008C10B0" w:rsidRDefault="008C10B0" w:rsidP="008C10B0">
      <w:pPr>
        <w:pStyle w:val="Texto"/>
        <w:numPr>
          <w:ilvl w:val="0"/>
          <w:numId w:val="6"/>
        </w:numPr>
        <w:tabs>
          <w:tab w:val="left" w:pos="284"/>
        </w:tabs>
        <w:spacing w:after="0" w:line="276" w:lineRule="auto"/>
        <w:rPr>
          <w:b/>
          <w:szCs w:val="18"/>
          <w:lang w:val="es-MX"/>
        </w:rPr>
      </w:pPr>
      <w:r>
        <w:rPr>
          <w:b/>
          <w:szCs w:val="18"/>
          <w:lang w:val="es-MX"/>
        </w:rPr>
        <w:t>Organización y Objeto Social</w:t>
      </w:r>
    </w:p>
    <w:p w14:paraId="43B3A6D9"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 xml:space="preserve">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en términos de lo establecido por el Artículo 44; presentar al Congreso en los primeros quince días del mes de </w:t>
      </w:r>
      <w:r>
        <w:rPr>
          <w:rFonts w:ascii="Arial" w:hAnsi="Arial" w:cs="Arial"/>
          <w:sz w:val="18"/>
          <w:szCs w:val="18"/>
        </w:rPr>
        <w:lastRenderedPageBreak/>
        <w:t>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14:paraId="5E14BE6D"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El Gobierno del Estado, a través de la Secretaría de Finanzas es la dependencia encargada de la administración de la Hacienda Pública; entre muchas de sus labores,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14:paraId="5CDA5581" w14:textId="77777777" w:rsidR="008C10B0" w:rsidRDefault="008C10B0" w:rsidP="008C10B0">
      <w:pPr>
        <w:pStyle w:val="Texto"/>
        <w:numPr>
          <w:ilvl w:val="0"/>
          <w:numId w:val="6"/>
        </w:numPr>
        <w:tabs>
          <w:tab w:val="left" w:pos="284"/>
        </w:tabs>
        <w:spacing w:after="0" w:line="276" w:lineRule="auto"/>
        <w:rPr>
          <w:b/>
          <w:szCs w:val="18"/>
          <w:lang w:val="es-MX"/>
        </w:rPr>
      </w:pPr>
      <w:r>
        <w:rPr>
          <w:b/>
          <w:szCs w:val="18"/>
          <w:lang w:val="es-MX"/>
        </w:rPr>
        <w:t>Bases de Preparación de los Estados Financieros</w:t>
      </w:r>
    </w:p>
    <w:p w14:paraId="3F0F2402"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14:paraId="42E53B04"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del CONAC.</w:t>
      </w:r>
    </w:p>
    <w:p w14:paraId="6F15DD92"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14:paraId="34E21111"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14:paraId="5FB589B9" w14:textId="77777777" w:rsidR="008C10B0" w:rsidRPr="00FB4A59" w:rsidRDefault="008C10B0" w:rsidP="008C10B0">
      <w:pPr>
        <w:pStyle w:val="Texto"/>
        <w:numPr>
          <w:ilvl w:val="0"/>
          <w:numId w:val="6"/>
        </w:numPr>
        <w:tabs>
          <w:tab w:val="left" w:pos="284"/>
        </w:tabs>
        <w:spacing w:after="0" w:line="276" w:lineRule="auto"/>
        <w:rPr>
          <w:b/>
          <w:szCs w:val="18"/>
          <w:lang w:val="es-MX"/>
        </w:rPr>
      </w:pPr>
      <w:r w:rsidRPr="00FB4A59">
        <w:rPr>
          <w:b/>
          <w:szCs w:val="18"/>
          <w:lang w:val="es-MX"/>
        </w:rPr>
        <w:t>Políticas de Contabilidad Significativas</w:t>
      </w:r>
    </w:p>
    <w:p w14:paraId="52716229"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14:paraId="2F9B974F" w14:textId="332BFA74" w:rsidR="008C10B0" w:rsidRDefault="008C10B0" w:rsidP="008C10B0">
      <w:pPr>
        <w:tabs>
          <w:tab w:val="left" w:pos="284"/>
        </w:tabs>
        <w:ind w:left="284"/>
        <w:jc w:val="both"/>
        <w:rPr>
          <w:rFonts w:ascii="Arial" w:hAnsi="Arial" w:cs="Arial"/>
          <w:sz w:val="18"/>
          <w:szCs w:val="18"/>
        </w:rPr>
      </w:pPr>
      <w:r>
        <w:rPr>
          <w:rFonts w:ascii="Arial" w:hAnsi="Arial" w:cs="Arial"/>
          <w:sz w:val="18"/>
          <w:szCs w:val="18"/>
        </w:rPr>
        <w:t xml:space="preserve">Los registros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w:t>
      </w:r>
      <w:r>
        <w:rPr>
          <w:rFonts w:ascii="Arial" w:hAnsi="Arial" w:cs="Arial"/>
          <w:sz w:val="18"/>
          <w:szCs w:val="18"/>
        </w:rPr>
        <w:lastRenderedPageBreak/>
        <w:t>percibidos o realizados.</w:t>
      </w:r>
      <w:r w:rsidR="002D48B0">
        <w:rPr>
          <w:rFonts w:ascii="Arial" w:hAnsi="Arial" w:cs="Arial"/>
          <w:sz w:val="18"/>
          <w:szCs w:val="18"/>
        </w:rPr>
        <w:t xml:space="preserve"> </w:t>
      </w:r>
      <w:r>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r w:rsidR="002D48B0">
        <w:rPr>
          <w:rFonts w:ascii="Arial" w:hAnsi="Arial" w:cs="Arial"/>
          <w:sz w:val="18"/>
          <w:szCs w:val="18"/>
        </w:rPr>
        <w:t xml:space="preserve"> </w:t>
      </w:r>
      <w:r>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r w:rsidR="002D48B0">
        <w:rPr>
          <w:rFonts w:ascii="Arial" w:hAnsi="Arial" w:cs="Arial"/>
          <w:sz w:val="18"/>
          <w:szCs w:val="18"/>
        </w:rPr>
        <w:t xml:space="preserve"> </w:t>
      </w:r>
      <w:r>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p>
    <w:p w14:paraId="7F08907B" w14:textId="77777777" w:rsidR="008C10B0" w:rsidRPr="003A3004" w:rsidRDefault="008C10B0" w:rsidP="008C10B0">
      <w:pPr>
        <w:pStyle w:val="Prrafodelista"/>
        <w:numPr>
          <w:ilvl w:val="0"/>
          <w:numId w:val="6"/>
        </w:numPr>
        <w:tabs>
          <w:tab w:val="left" w:pos="284"/>
        </w:tabs>
        <w:jc w:val="both"/>
        <w:rPr>
          <w:rFonts w:ascii="Arial" w:eastAsia="Times New Roman" w:hAnsi="Arial" w:cs="Arial"/>
          <w:b/>
          <w:sz w:val="18"/>
          <w:szCs w:val="18"/>
          <w:lang w:eastAsia="es-ES"/>
        </w:rPr>
      </w:pPr>
      <w:r w:rsidRPr="003A3004">
        <w:rPr>
          <w:rFonts w:ascii="Arial" w:eastAsia="Times New Roman" w:hAnsi="Arial" w:cs="Arial"/>
          <w:b/>
          <w:sz w:val="18"/>
          <w:szCs w:val="18"/>
          <w:lang w:eastAsia="es-ES"/>
        </w:rPr>
        <w:t>Posición en Moneda Extranjera y Protección por Riesgo Cambiario</w:t>
      </w:r>
    </w:p>
    <w:p w14:paraId="069BB646" w14:textId="61DAF66E" w:rsidR="008C10B0" w:rsidRPr="00C733C0" w:rsidRDefault="008C10B0" w:rsidP="008C10B0">
      <w:pPr>
        <w:tabs>
          <w:tab w:val="left" w:pos="284"/>
        </w:tabs>
        <w:ind w:left="288"/>
        <w:jc w:val="both"/>
        <w:rPr>
          <w:rFonts w:ascii="Arial" w:hAnsi="Arial" w:cs="Arial"/>
          <w:sz w:val="18"/>
          <w:szCs w:val="18"/>
        </w:rPr>
      </w:pPr>
      <w:r w:rsidRPr="00C733C0">
        <w:rPr>
          <w:rFonts w:ascii="Arial" w:hAnsi="Arial" w:cs="Arial"/>
          <w:sz w:val="18"/>
          <w:szCs w:val="18"/>
        </w:rPr>
        <w:t xml:space="preserve">Se informa que al </w:t>
      </w:r>
      <w:r w:rsidR="008736CF">
        <w:rPr>
          <w:rFonts w:ascii="Arial" w:hAnsi="Arial" w:cs="Arial"/>
          <w:sz w:val="18"/>
          <w:szCs w:val="18"/>
        </w:rPr>
        <w:t>3</w:t>
      </w:r>
      <w:r w:rsidR="00A444DB">
        <w:rPr>
          <w:rFonts w:ascii="Arial" w:hAnsi="Arial" w:cs="Arial"/>
          <w:sz w:val="18"/>
          <w:szCs w:val="18"/>
        </w:rPr>
        <w:t>0</w:t>
      </w:r>
      <w:r w:rsidR="008736CF">
        <w:rPr>
          <w:rFonts w:ascii="Arial" w:hAnsi="Arial" w:cs="Arial"/>
          <w:sz w:val="18"/>
          <w:szCs w:val="18"/>
        </w:rPr>
        <w:t xml:space="preserve"> de </w:t>
      </w:r>
      <w:r w:rsidR="00A444DB">
        <w:rPr>
          <w:rFonts w:ascii="Arial" w:hAnsi="Arial" w:cs="Arial"/>
          <w:sz w:val="18"/>
          <w:szCs w:val="18"/>
        </w:rPr>
        <w:t>junio</w:t>
      </w:r>
      <w:r w:rsidR="008736CF">
        <w:rPr>
          <w:rFonts w:ascii="Arial" w:hAnsi="Arial" w:cs="Arial"/>
          <w:sz w:val="18"/>
          <w:szCs w:val="18"/>
        </w:rPr>
        <w:t xml:space="preserve"> d</w:t>
      </w:r>
      <w:r w:rsidRPr="00C733C0">
        <w:rPr>
          <w:rFonts w:ascii="Arial" w:hAnsi="Arial" w:cs="Arial"/>
          <w:sz w:val="18"/>
          <w:szCs w:val="18"/>
        </w:rPr>
        <w:t>el ejercicio 202</w:t>
      </w:r>
      <w:r w:rsidR="008736CF">
        <w:rPr>
          <w:rFonts w:ascii="Arial" w:hAnsi="Arial" w:cs="Arial"/>
          <w:sz w:val="18"/>
          <w:szCs w:val="18"/>
        </w:rPr>
        <w:t>5</w:t>
      </w:r>
      <w:r w:rsidRPr="00C733C0">
        <w:rPr>
          <w:rFonts w:ascii="Arial" w:hAnsi="Arial" w:cs="Arial"/>
          <w:sz w:val="18"/>
          <w:szCs w:val="18"/>
        </w:rPr>
        <w:t xml:space="preserve">, el Poder Ejecutivo </w:t>
      </w:r>
      <w:r>
        <w:rPr>
          <w:rFonts w:ascii="Arial" w:hAnsi="Arial" w:cs="Arial"/>
          <w:sz w:val="18"/>
          <w:szCs w:val="18"/>
        </w:rPr>
        <w:t>no</w:t>
      </w:r>
      <w:r w:rsidRPr="00C733C0">
        <w:rPr>
          <w:rFonts w:ascii="Arial" w:hAnsi="Arial" w:cs="Arial"/>
          <w:sz w:val="18"/>
          <w:szCs w:val="18"/>
        </w:rPr>
        <w:t xml:space="preserve"> tiene activos o pasivos en moneda extranjera</w:t>
      </w:r>
      <w:r>
        <w:rPr>
          <w:rFonts w:ascii="Arial" w:hAnsi="Arial" w:cs="Arial"/>
          <w:sz w:val="18"/>
          <w:szCs w:val="18"/>
        </w:rPr>
        <w:t>.</w:t>
      </w:r>
    </w:p>
    <w:p w14:paraId="1EAC4B03" w14:textId="77777777" w:rsidR="008C10B0" w:rsidRPr="003A3004" w:rsidRDefault="008C10B0" w:rsidP="008C10B0">
      <w:pPr>
        <w:pStyle w:val="Prrafodelista"/>
        <w:numPr>
          <w:ilvl w:val="0"/>
          <w:numId w:val="6"/>
        </w:numPr>
        <w:tabs>
          <w:tab w:val="left" w:pos="284"/>
        </w:tabs>
        <w:jc w:val="both"/>
        <w:rPr>
          <w:rFonts w:ascii="Arial" w:eastAsia="Times New Roman" w:hAnsi="Arial" w:cs="Arial"/>
          <w:b/>
          <w:sz w:val="18"/>
          <w:szCs w:val="18"/>
          <w:lang w:eastAsia="es-ES"/>
        </w:rPr>
      </w:pPr>
      <w:r w:rsidRPr="003A3004">
        <w:rPr>
          <w:rFonts w:ascii="Arial" w:eastAsia="Times New Roman" w:hAnsi="Arial" w:cs="Arial"/>
          <w:b/>
          <w:sz w:val="18"/>
          <w:szCs w:val="18"/>
          <w:lang w:eastAsia="es-ES"/>
        </w:rPr>
        <w:t>Reporte Analítico del Activo</w:t>
      </w:r>
    </w:p>
    <w:p w14:paraId="52C672AD" w14:textId="08E7891D" w:rsidR="008C10B0" w:rsidRPr="001A2210" w:rsidRDefault="008C10B0" w:rsidP="008C10B0">
      <w:pPr>
        <w:tabs>
          <w:tab w:val="left" w:pos="284"/>
        </w:tabs>
        <w:ind w:left="284"/>
        <w:jc w:val="both"/>
        <w:rPr>
          <w:rFonts w:ascii="Arial" w:hAnsi="Arial" w:cs="Arial"/>
          <w:sz w:val="18"/>
          <w:szCs w:val="18"/>
        </w:rPr>
      </w:pPr>
      <w:r w:rsidRPr="001A2210">
        <w:rPr>
          <w:rFonts w:ascii="Arial" w:hAnsi="Arial" w:cs="Arial"/>
          <w:sz w:val="18"/>
          <w:szCs w:val="18"/>
        </w:rPr>
        <w:t xml:space="preserve">Al </w:t>
      </w:r>
      <w:r w:rsidR="008736CF">
        <w:rPr>
          <w:rFonts w:ascii="Arial" w:hAnsi="Arial" w:cs="Arial"/>
          <w:sz w:val="18"/>
          <w:szCs w:val="18"/>
        </w:rPr>
        <w:t>3</w:t>
      </w:r>
      <w:r w:rsidR="00A444DB">
        <w:rPr>
          <w:rFonts w:ascii="Arial" w:hAnsi="Arial" w:cs="Arial"/>
          <w:sz w:val="18"/>
          <w:szCs w:val="18"/>
        </w:rPr>
        <w:t>0</w:t>
      </w:r>
      <w:r w:rsidR="008736CF">
        <w:rPr>
          <w:rFonts w:ascii="Arial" w:hAnsi="Arial" w:cs="Arial"/>
          <w:sz w:val="18"/>
          <w:szCs w:val="18"/>
        </w:rPr>
        <w:t xml:space="preserve"> de </w:t>
      </w:r>
      <w:r w:rsidR="00A444DB">
        <w:rPr>
          <w:rFonts w:ascii="Arial" w:hAnsi="Arial" w:cs="Arial"/>
          <w:sz w:val="18"/>
          <w:szCs w:val="18"/>
        </w:rPr>
        <w:t>juni</w:t>
      </w:r>
      <w:r w:rsidR="008736CF">
        <w:rPr>
          <w:rFonts w:ascii="Arial" w:hAnsi="Arial" w:cs="Arial"/>
          <w:sz w:val="18"/>
          <w:szCs w:val="18"/>
        </w:rPr>
        <w:t>o d</w:t>
      </w:r>
      <w:r w:rsidR="008736CF" w:rsidRPr="00C733C0">
        <w:rPr>
          <w:rFonts w:ascii="Arial" w:hAnsi="Arial" w:cs="Arial"/>
          <w:sz w:val="18"/>
          <w:szCs w:val="18"/>
        </w:rPr>
        <w:t>el ejercicio 202</w:t>
      </w:r>
      <w:r w:rsidR="008736CF">
        <w:rPr>
          <w:rFonts w:ascii="Arial" w:hAnsi="Arial" w:cs="Arial"/>
          <w:sz w:val="18"/>
          <w:szCs w:val="18"/>
        </w:rPr>
        <w:t>5</w:t>
      </w:r>
      <w:r w:rsidRPr="001A2210">
        <w:rPr>
          <w:rFonts w:ascii="Arial" w:hAnsi="Arial" w:cs="Arial"/>
          <w:sz w:val="18"/>
          <w:szCs w:val="18"/>
        </w:rPr>
        <w:t>, el saldo reflejado en la cuenta de bienes muebles es de $</w:t>
      </w:r>
      <w:r w:rsidR="008736CF" w:rsidRPr="008736CF">
        <w:rPr>
          <w:rFonts w:ascii="Arial" w:hAnsi="Arial" w:cs="Arial"/>
          <w:sz w:val="18"/>
          <w:szCs w:val="18"/>
        </w:rPr>
        <w:t>3</w:t>
      </w:r>
      <w:r w:rsidR="008736CF">
        <w:rPr>
          <w:rFonts w:ascii="Arial" w:hAnsi="Arial" w:cs="Arial"/>
          <w:sz w:val="18"/>
          <w:szCs w:val="18"/>
        </w:rPr>
        <w:t>,</w:t>
      </w:r>
      <w:r w:rsidR="008736CF" w:rsidRPr="008736CF">
        <w:rPr>
          <w:rFonts w:ascii="Arial" w:hAnsi="Arial" w:cs="Arial"/>
          <w:sz w:val="18"/>
          <w:szCs w:val="18"/>
        </w:rPr>
        <w:t>536</w:t>
      </w:r>
      <w:r w:rsidR="008736CF">
        <w:rPr>
          <w:rFonts w:ascii="Arial" w:hAnsi="Arial" w:cs="Arial"/>
          <w:sz w:val="18"/>
          <w:szCs w:val="18"/>
        </w:rPr>
        <w:t>,</w:t>
      </w:r>
      <w:r w:rsidR="008736CF" w:rsidRPr="008736CF">
        <w:rPr>
          <w:rFonts w:ascii="Arial" w:hAnsi="Arial" w:cs="Arial"/>
          <w:sz w:val="18"/>
          <w:szCs w:val="18"/>
        </w:rPr>
        <w:t>942</w:t>
      </w:r>
      <w:r w:rsidR="003A3004">
        <w:rPr>
          <w:rFonts w:ascii="Arial" w:hAnsi="Arial" w:cs="Arial"/>
          <w:sz w:val="18"/>
          <w:szCs w:val="18"/>
        </w:rPr>
        <w:t>,</w:t>
      </w:r>
      <w:r w:rsidR="008736CF" w:rsidRPr="008736CF">
        <w:rPr>
          <w:rFonts w:ascii="Arial" w:hAnsi="Arial" w:cs="Arial"/>
          <w:sz w:val="18"/>
          <w:szCs w:val="18"/>
        </w:rPr>
        <w:t>630</w:t>
      </w:r>
      <w:r w:rsidRPr="001A2210">
        <w:rPr>
          <w:rFonts w:ascii="Arial" w:hAnsi="Arial" w:cs="Arial"/>
          <w:sz w:val="18"/>
          <w:szCs w:val="18"/>
        </w:rPr>
        <w:t>, integrado por mobiliario y equipo de administración; instrumental médico y de laboratorio; equipo de transporte; equipo de defensa y seguridad; maquinaria y equipo agropecuario necesarios</w:t>
      </w:r>
      <w:r>
        <w:rPr>
          <w:rFonts w:ascii="Arial" w:hAnsi="Arial" w:cs="Arial"/>
          <w:sz w:val="18"/>
          <w:szCs w:val="18"/>
        </w:rPr>
        <w:t xml:space="preserve"> y </w:t>
      </w:r>
      <w:r w:rsidRPr="00F619D6">
        <w:rPr>
          <w:rFonts w:ascii="Arial" w:hAnsi="Arial" w:cs="Arial"/>
          <w:sz w:val="18"/>
          <w:szCs w:val="18"/>
        </w:rPr>
        <w:t>la cuenta de bienes inmuebles es de $</w:t>
      </w:r>
      <w:r w:rsidR="003A3004" w:rsidRPr="003A3004">
        <w:rPr>
          <w:rFonts w:ascii="Arial" w:hAnsi="Arial" w:cs="Arial"/>
          <w:sz w:val="18"/>
          <w:szCs w:val="18"/>
        </w:rPr>
        <w:t>11</w:t>
      </w:r>
      <w:r w:rsidR="003A3004">
        <w:rPr>
          <w:rFonts w:ascii="Arial" w:hAnsi="Arial" w:cs="Arial"/>
          <w:sz w:val="18"/>
          <w:szCs w:val="18"/>
        </w:rPr>
        <w:t>,</w:t>
      </w:r>
      <w:r w:rsidR="003A3004" w:rsidRPr="003A3004">
        <w:rPr>
          <w:rFonts w:ascii="Arial" w:hAnsi="Arial" w:cs="Arial"/>
          <w:sz w:val="18"/>
          <w:szCs w:val="18"/>
        </w:rPr>
        <w:t>006</w:t>
      </w:r>
      <w:r w:rsidR="003A3004">
        <w:rPr>
          <w:rFonts w:ascii="Arial" w:hAnsi="Arial" w:cs="Arial"/>
          <w:sz w:val="18"/>
          <w:szCs w:val="18"/>
        </w:rPr>
        <w:t>,</w:t>
      </w:r>
      <w:r w:rsidR="003A3004" w:rsidRPr="003A3004">
        <w:rPr>
          <w:rFonts w:ascii="Arial" w:hAnsi="Arial" w:cs="Arial"/>
          <w:sz w:val="18"/>
          <w:szCs w:val="18"/>
        </w:rPr>
        <w:t>896</w:t>
      </w:r>
      <w:r w:rsidR="003A3004">
        <w:rPr>
          <w:rFonts w:ascii="Arial" w:hAnsi="Arial" w:cs="Arial"/>
          <w:sz w:val="18"/>
          <w:szCs w:val="18"/>
        </w:rPr>
        <w:t>,</w:t>
      </w:r>
      <w:r w:rsidR="003A3004" w:rsidRPr="003A3004">
        <w:rPr>
          <w:rFonts w:ascii="Arial" w:hAnsi="Arial" w:cs="Arial"/>
          <w:sz w:val="18"/>
          <w:szCs w:val="18"/>
        </w:rPr>
        <w:t>175</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w:t>
      </w:r>
      <w:r>
        <w:rPr>
          <w:rFonts w:ascii="Arial" w:hAnsi="Arial" w:cs="Arial"/>
          <w:sz w:val="18"/>
          <w:szCs w:val="18"/>
        </w:rPr>
        <w:t>l</w:t>
      </w:r>
      <w:r w:rsidRPr="0073056A">
        <w:rPr>
          <w:rFonts w:ascii="Arial" w:hAnsi="Arial" w:cs="Arial"/>
          <w:sz w:val="18"/>
          <w:szCs w:val="18"/>
        </w:rPr>
        <w:t xml:space="preserve"> </w:t>
      </w:r>
      <w:r>
        <w:rPr>
          <w:rFonts w:ascii="Arial" w:hAnsi="Arial" w:cs="Arial"/>
          <w:sz w:val="18"/>
          <w:szCs w:val="18"/>
        </w:rPr>
        <w:t>ente</w:t>
      </w:r>
      <w:r w:rsidRPr="0073056A">
        <w:rPr>
          <w:rFonts w:ascii="Arial" w:hAnsi="Arial" w:cs="Arial"/>
          <w:sz w:val="18"/>
          <w:szCs w:val="18"/>
        </w:rPr>
        <w:t xml:space="preserve"> público</w:t>
      </w:r>
      <w:r w:rsidRPr="001A2210">
        <w:rPr>
          <w:rFonts w:ascii="Arial" w:hAnsi="Arial" w:cs="Arial"/>
          <w:sz w:val="18"/>
          <w:szCs w:val="18"/>
        </w:rPr>
        <w:t xml:space="preserve"> para el desarrollo de las funci</w:t>
      </w:r>
      <w:r>
        <w:rPr>
          <w:rFonts w:ascii="Arial" w:hAnsi="Arial" w:cs="Arial"/>
          <w:sz w:val="18"/>
          <w:szCs w:val="18"/>
        </w:rPr>
        <w:t>ones de derecho público.</w:t>
      </w:r>
    </w:p>
    <w:p w14:paraId="222A46B8" w14:textId="77777777" w:rsidR="008C10B0" w:rsidRPr="003A3004" w:rsidRDefault="008C10B0" w:rsidP="008C10B0">
      <w:pPr>
        <w:pStyle w:val="Prrafodelista"/>
        <w:numPr>
          <w:ilvl w:val="0"/>
          <w:numId w:val="6"/>
        </w:numPr>
        <w:tabs>
          <w:tab w:val="left" w:pos="284"/>
        </w:tabs>
        <w:jc w:val="both"/>
        <w:rPr>
          <w:rFonts w:ascii="Arial" w:eastAsia="Times New Roman" w:hAnsi="Arial" w:cs="Arial"/>
          <w:b/>
          <w:sz w:val="18"/>
          <w:szCs w:val="18"/>
          <w:lang w:eastAsia="es-ES"/>
        </w:rPr>
      </w:pPr>
      <w:r w:rsidRPr="003A3004">
        <w:rPr>
          <w:rFonts w:ascii="Arial" w:eastAsia="Times New Roman" w:hAnsi="Arial" w:cs="Arial"/>
          <w:b/>
          <w:sz w:val="18"/>
          <w:szCs w:val="18"/>
          <w:lang w:eastAsia="es-ES"/>
        </w:rPr>
        <w:t>Fideicomisos, Mandatos y Análogos</w:t>
      </w:r>
    </w:p>
    <w:p w14:paraId="4AE7BB96" w14:textId="7F8EAC27" w:rsidR="008C10B0" w:rsidRPr="001A2210" w:rsidRDefault="008C10B0" w:rsidP="008C10B0">
      <w:pPr>
        <w:tabs>
          <w:tab w:val="left" w:pos="284"/>
        </w:tabs>
        <w:ind w:left="284"/>
        <w:jc w:val="both"/>
        <w:rPr>
          <w:rFonts w:ascii="Arial" w:eastAsia="Times New Roman" w:hAnsi="Arial" w:cs="Arial"/>
          <w:b/>
          <w:sz w:val="18"/>
          <w:szCs w:val="18"/>
          <w:lang w:eastAsia="es-ES"/>
        </w:rPr>
      </w:pPr>
      <w:r>
        <w:rPr>
          <w:rFonts w:ascii="Arial" w:hAnsi="Arial" w:cs="Arial"/>
          <w:sz w:val="18"/>
          <w:szCs w:val="18"/>
        </w:rPr>
        <w:t xml:space="preserve">Al </w:t>
      </w:r>
      <w:r w:rsidR="003A3004">
        <w:rPr>
          <w:rFonts w:ascii="Arial" w:hAnsi="Arial" w:cs="Arial"/>
          <w:sz w:val="18"/>
          <w:szCs w:val="18"/>
        </w:rPr>
        <w:t>3</w:t>
      </w:r>
      <w:r w:rsidR="00A444DB">
        <w:rPr>
          <w:rFonts w:ascii="Arial" w:hAnsi="Arial" w:cs="Arial"/>
          <w:sz w:val="18"/>
          <w:szCs w:val="18"/>
        </w:rPr>
        <w:t>0</w:t>
      </w:r>
      <w:r w:rsidR="003A3004">
        <w:rPr>
          <w:rFonts w:ascii="Arial" w:hAnsi="Arial" w:cs="Arial"/>
          <w:sz w:val="18"/>
          <w:szCs w:val="18"/>
        </w:rPr>
        <w:t xml:space="preserve"> de </w:t>
      </w:r>
      <w:r w:rsidR="00A444DB">
        <w:rPr>
          <w:rFonts w:ascii="Arial" w:hAnsi="Arial" w:cs="Arial"/>
          <w:sz w:val="18"/>
          <w:szCs w:val="18"/>
        </w:rPr>
        <w:t>juni</w:t>
      </w:r>
      <w:r w:rsidR="003A3004">
        <w:rPr>
          <w:rFonts w:ascii="Arial" w:hAnsi="Arial" w:cs="Arial"/>
          <w:sz w:val="18"/>
          <w:szCs w:val="18"/>
        </w:rPr>
        <w:t>o d</w:t>
      </w:r>
      <w:r w:rsidR="003A3004" w:rsidRPr="00C733C0">
        <w:rPr>
          <w:rFonts w:ascii="Arial" w:hAnsi="Arial" w:cs="Arial"/>
          <w:sz w:val="18"/>
          <w:szCs w:val="18"/>
        </w:rPr>
        <w:t>el ejercicio 202</w:t>
      </w:r>
      <w:r w:rsidR="003A3004">
        <w:rPr>
          <w:rFonts w:ascii="Arial" w:hAnsi="Arial" w:cs="Arial"/>
          <w:sz w:val="18"/>
          <w:szCs w:val="18"/>
        </w:rPr>
        <w:t>5</w:t>
      </w:r>
      <w:r>
        <w:rPr>
          <w:rFonts w:ascii="Arial" w:hAnsi="Arial" w:cs="Arial"/>
          <w:sz w:val="18"/>
          <w:szCs w:val="18"/>
        </w:rPr>
        <w:t xml:space="preserve"> el Poder Ejecutivo cuenta con Inversiones en Fideicomisos sin estructura orgánica por un importe de $</w:t>
      </w:r>
      <w:r w:rsidR="003A3004">
        <w:rPr>
          <w:rFonts w:ascii="Arial" w:hAnsi="Arial" w:cs="Arial"/>
          <w:sz w:val="18"/>
          <w:szCs w:val="18"/>
        </w:rPr>
        <w:t>486</w:t>
      </w:r>
      <w:r>
        <w:rPr>
          <w:rFonts w:ascii="Arial" w:hAnsi="Arial" w:cs="Arial"/>
          <w:sz w:val="18"/>
          <w:szCs w:val="18"/>
        </w:rPr>
        <w:t>,</w:t>
      </w:r>
      <w:r w:rsidR="003A3004">
        <w:rPr>
          <w:rFonts w:ascii="Arial" w:hAnsi="Arial" w:cs="Arial"/>
          <w:sz w:val="18"/>
          <w:szCs w:val="18"/>
        </w:rPr>
        <w:t>136</w:t>
      </w:r>
      <w:r>
        <w:rPr>
          <w:rFonts w:ascii="Arial" w:hAnsi="Arial" w:cs="Arial"/>
          <w:sz w:val="18"/>
          <w:szCs w:val="18"/>
        </w:rPr>
        <w:t>,</w:t>
      </w:r>
      <w:r w:rsidR="003A3004">
        <w:rPr>
          <w:rFonts w:ascii="Arial" w:hAnsi="Arial" w:cs="Arial"/>
          <w:sz w:val="18"/>
          <w:szCs w:val="18"/>
        </w:rPr>
        <w:t>823</w:t>
      </w:r>
      <w:r>
        <w:rPr>
          <w:rFonts w:ascii="Arial" w:hAnsi="Arial" w:cs="Arial"/>
          <w:sz w:val="18"/>
          <w:szCs w:val="18"/>
        </w:rPr>
        <w:t>.</w:t>
      </w:r>
    </w:p>
    <w:p w14:paraId="371452EB" w14:textId="77777777" w:rsidR="008C10B0" w:rsidRPr="00EC084F" w:rsidRDefault="008C10B0" w:rsidP="008C10B0">
      <w:pPr>
        <w:pStyle w:val="Prrafodelista"/>
        <w:numPr>
          <w:ilvl w:val="0"/>
          <w:numId w:val="6"/>
        </w:numPr>
        <w:tabs>
          <w:tab w:val="left" w:pos="284"/>
        </w:tabs>
        <w:jc w:val="both"/>
        <w:rPr>
          <w:rFonts w:ascii="Arial" w:eastAsia="Times New Roman" w:hAnsi="Arial" w:cs="Arial"/>
          <w:b/>
          <w:sz w:val="18"/>
          <w:szCs w:val="18"/>
          <w:lang w:eastAsia="es-ES"/>
        </w:rPr>
      </w:pPr>
      <w:r w:rsidRPr="00EC084F">
        <w:rPr>
          <w:rFonts w:ascii="Arial" w:eastAsia="Times New Roman" w:hAnsi="Arial" w:cs="Arial"/>
          <w:b/>
          <w:sz w:val="18"/>
          <w:szCs w:val="18"/>
          <w:lang w:eastAsia="es-ES"/>
        </w:rPr>
        <w:t>Reporte de la Recaudación</w:t>
      </w:r>
    </w:p>
    <w:p w14:paraId="21BDCAA7" w14:textId="77777777" w:rsidR="008C10B0" w:rsidRPr="006149C2" w:rsidRDefault="008C10B0" w:rsidP="008C10B0">
      <w:pPr>
        <w:pStyle w:val="Prrafodelista"/>
        <w:numPr>
          <w:ilvl w:val="0"/>
          <w:numId w:val="16"/>
        </w:numPr>
        <w:tabs>
          <w:tab w:val="left" w:pos="284"/>
        </w:tabs>
        <w:jc w:val="both"/>
        <w:rPr>
          <w:rFonts w:ascii="Arial" w:eastAsia="Times New Roman" w:hAnsi="Arial" w:cs="Arial"/>
          <w:sz w:val="18"/>
          <w:szCs w:val="18"/>
          <w:lang w:eastAsia="es-ES"/>
        </w:rPr>
      </w:pPr>
      <w:r w:rsidRPr="006149C2">
        <w:rPr>
          <w:rFonts w:ascii="Arial" w:eastAsia="Times New Roman" w:hAnsi="Arial" w:cs="Arial"/>
          <w:sz w:val="18"/>
          <w:szCs w:val="18"/>
          <w:lang w:eastAsia="es-ES"/>
        </w:rPr>
        <w:t>Análisis del comportamiento de la recaudación:</w:t>
      </w:r>
    </w:p>
    <w:p w14:paraId="091434E0" w14:textId="166364F5" w:rsidR="008C10B0" w:rsidRDefault="008C10B0" w:rsidP="008C10B0">
      <w:pPr>
        <w:tabs>
          <w:tab w:val="left" w:pos="284"/>
        </w:tabs>
        <w:ind w:left="28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Al </w:t>
      </w:r>
      <w:r w:rsidR="00A444DB">
        <w:rPr>
          <w:rFonts w:ascii="Arial" w:eastAsia="Times New Roman" w:hAnsi="Arial" w:cs="Arial"/>
          <w:sz w:val="18"/>
          <w:szCs w:val="18"/>
          <w:lang w:eastAsia="es-ES"/>
        </w:rPr>
        <w:t>segundo</w:t>
      </w:r>
      <w:r w:rsidR="000243C9">
        <w:rPr>
          <w:rFonts w:ascii="Arial" w:eastAsia="Times New Roman" w:hAnsi="Arial" w:cs="Arial"/>
          <w:sz w:val="18"/>
          <w:szCs w:val="18"/>
          <w:lang w:eastAsia="es-ES"/>
        </w:rPr>
        <w:t xml:space="preserve"> trimestre</w:t>
      </w:r>
      <w:r>
        <w:rPr>
          <w:rFonts w:ascii="Arial" w:eastAsia="Times New Roman" w:hAnsi="Arial" w:cs="Arial"/>
          <w:sz w:val="18"/>
          <w:szCs w:val="18"/>
          <w:lang w:eastAsia="es-ES"/>
        </w:rPr>
        <w:t xml:space="preserve"> del ejercicio fiscal 202</w:t>
      </w:r>
      <w:r w:rsidR="000243C9">
        <w:rPr>
          <w:rFonts w:ascii="Arial" w:eastAsia="Times New Roman" w:hAnsi="Arial" w:cs="Arial"/>
          <w:sz w:val="18"/>
          <w:szCs w:val="18"/>
          <w:lang w:eastAsia="es-ES"/>
        </w:rPr>
        <w:t>5</w:t>
      </w:r>
      <w:r>
        <w:rPr>
          <w:rFonts w:ascii="Arial" w:eastAsia="Times New Roman" w:hAnsi="Arial" w:cs="Arial"/>
          <w:sz w:val="18"/>
          <w:szCs w:val="18"/>
          <w:lang w:eastAsia="es-ES"/>
        </w:rPr>
        <w:t xml:space="preserve">, los ingresos por fuentes locales, que son recaudados por el Estado, presentan un comportamiento favorable, ya que la Ley de Ingresos para el Estado de Tlaxcala presentó cifras aprobadas por un monto de </w:t>
      </w:r>
      <w:r w:rsidR="008B4067">
        <w:rPr>
          <w:rFonts w:ascii="Arial" w:eastAsia="Times New Roman" w:hAnsi="Arial" w:cs="Arial"/>
          <w:sz w:val="18"/>
          <w:szCs w:val="18"/>
          <w:lang w:eastAsia="es-ES"/>
        </w:rPr>
        <w:t>$1,081</w:t>
      </w:r>
      <w:r w:rsidR="000243C9">
        <w:rPr>
          <w:rFonts w:ascii="Arial" w:eastAsia="Times New Roman" w:hAnsi="Arial" w:cs="Arial"/>
          <w:sz w:val="18"/>
          <w:szCs w:val="18"/>
          <w:lang w:eastAsia="es-ES"/>
        </w:rPr>
        <w:t>,9</w:t>
      </w:r>
      <w:r w:rsidR="008B4067">
        <w:rPr>
          <w:rFonts w:ascii="Arial" w:eastAsia="Times New Roman" w:hAnsi="Arial" w:cs="Arial"/>
          <w:sz w:val="18"/>
          <w:szCs w:val="18"/>
          <w:lang w:eastAsia="es-ES"/>
        </w:rPr>
        <w:t>70</w:t>
      </w:r>
      <w:r w:rsidR="000243C9">
        <w:rPr>
          <w:rFonts w:ascii="Arial" w:eastAsia="Times New Roman" w:hAnsi="Arial" w:cs="Arial"/>
          <w:sz w:val="18"/>
          <w:szCs w:val="18"/>
          <w:lang w:eastAsia="es-ES"/>
        </w:rPr>
        <w:t>,</w:t>
      </w:r>
      <w:r w:rsidR="008B4067">
        <w:rPr>
          <w:rFonts w:ascii="Arial" w:eastAsia="Times New Roman" w:hAnsi="Arial" w:cs="Arial"/>
          <w:sz w:val="18"/>
          <w:szCs w:val="18"/>
          <w:lang w:eastAsia="es-ES"/>
        </w:rPr>
        <w:t>062</w:t>
      </w:r>
      <w:r>
        <w:rPr>
          <w:rFonts w:ascii="Arial" w:eastAsia="Times New Roman" w:hAnsi="Arial" w:cs="Arial"/>
          <w:sz w:val="18"/>
          <w:szCs w:val="18"/>
          <w:lang w:eastAsia="es-ES"/>
        </w:rPr>
        <w:t xml:space="preserve"> y al </w:t>
      </w:r>
      <w:r w:rsidR="00A444DB">
        <w:rPr>
          <w:rFonts w:ascii="Arial" w:eastAsia="Times New Roman" w:hAnsi="Arial" w:cs="Arial"/>
          <w:sz w:val="18"/>
          <w:szCs w:val="18"/>
          <w:lang w:eastAsia="es-ES"/>
        </w:rPr>
        <w:t>segundo</w:t>
      </w:r>
      <w:r w:rsidR="000243C9">
        <w:rPr>
          <w:rFonts w:ascii="Arial" w:eastAsia="Times New Roman" w:hAnsi="Arial" w:cs="Arial"/>
          <w:sz w:val="18"/>
          <w:szCs w:val="18"/>
          <w:lang w:eastAsia="es-ES"/>
        </w:rPr>
        <w:t xml:space="preserve"> trimestre</w:t>
      </w:r>
      <w:r>
        <w:rPr>
          <w:rFonts w:ascii="Arial" w:eastAsia="Times New Roman" w:hAnsi="Arial" w:cs="Arial"/>
          <w:sz w:val="18"/>
          <w:szCs w:val="18"/>
          <w:lang w:eastAsia="es-ES"/>
        </w:rPr>
        <w:t xml:space="preserve"> se recaudó un monto de </w:t>
      </w:r>
      <w:r w:rsidR="008B4067">
        <w:rPr>
          <w:rFonts w:ascii="Arial" w:eastAsia="Times New Roman" w:hAnsi="Arial" w:cs="Arial"/>
          <w:sz w:val="18"/>
          <w:szCs w:val="18"/>
          <w:lang w:eastAsia="es-ES"/>
        </w:rPr>
        <w:t>$1,262</w:t>
      </w:r>
      <w:r w:rsidR="000243C9">
        <w:rPr>
          <w:rFonts w:ascii="Arial" w:eastAsia="Times New Roman" w:hAnsi="Arial" w:cs="Arial"/>
          <w:sz w:val="18"/>
          <w:szCs w:val="18"/>
          <w:lang w:eastAsia="es-ES"/>
        </w:rPr>
        <w:t>,</w:t>
      </w:r>
      <w:r w:rsidR="008B4067">
        <w:rPr>
          <w:rFonts w:ascii="Arial" w:eastAsia="Times New Roman" w:hAnsi="Arial" w:cs="Arial"/>
          <w:sz w:val="18"/>
          <w:szCs w:val="18"/>
          <w:lang w:eastAsia="es-ES"/>
        </w:rPr>
        <w:t>913</w:t>
      </w:r>
      <w:r w:rsidR="000243C9">
        <w:rPr>
          <w:rFonts w:ascii="Arial" w:eastAsia="Times New Roman" w:hAnsi="Arial" w:cs="Arial"/>
          <w:sz w:val="18"/>
          <w:szCs w:val="18"/>
          <w:lang w:eastAsia="es-ES"/>
        </w:rPr>
        <w:t>,6</w:t>
      </w:r>
      <w:r w:rsidR="008B4067">
        <w:rPr>
          <w:rFonts w:ascii="Arial" w:eastAsia="Times New Roman" w:hAnsi="Arial" w:cs="Arial"/>
          <w:sz w:val="18"/>
          <w:szCs w:val="18"/>
          <w:lang w:eastAsia="es-ES"/>
        </w:rPr>
        <w:t>87</w:t>
      </w:r>
      <w:r>
        <w:rPr>
          <w:rFonts w:ascii="Arial" w:eastAsia="Times New Roman" w:hAnsi="Arial" w:cs="Arial"/>
          <w:sz w:val="18"/>
          <w:szCs w:val="18"/>
          <w:lang w:eastAsia="es-ES"/>
        </w:rPr>
        <w:t xml:space="preserve"> que representa un monto de </w:t>
      </w:r>
      <w:r w:rsidR="000243C9">
        <w:rPr>
          <w:rFonts w:ascii="Arial" w:eastAsia="Times New Roman" w:hAnsi="Arial" w:cs="Arial"/>
          <w:sz w:val="18"/>
          <w:szCs w:val="18"/>
          <w:lang w:eastAsia="es-ES"/>
        </w:rPr>
        <w:t>1</w:t>
      </w:r>
      <w:r w:rsidR="008B4067">
        <w:rPr>
          <w:rFonts w:ascii="Arial" w:eastAsia="Times New Roman" w:hAnsi="Arial" w:cs="Arial"/>
          <w:sz w:val="18"/>
          <w:szCs w:val="18"/>
          <w:lang w:eastAsia="es-ES"/>
        </w:rPr>
        <w:t>80</w:t>
      </w:r>
      <w:r w:rsidR="000243C9">
        <w:rPr>
          <w:rFonts w:ascii="Arial" w:eastAsia="Times New Roman" w:hAnsi="Arial" w:cs="Arial"/>
          <w:sz w:val="18"/>
          <w:szCs w:val="18"/>
          <w:lang w:eastAsia="es-ES"/>
        </w:rPr>
        <w:t>,</w:t>
      </w:r>
      <w:r w:rsidR="008B4067">
        <w:rPr>
          <w:rFonts w:ascii="Arial" w:eastAsia="Times New Roman" w:hAnsi="Arial" w:cs="Arial"/>
          <w:sz w:val="18"/>
          <w:szCs w:val="18"/>
          <w:lang w:eastAsia="es-ES"/>
        </w:rPr>
        <w:t>943</w:t>
      </w:r>
      <w:r w:rsidR="000243C9">
        <w:rPr>
          <w:rFonts w:ascii="Arial" w:eastAsia="Times New Roman" w:hAnsi="Arial" w:cs="Arial"/>
          <w:sz w:val="18"/>
          <w:szCs w:val="18"/>
          <w:lang w:eastAsia="es-ES"/>
        </w:rPr>
        <w:t>,</w:t>
      </w:r>
      <w:r w:rsidR="008B4067">
        <w:rPr>
          <w:rFonts w:ascii="Arial" w:eastAsia="Times New Roman" w:hAnsi="Arial" w:cs="Arial"/>
          <w:sz w:val="18"/>
          <w:szCs w:val="18"/>
          <w:lang w:eastAsia="es-ES"/>
        </w:rPr>
        <w:t>625</w:t>
      </w:r>
      <w:r>
        <w:rPr>
          <w:rFonts w:ascii="Arial" w:eastAsia="Times New Roman" w:hAnsi="Arial" w:cs="Arial"/>
          <w:sz w:val="18"/>
          <w:szCs w:val="18"/>
          <w:lang w:eastAsia="es-ES"/>
        </w:rPr>
        <w:t xml:space="preserve"> con un crecimiento de </w:t>
      </w:r>
      <w:r w:rsidR="008B4067">
        <w:rPr>
          <w:rFonts w:ascii="Arial" w:eastAsia="Times New Roman" w:hAnsi="Arial" w:cs="Arial"/>
          <w:sz w:val="18"/>
          <w:szCs w:val="18"/>
          <w:lang w:eastAsia="es-ES"/>
        </w:rPr>
        <w:t>17</w:t>
      </w:r>
      <w:r>
        <w:rPr>
          <w:rFonts w:ascii="Arial" w:eastAsia="Times New Roman" w:hAnsi="Arial" w:cs="Arial"/>
          <w:sz w:val="18"/>
          <w:szCs w:val="18"/>
          <w:lang w:eastAsia="es-ES"/>
        </w:rPr>
        <w:t>%.</w:t>
      </w:r>
    </w:p>
    <w:p w14:paraId="673D1E6F" w14:textId="77777777" w:rsidR="008C10B0" w:rsidRPr="00307D7E" w:rsidRDefault="008C10B0" w:rsidP="008C10B0">
      <w:pPr>
        <w:pStyle w:val="Prrafodelista"/>
        <w:numPr>
          <w:ilvl w:val="0"/>
          <w:numId w:val="16"/>
        </w:numPr>
        <w:tabs>
          <w:tab w:val="left" w:pos="284"/>
        </w:tabs>
        <w:jc w:val="both"/>
        <w:rPr>
          <w:rFonts w:ascii="Arial" w:eastAsia="Times New Roman" w:hAnsi="Arial" w:cs="Arial"/>
          <w:sz w:val="18"/>
          <w:szCs w:val="18"/>
          <w:lang w:eastAsia="es-ES"/>
        </w:rPr>
      </w:pPr>
      <w:r w:rsidRPr="00307D7E">
        <w:rPr>
          <w:rFonts w:ascii="Arial" w:eastAsia="Times New Roman" w:hAnsi="Arial" w:cs="Arial"/>
          <w:sz w:val="18"/>
          <w:szCs w:val="18"/>
          <w:lang w:eastAsia="es-ES"/>
        </w:rPr>
        <w:t>P</w:t>
      </w:r>
      <w:r>
        <w:rPr>
          <w:rFonts w:ascii="Arial" w:eastAsia="Times New Roman" w:hAnsi="Arial" w:cs="Arial"/>
          <w:sz w:val="18"/>
          <w:szCs w:val="18"/>
          <w:lang w:eastAsia="es-ES"/>
        </w:rPr>
        <w:t>r</w:t>
      </w:r>
      <w:r w:rsidRPr="00307D7E">
        <w:rPr>
          <w:rFonts w:ascii="Arial" w:eastAsia="Times New Roman" w:hAnsi="Arial" w:cs="Arial"/>
          <w:sz w:val="18"/>
          <w:szCs w:val="18"/>
          <w:lang w:eastAsia="es-ES"/>
        </w:rPr>
        <w:t>oye</w:t>
      </w:r>
      <w:r>
        <w:rPr>
          <w:rFonts w:ascii="Arial" w:eastAsia="Times New Roman" w:hAnsi="Arial" w:cs="Arial"/>
          <w:sz w:val="18"/>
          <w:szCs w:val="18"/>
          <w:lang w:eastAsia="es-ES"/>
        </w:rPr>
        <w:t>c</w:t>
      </w:r>
      <w:r w:rsidRPr="00307D7E">
        <w:rPr>
          <w:rFonts w:ascii="Arial" w:eastAsia="Times New Roman" w:hAnsi="Arial" w:cs="Arial"/>
          <w:sz w:val="18"/>
          <w:szCs w:val="18"/>
          <w:lang w:eastAsia="es-ES"/>
        </w:rPr>
        <w:t>ción de la recaudación e ingresos en el mediano plazo</w:t>
      </w:r>
    </w:p>
    <w:p w14:paraId="2EC576D8" w14:textId="6107B065" w:rsidR="008C10B0" w:rsidRPr="00307D7E" w:rsidRDefault="008C10B0" w:rsidP="008C10B0">
      <w:pPr>
        <w:tabs>
          <w:tab w:val="left" w:pos="284"/>
        </w:tabs>
        <w:ind w:left="284"/>
        <w:jc w:val="both"/>
        <w:rPr>
          <w:rFonts w:ascii="Arial" w:eastAsia="Times New Roman" w:hAnsi="Arial" w:cs="Arial"/>
          <w:sz w:val="18"/>
          <w:szCs w:val="18"/>
          <w:lang w:eastAsia="es-ES"/>
        </w:rPr>
      </w:pPr>
      <w:r>
        <w:rPr>
          <w:rFonts w:ascii="Arial" w:eastAsia="Times New Roman" w:hAnsi="Arial" w:cs="Arial"/>
          <w:sz w:val="18"/>
          <w:szCs w:val="18"/>
          <w:lang w:eastAsia="es-ES"/>
        </w:rPr>
        <w:t>Para el ejercicio fiscal 2025 se tiene una proyección de crecimiento de 4.59%, ya que de la cifra aprobada en el ejercicio fiscal 2024 de 1,872,305,534, se proyecta recau</w:t>
      </w:r>
      <w:r w:rsidR="0057726C">
        <w:rPr>
          <w:rFonts w:ascii="Arial" w:eastAsia="Times New Roman" w:hAnsi="Arial" w:cs="Arial"/>
          <w:sz w:val="18"/>
          <w:szCs w:val="18"/>
          <w:lang w:eastAsia="es-ES"/>
        </w:rPr>
        <w:t>dar 1,958,188,805, esto es 85,8</w:t>
      </w:r>
      <w:r>
        <w:rPr>
          <w:rFonts w:ascii="Arial" w:eastAsia="Times New Roman" w:hAnsi="Arial" w:cs="Arial"/>
          <w:sz w:val="18"/>
          <w:szCs w:val="18"/>
          <w:lang w:eastAsia="es-ES"/>
        </w:rPr>
        <w:t>83,271.</w:t>
      </w:r>
    </w:p>
    <w:p w14:paraId="686D133C" w14:textId="77777777" w:rsidR="008C10B0" w:rsidRDefault="008C10B0" w:rsidP="008C10B0">
      <w:pPr>
        <w:pStyle w:val="Texto"/>
        <w:tabs>
          <w:tab w:val="left" w:pos="284"/>
        </w:tabs>
        <w:spacing w:after="0" w:line="276" w:lineRule="auto"/>
        <w:ind w:left="284" w:firstLine="0"/>
        <w:rPr>
          <w:b/>
          <w:szCs w:val="18"/>
          <w:lang w:val="es-MX"/>
        </w:rPr>
      </w:pPr>
      <w:r>
        <w:rPr>
          <w:b/>
          <w:szCs w:val="18"/>
          <w:lang w:val="es-MX"/>
        </w:rPr>
        <w:t>10. Información sobre la Deuda y el Reporte Analítico de la Deuda</w:t>
      </w:r>
    </w:p>
    <w:p w14:paraId="3C9521F6" w14:textId="67492A71"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La deuda pública es una de las principales herramientas de los gobiernos para la obtención de recursos financieros adicionales para el desarrollo económico y social. En las comunidades con organización federal, como la mexicana, existen aparatos institucionales diseñados para procurar que el uso del instrumento por parte de los gobiernos locales se realice de manera disciplinada y productiva. En este sentido, la Constitución estipula obligaciones en cuanto al origen y el destino del endeudamiento, a partir de las cuales las entidades federativas llevan a cabo sus legislaciones; luego de un incremento generalizado en las cifras de endeudamiento de los estados y municipios, vinculados con acusaciones de corrupción y manejo indebido de recursos, se aprobó una reforma constitucional que incluye una Ley de Disciplina Financiera para las Entidades Federativas y los Municipios, al respecto se establece un Registro Público Único de Obligaciones y Empréstitos de Entidades y Municipios a cargo de la Secretaría de Hacienda y Crédito Público, que tiene por objeto documentar los financiamientos adquiridos por los gobiernos locales.</w:t>
      </w:r>
      <w:r w:rsidR="002D48B0">
        <w:rPr>
          <w:rFonts w:ascii="Arial" w:eastAsia="Times New Roman" w:hAnsi="Arial" w:cs="Arial"/>
          <w:sz w:val="18"/>
          <w:szCs w:val="18"/>
          <w:lang w:eastAsia="es-ES"/>
        </w:rPr>
        <w:t xml:space="preserve"> </w:t>
      </w:r>
      <w:r w:rsidRPr="00A11793">
        <w:rPr>
          <w:rFonts w:ascii="Arial" w:eastAsia="Times New Roman" w:hAnsi="Arial" w:cs="Arial"/>
          <w:sz w:val="18"/>
          <w:szCs w:val="18"/>
          <w:lang w:eastAsia="es-ES"/>
        </w:rPr>
        <w:t xml:space="preserve">En un ambiente macroeconómico mundial de incertidumbre y volatilidad, teniendo como premisa el mantener la disciplina en las finanzas públicas, a través de un programa de austeridad y eficiencia en el gasto </w:t>
      </w:r>
      <w:r w:rsidRPr="00A11793">
        <w:rPr>
          <w:rFonts w:ascii="Arial" w:eastAsia="Times New Roman" w:hAnsi="Arial" w:cs="Arial"/>
          <w:sz w:val="18"/>
          <w:szCs w:val="18"/>
          <w:lang w:eastAsia="es-ES"/>
        </w:rPr>
        <w:lastRenderedPageBreak/>
        <w:t>público, se han establecido políticas para la hacienda pública estatal que permitirán sustentar fuentes de ingreso estables y permanentes, así como un gasto público austero y basado en resultados.</w:t>
      </w:r>
      <w:r w:rsidR="002D48B0">
        <w:rPr>
          <w:rFonts w:ascii="Arial" w:eastAsia="Times New Roman" w:hAnsi="Arial" w:cs="Arial"/>
          <w:sz w:val="18"/>
          <w:szCs w:val="18"/>
          <w:lang w:eastAsia="es-ES"/>
        </w:rPr>
        <w:t xml:space="preserve"> </w:t>
      </w:r>
      <w:r w:rsidRPr="00A11793">
        <w:rPr>
          <w:rFonts w:ascii="Arial" w:eastAsia="Times New Roman" w:hAnsi="Arial" w:cs="Arial"/>
          <w:sz w:val="18"/>
          <w:szCs w:val="18"/>
          <w:lang w:eastAsia="es-ES"/>
        </w:rPr>
        <w:t xml:space="preserve">Con la publicación y entrada en vigor de la Ley de Disciplina Financiera de las Entidades Federativas y los Municipios el 27 de abril de 2016, se establecieron criterios de mayor transparencia en el uso del financiamiento de los gobiernos locales entre los que destacan: </w:t>
      </w:r>
    </w:p>
    <w:p w14:paraId="243E43E6"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a) Nuevas reglas de disciplina financiera que contemplan mecanismos de equilibrio presupuestario y de distribución de ingresos excedentes;</w:t>
      </w:r>
    </w:p>
    <w:p w14:paraId="6536FB37"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b) Un sistema de alertas, el cual mide los niveles de endeudamiento, del servicio de la deuda y las condiciones de liquidez de las entidades federativas, los municipios y sus entes públicos, y</w:t>
      </w:r>
    </w:p>
    <w:p w14:paraId="09504E51"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c) Un Registro Público Único que permite la inscripción de la totalidad de las obligaciones de los gobiernos locales. De ahí la importancia de presentar este reporte trimestral que muestra de manera sencilla la situación actual que guarda la deuda de entidades federativas, municipios y sus entes públicos (deuda subnacional).</w:t>
      </w:r>
    </w:p>
    <w:p w14:paraId="6E548ED2"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La deuda del Gobierno Federal comprende las obligaciones de los poderes Legislativo y Judicial, las dependencias del Poder Ejecutivo Federal y sus órganos desconcentrados, así como las obligaciones contraídas por entidades que formaron parte de la Administración Pública Federal paraestatal y que fueron transformadas en órganos autónomos, en particular, el Instituto Nacional de Transparencia, Acceso a la Información y Protección de Datos Personales (INAI), y el Instituto Federal de Telecomunicaciones (IFT). </w:t>
      </w:r>
    </w:p>
    <w:p w14:paraId="1170BF0C"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Por su parte, la deuda del Sector Público está integrada por la deuda del Gobierno Federal más las obligaciones de las entidades de control presupuestario directo, de las Empresas Productivas del Estado y sus subsidiarias, y de la banca de desarrollo. Finalmente, el SHRFSP está integrado por la deuda del Sector Público Presupuestario más las obligaciones que, por diversos ordenamientos jurídicos y prácticas presupuestarias, no se incluyen en la deuda pública. </w:t>
      </w:r>
    </w:p>
    <w:p w14:paraId="0569A234"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En particular, el SHRFSP incluye las obligaciones financieras netas del Instituto para la Protección al Ahorro Bancario (IPAB) y el programa de apoyo a deudores, las obligaciones de los </w:t>
      </w:r>
      <w:proofErr w:type="spellStart"/>
      <w:r w:rsidRPr="00A11793">
        <w:rPr>
          <w:rFonts w:ascii="Arial" w:eastAsia="Times New Roman" w:hAnsi="Arial" w:cs="Arial"/>
          <w:sz w:val="18"/>
          <w:szCs w:val="18"/>
          <w:lang w:eastAsia="es-ES"/>
        </w:rPr>
        <w:t>Pidiregas</w:t>
      </w:r>
      <w:proofErr w:type="spellEnd"/>
      <w:r w:rsidRPr="00A11793">
        <w:rPr>
          <w:rFonts w:ascii="Arial" w:eastAsia="Times New Roman" w:hAnsi="Arial" w:cs="Arial"/>
          <w:sz w:val="18"/>
          <w:szCs w:val="18"/>
          <w:lang w:eastAsia="es-ES"/>
        </w:rPr>
        <w:t>, las obligaciones derivadas del entonces Fideicomiso de Apoyo para el Rescate de Autopistas Concesionadas (FARAC), hoy Fondo Nacional de Infraestructura (</w:t>
      </w:r>
      <w:proofErr w:type="spellStart"/>
      <w:r w:rsidRPr="00A11793">
        <w:rPr>
          <w:rFonts w:ascii="Arial" w:eastAsia="Times New Roman" w:hAnsi="Arial" w:cs="Arial"/>
          <w:sz w:val="18"/>
          <w:szCs w:val="18"/>
          <w:lang w:eastAsia="es-ES"/>
        </w:rPr>
        <w:t>Fonadin</w:t>
      </w:r>
      <w:proofErr w:type="spellEnd"/>
      <w:r w:rsidRPr="00A11793">
        <w:rPr>
          <w:rFonts w:ascii="Arial" w:eastAsia="Times New Roman" w:hAnsi="Arial" w:cs="Arial"/>
          <w:sz w:val="18"/>
          <w:szCs w:val="18"/>
          <w:lang w:eastAsia="es-ES"/>
        </w:rPr>
        <w:t>); y el patrimonio de las Instituciones de Fomento.</w:t>
      </w:r>
    </w:p>
    <w:p w14:paraId="5DC14A49"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En el primer trimestre de 2025, la política de deuda pública priorizó el financiamiento en el mercado local, con instrumentos a tasa fija y de largo plazo, con el objetivo principal de cubrir las necesidades de financiamiento con un nivel de costo y riesgo adecuados. Además, se implementó una estrategia de manejo de pasivos y se aprovecharon eficientemente ventanas de oportunidad en los mercados financieros. De esta forma, se mejoró el perfil de vencimientos del portafolio de deuda y se mantuvo un nivel de costo y riesgos acotados; asimismo, la trayectoria de la deuda se mantuvo en una senda sostenible como porcentaje del PIB.</w:t>
      </w:r>
    </w:p>
    <w:p w14:paraId="0624FD4A"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 xml:space="preserve">En el primer trimestre de 2025, las operaciones en el mercado interno mejoraron el perfil de vencimientos e incrementaron el plazo promedio del portafolio y mantuvieron un buen funcionamiento de las curvas de rendimiento nominal. En este sentido, el 31 de enero se realizó un intercambio de pasivos de 2025 en el mercado local, el cual consistió en una recompra de Cetes, Bonos M, Bondes F y </w:t>
      </w:r>
      <w:proofErr w:type="spellStart"/>
      <w:r w:rsidRPr="008B4067">
        <w:rPr>
          <w:rFonts w:ascii="Arial" w:eastAsia="Times New Roman" w:hAnsi="Arial" w:cs="Arial"/>
          <w:sz w:val="18"/>
          <w:szCs w:val="18"/>
          <w:lang w:eastAsia="es-ES"/>
        </w:rPr>
        <w:t>Udibonos</w:t>
      </w:r>
      <w:proofErr w:type="spellEnd"/>
      <w:r w:rsidRPr="008B4067">
        <w:rPr>
          <w:rFonts w:ascii="Arial" w:eastAsia="Times New Roman" w:hAnsi="Arial" w:cs="Arial"/>
          <w:sz w:val="18"/>
          <w:szCs w:val="18"/>
          <w:lang w:eastAsia="es-ES"/>
        </w:rPr>
        <w:t xml:space="preserve">, con vencimientos entre 2025 y 2029 por un monto de 185 mil 681.7 millones de pesos. El 20 de febrero se recompraron Cetes, Bonos M y </w:t>
      </w:r>
      <w:proofErr w:type="spellStart"/>
      <w:r w:rsidRPr="008B4067">
        <w:rPr>
          <w:rFonts w:ascii="Arial" w:eastAsia="Times New Roman" w:hAnsi="Arial" w:cs="Arial"/>
          <w:sz w:val="18"/>
          <w:szCs w:val="18"/>
          <w:lang w:eastAsia="es-ES"/>
        </w:rPr>
        <w:t>Udibonos</w:t>
      </w:r>
      <w:proofErr w:type="spellEnd"/>
      <w:r w:rsidRPr="008B4067">
        <w:rPr>
          <w:rFonts w:ascii="Arial" w:eastAsia="Times New Roman" w:hAnsi="Arial" w:cs="Arial"/>
          <w:sz w:val="18"/>
          <w:szCs w:val="18"/>
          <w:lang w:eastAsia="es-ES"/>
        </w:rPr>
        <w:t xml:space="preserve">, con vencimientos entre 2025 y 2028 por un monto de 148 mil 74.9 millones de pesos y el 14 de marzo, se recompraron Cetes, Bonos M, Bondes F y </w:t>
      </w:r>
      <w:proofErr w:type="spellStart"/>
      <w:r w:rsidRPr="008B4067">
        <w:rPr>
          <w:rFonts w:ascii="Arial" w:eastAsia="Times New Roman" w:hAnsi="Arial" w:cs="Arial"/>
          <w:sz w:val="18"/>
          <w:szCs w:val="18"/>
          <w:lang w:eastAsia="es-ES"/>
        </w:rPr>
        <w:t>Udibonos</w:t>
      </w:r>
      <w:proofErr w:type="spellEnd"/>
      <w:r w:rsidRPr="008B4067">
        <w:rPr>
          <w:rFonts w:ascii="Arial" w:eastAsia="Times New Roman" w:hAnsi="Arial" w:cs="Arial"/>
          <w:sz w:val="18"/>
          <w:szCs w:val="18"/>
          <w:lang w:eastAsia="es-ES"/>
        </w:rPr>
        <w:t xml:space="preserve"> con vencimientos entre 2025 y 2028 por 33 mil 319.6 millones de pesos.</w:t>
      </w:r>
    </w:p>
    <w:p w14:paraId="5F638408"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En cuanto al financiamiento externo, en el primer trimestre de 2025 se realizaron dos colocaciones en los mercados internacionales, en línea con la estrategia de utilizar este financiamiento como fuente complementaria de crédito. Así, el 6 de enero se realizó la primera colocación de la administración en los mercados externos por 8 mil 500 millones de dólares; y, el 27 de enero, se realizó la segunda colocación en los mercados externos por un total de 2 mil 400 millones de euros (equivalente a 2 mil 518 millones de dólares). Dichas operaciones mejoraron las características del portafolio de deuda, en términos de diversificación de monedas, reducción de las necesidades de liquidez de corto plazo, y composición de la deuda.</w:t>
      </w:r>
    </w:p>
    <w:p w14:paraId="6214E95B"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 xml:space="preserve">De esta forma, a marzo de 2025, el 82.8% de la deuda es interna, el plazo promedio de los valores gubernamentales es de 7.9 años, y el 78.9% está contratada a tasa fija y a largo plazo; para los bonos externos, </w:t>
      </w:r>
      <w:r w:rsidRPr="008B4067">
        <w:rPr>
          <w:rFonts w:ascii="Arial" w:eastAsia="Times New Roman" w:hAnsi="Arial" w:cs="Arial"/>
          <w:sz w:val="18"/>
          <w:szCs w:val="18"/>
          <w:lang w:eastAsia="es-ES"/>
        </w:rPr>
        <w:lastRenderedPageBreak/>
        <w:t>su plazo promedio es de 18.0 años, y el 100% está denominado a tasa fija. Cabe mencionar que, todas las colocaciones de deuda se enmarcaron en el Programa Anual de Financiamiento, son congruentes con la Ley Federal de Deuda Pública y están en línea con los techos de endeudamiento aprobados por el H. Congreso de la Unión para el ejercicio fiscal 2025.</w:t>
      </w:r>
    </w:p>
    <w:p w14:paraId="2BB4A595"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Al primer trimestre de 2025, la deuda neta del Gobierno Federal se ubicó en 15 billones 521 mil 181.9 millones de pesos. La estructura del portafolio de la deuda mantuvo la mayor parte de sus pasivos denominados en moneda nacional, representando el 82.8% del saldo de la deuda neta del Gobierno Federal, al 31 de marzo de 2025.</w:t>
      </w:r>
    </w:p>
    <w:p w14:paraId="7626261A"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 xml:space="preserve">Al cierre del primer trimestre de 2025, el saldo de la deuda interna neta del Gobierno Federal ascendió a 12 billones 857 mil 774.8 millones de pesos. La variación del saldo de la deuda interna respecto del cierre de 2024 fue el resultado de: i) un endeudamiento interno neto por 285 mil 910.1 millones de pesos; </w:t>
      </w:r>
      <w:proofErr w:type="spellStart"/>
      <w:r w:rsidRPr="008B4067">
        <w:rPr>
          <w:rFonts w:ascii="Arial" w:eastAsia="Times New Roman" w:hAnsi="Arial" w:cs="Arial"/>
          <w:sz w:val="18"/>
          <w:szCs w:val="18"/>
          <w:lang w:eastAsia="es-ES"/>
        </w:rPr>
        <w:t>ii</w:t>
      </w:r>
      <w:proofErr w:type="spellEnd"/>
      <w:r w:rsidRPr="008B4067">
        <w:rPr>
          <w:rFonts w:ascii="Arial" w:eastAsia="Times New Roman" w:hAnsi="Arial" w:cs="Arial"/>
          <w:sz w:val="18"/>
          <w:szCs w:val="18"/>
          <w:lang w:eastAsia="es-ES"/>
        </w:rPr>
        <w:t xml:space="preserve">) un incremento en las disponibilidades del Gobierno Federal por 161 mil 164.3 millones de pesos; y, </w:t>
      </w:r>
      <w:proofErr w:type="spellStart"/>
      <w:r w:rsidRPr="008B4067">
        <w:rPr>
          <w:rFonts w:ascii="Arial" w:eastAsia="Times New Roman" w:hAnsi="Arial" w:cs="Arial"/>
          <w:sz w:val="18"/>
          <w:szCs w:val="18"/>
          <w:lang w:eastAsia="es-ES"/>
        </w:rPr>
        <w:t>iii</w:t>
      </w:r>
      <w:proofErr w:type="spellEnd"/>
      <w:r w:rsidRPr="008B4067">
        <w:rPr>
          <w:rFonts w:ascii="Arial" w:eastAsia="Times New Roman" w:hAnsi="Arial" w:cs="Arial"/>
          <w:sz w:val="18"/>
          <w:szCs w:val="18"/>
          <w:lang w:eastAsia="es-ES"/>
        </w:rPr>
        <w:t>) ajustes contables positivos por 29 mil 236.1 millones de pesos, derivados del efecto inflacionario de la deuda interna indizada y del ajuste por las operaciones de permuta de deuda. Este desempeño fue congruente con el techo de endeudamiento interno neto aprobado por el H. Congreso de la Unión para 2025.</w:t>
      </w:r>
    </w:p>
    <w:p w14:paraId="3B488D78"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En cuanto a la composición de la deuda interna del Gobierno Federal, al cierre del primer trimestre de 2025, el 48.2% se encontró contratada en instrumentos a tasa nominal fija y de largo plazo. Adicionalmente, como resultado de la colocación de instrumentos a largo plazo, se observó una participación de 78.9% de los valores a tasa fija nominal y real a plazo mayor de un año en el saldo de valores gubernamentales al cierre del primer trimestre de 2025. Por su parte, el plazo promedio de vencimiento de valores gubernamentales emitidos en el mercado local a marzo de 2025 fue de 7.9 años.</w:t>
      </w:r>
    </w:p>
    <w:p w14:paraId="54B44FE3"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 xml:space="preserve">Entre los cierres de 2024 y marzo de 2025, los Cetes incrementaron su participación en el saldo total de los valores gubernamentales al pasar de 14.5% a 14.8%, al igual que los </w:t>
      </w:r>
      <w:proofErr w:type="spellStart"/>
      <w:r w:rsidRPr="008B4067">
        <w:rPr>
          <w:rFonts w:ascii="Arial" w:eastAsia="Times New Roman" w:hAnsi="Arial" w:cs="Arial"/>
          <w:sz w:val="18"/>
          <w:szCs w:val="18"/>
          <w:lang w:eastAsia="es-ES"/>
        </w:rPr>
        <w:t>Udibonos</w:t>
      </w:r>
      <w:proofErr w:type="spellEnd"/>
      <w:r w:rsidRPr="008B4067">
        <w:rPr>
          <w:rFonts w:ascii="Arial" w:eastAsia="Times New Roman" w:hAnsi="Arial" w:cs="Arial"/>
          <w:sz w:val="18"/>
          <w:szCs w:val="18"/>
          <w:lang w:eastAsia="es-ES"/>
        </w:rPr>
        <w:t xml:space="preserve"> que pasaron de 30.2% a 30.7%, los Bondes G al pasar de 1.0% a 1.2% y los Bonos Tasa Fija Bono M que pasaron de 37.6% a 37.8%. Por su parte, la participación de los Bondes F disminuyó de 15.5% a 14.5%, igual que los Bondes D que pasaron de 1.0% a 0.8%. Mientras tanto, los Bonos Tasa Fija Bono MS, durante el periodo, permanecieron sin cambio en 0.2%. </w:t>
      </w:r>
    </w:p>
    <w:p w14:paraId="03A1705D"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Con respecto al perfil de amortizaciones de la deuda interna del Gobierno Federal, de acuerdo con su saldo contractual registrado al 31 de marzo de 2025, se espera que, durante el resto del año (abril a diciembre de 2025), las amortizaciones alcancen un monto de 1 billón 913 mil 139.8 millones de pesos. Del total de amortizaciones, sin incluir Cetes, 784 mil 425.0 millones de pesos se encuentran asociadas a los vencimientos de valores gubernamentales, cuyo refinanciamiento se realizará a través del programa de subastas que lleva a cabo el Gobierno Federal.</w:t>
      </w:r>
    </w:p>
    <w:p w14:paraId="7EB2422D"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 xml:space="preserve">Durante el primer trimestre de 2025, se realizaron las siguientes acciones para el manejo de deuda en el mercado interno: </w:t>
      </w:r>
    </w:p>
    <w:p w14:paraId="317CB30B"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 xml:space="preserve">Colocaciones sindicadas </w:t>
      </w:r>
    </w:p>
    <w:p w14:paraId="17ED7D79"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sym w:font="Symbol" w:char="F0B7"/>
      </w:r>
      <w:r w:rsidRPr="008B4067">
        <w:rPr>
          <w:rFonts w:ascii="Arial" w:eastAsia="Times New Roman" w:hAnsi="Arial" w:cs="Arial"/>
          <w:sz w:val="18"/>
          <w:szCs w:val="18"/>
          <w:lang w:eastAsia="es-ES"/>
        </w:rPr>
        <w:t xml:space="preserve"> El 30 de enero se llevó a cabo una colocación sindicada de una nueva referencia de Bonos M a 5 años por 16 mil millones de pesos, con vencimiento en febrero de 2030 y tasa cupón de 8.5%. </w:t>
      </w:r>
    </w:p>
    <w:p w14:paraId="6B27B490"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sym w:font="Symbol" w:char="F0B7"/>
      </w:r>
      <w:r w:rsidRPr="008B4067">
        <w:rPr>
          <w:rFonts w:ascii="Arial" w:eastAsia="Times New Roman" w:hAnsi="Arial" w:cs="Arial"/>
          <w:sz w:val="18"/>
          <w:szCs w:val="18"/>
          <w:lang w:eastAsia="es-ES"/>
        </w:rPr>
        <w:t xml:space="preserve"> El 19 de febrero se ejecutó una colocación sindicada de Bondes G por 28 mil millones de pesos en plazos de 2, 3.7 y 5 años. La colocación consistió en un monto de 9 mil 55 millones de pesos para el plazo de 2 años, un monto de 10 mil millones de pesos para el plazo de 3.7 años y un monto de 8 mil 945 millones de pesos para la reapertura del plazo de 5 años, con una sobretasa de 0.1294%, 0.1739% y 0.1929%, respectivamente. </w:t>
      </w:r>
    </w:p>
    <w:p w14:paraId="53B6545C"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sym w:font="Symbol" w:char="F0B7"/>
      </w:r>
      <w:r w:rsidRPr="008B4067">
        <w:rPr>
          <w:rFonts w:ascii="Arial" w:eastAsia="Times New Roman" w:hAnsi="Arial" w:cs="Arial"/>
          <w:sz w:val="18"/>
          <w:szCs w:val="18"/>
          <w:lang w:eastAsia="es-ES"/>
        </w:rPr>
        <w:t xml:space="preserve"> Por último, el 13 de marzo se efectuó una colocación sindicada de </w:t>
      </w:r>
      <w:proofErr w:type="spellStart"/>
      <w:r w:rsidRPr="008B4067">
        <w:rPr>
          <w:rFonts w:ascii="Arial" w:eastAsia="Times New Roman" w:hAnsi="Arial" w:cs="Arial"/>
          <w:sz w:val="18"/>
          <w:szCs w:val="18"/>
          <w:lang w:eastAsia="es-ES"/>
        </w:rPr>
        <w:t>Udibonos</w:t>
      </w:r>
      <w:proofErr w:type="spellEnd"/>
      <w:r w:rsidRPr="008B4067">
        <w:rPr>
          <w:rFonts w:ascii="Arial" w:eastAsia="Times New Roman" w:hAnsi="Arial" w:cs="Arial"/>
          <w:sz w:val="18"/>
          <w:szCs w:val="18"/>
          <w:lang w:eastAsia="es-ES"/>
        </w:rPr>
        <w:t xml:space="preserve"> a 3 años por 7 mil 991.6 millones de pesos (950 millones de </w:t>
      </w:r>
      <w:proofErr w:type="spellStart"/>
      <w:r w:rsidRPr="008B4067">
        <w:rPr>
          <w:rFonts w:ascii="Arial" w:eastAsia="Times New Roman" w:hAnsi="Arial" w:cs="Arial"/>
          <w:sz w:val="18"/>
          <w:szCs w:val="18"/>
          <w:lang w:eastAsia="es-ES"/>
        </w:rPr>
        <w:t>Udis</w:t>
      </w:r>
      <w:proofErr w:type="spellEnd"/>
      <w:r w:rsidRPr="008B4067">
        <w:rPr>
          <w:rFonts w:ascii="Arial" w:eastAsia="Times New Roman" w:hAnsi="Arial" w:cs="Arial"/>
          <w:sz w:val="18"/>
          <w:szCs w:val="18"/>
          <w:lang w:eastAsia="es-ES"/>
        </w:rPr>
        <w:t>), con vencimientos en agosto de 2029 y una tasa cupón de 4.0%.</w:t>
      </w:r>
    </w:p>
    <w:p w14:paraId="69E88999"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Intercambio de valores gubernamentales y operaciones de manejo de pasivos</w:t>
      </w:r>
    </w:p>
    <w:p w14:paraId="18F391AB"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sym w:font="Symbol" w:char="F0B7"/>
      </w:r>
      <w:r w:rsidRPr="008B4067">
        <w:rPr>
          <w:rFonts w:ascii="Arial" w:eastAsia="Times New Roman" w:hAnsi="Arial" w:cs="Arial"/>
          <w:sz w:val="18"/>
          <w:szCs w:val="18"/>
          <w:lang w:eastAsia="es-ES"/>
        </w:rPr>
        <w:t xml:space="preserve"> El 31 de enero se realizó el primer intercambio de pasivos de 2025 en el mercado local, el cual consistió en una recompra de Cetes, Bonos M, Bondes F y </w:t>
      </w:r>
      <w:proofErr w:type="spellStart"/>
      <w:r w:rsidRPr="008B4067">
        <w:rPr>
          <w:rFonts w:ascii="Arial" w:eastAsia="Times New Roman" w:hAnsi="Arial" w:cs="Arial"/>
          <w:sz w:val="18"/>
          <w:szCs w:val="18"/>
          <w:lang w:eastAsia="es-ES"/>
        </w:rPr>
        <w:t>Udibonos</w:t>
      </w:r>
      <w:proofErr w:type="spellEnd"/>
      <w:r w:rsidRPr="008B4067">
        <w:rPr>
          <w:rFonts w:ascii="Arial" w:eastAsia="Times New Roman" w:hAnsi="Arial" w:cs="Arial"/>
          <w:sz w:val="18"/>
          <w:szCs w:val="18"/>
          <w:lang w:eastAsia="es-ES"/>
        </w:rPr>
        <w:t xml:space="preserve"> con vencimientos entre 2025 y 2029 por un monto de 185 mil 681.7 millones de pesos y una subasta de Cetes, Bonos M y Bondes F con vencimientos entre 2026 y 2030 por un </w:t>
      </w:r>
      <w:r w:rsidRPr="008B4067">
        <w:rPr>
          <w:rFonts w:ascii="Arial" w:eastAsia="Times New Roman" w:hAnsi="Arial" w:cs="Arial"/>
          <w:sz w:val="18"/>
          <w:szCs w:val="18"/>
          <w:lang w:eastAsia="es-ES"/>
        </w:rPr>
        <w:lastRenderedPageBreak/>
        <w:t xml:space="preserve">monto de 186 mil 439.4 millones de pesos. Con esta operación se mejoró el manejo de la liquidez para los próximos años y se incrementó el plazo promedio del portafolio. </w:t>
      </w:r>
    </w:p>
    <w:p w14:paraId="438E7E04"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sym w:font="Symbol" w:char="F0B7"/>
      </w:r>
      <w:r w:rsidRPr="008B4067">
        <w:rPr>
          <w:rFonts w:ascii="Arial" w:eastAsia="Times New Roman" w:hAnsi="Arial" w:cs="Arial"/>
          <w:sz w:val="18"/>
          <w:szCs w:val="18"/>
          <w:lang w:eastAsia="es-ES"/>
        </w:rPr>
        <w:t xml:space="preserve"> El 20 de febrero se recompraron Cetes, Bonos M y </w:t>
      </w:r>
      <w:proofErr w:type="spellStart"/>
      <w:r w:rsidRPr="008B4067">
        <w:rPr>
          <w:rFonts w:ascii="Arial" w:eastAsia="Times New Roman" w:hAnsi="Arial" w:cs="Arial"/>
          <w:sz w:val="18"/>
          <w:szCs w:val="18"/>
          <w:lang w:eastAsia="es-ES"/>
        </w:rPr>
        <w:t>Udibonos</w:t>
      </w:r>
      <w:proofErr w:type="spellEnd"/>
      <w:r w:rsidRPr="008B4067">
        <w:rPr>
          <w:rFonts w:ascii="Arial" w:eastAsia="Times New Roman" w:hAnsi="Arial" w:cs="Arial"/>
          <w:sz w:val="18"/>
          <w:szCs w:val="18"/>
          <w:lang w:eastAsia="es-ES"/>
        </w:rPr>
        <w:t xml:space="preserve">, con vencimientos entre 2025 y 2028 por un monto de 148 mil 74.9 millones de pesos y se colocaron este mismo tipo de instrumentos con vencimientos entre 2027 y 2040 por 155 mil 829.9 millones de pesos. Con esta transacción se extendió el perfil de vencimientos y se fortaleció el manejo de liquidez. </w:t>
      </w:r>
    </w:p>
    <w:p w14:paraId="30244AB3"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sym w:font="Symbol" w:char="F0B7"/>
      </w:r>
      <w:r w:rsidRPr="008B4067">
        <w:rPr>
          <w:rFonts w:ascii="Arial" w:eastAsia="Times New Roman" w:hAnsi="Arial" w:cs="Arial"/>
          <w:sz w:val="18"/>
          <w:szCs w:val="18"/>
          <w:lang w:eastAsia="es-ES"/>
        </w:rPr>
        <w:t xml:space="preserve"> Finalmente, el 14 de marzo se recompraron Cetes, Bonos M, Bondes F y </w:t>
      </w:r>
      <w:proofErr w:type="spellStart"/>
      <w:r w:rsidRPr="008B4067">
        <w:rPr>
          <w:rFonts w:ascii="Arial" w:eastAsia="Times New Roman" w:hAnsi="Arial" w:cs="Arial"/>
          <w:sz w:val="18"/>
          <w:szCs w:val="18"/>
          <w:lang w:eastAsia="es-ES"/>
        </w:rPr>
        <w:t>Udibonos</w:t>
      </w:r>
      <w:proofErr w:type="spellEnd"/>
      <w:r w:rsidRPr="008B4067">
        <w:rPr>
          <w:rFonts w:ascii="Arial" w:eastAsia="Times New Roman" w:hAnsi="Arial" w:cs="Arial"/>
          <w:sz w:val="18"/>
          <w:szCs w:val="18"/>
          <w:lang w:eastAsia="es-ES"/>
        </w:rPr>
        <w:t xml:space="preserve">, con vencimientos entre 2025 y 2028 por 33 mil 319.6 millones de pesos; asimismo se colocaron </w:t>
      </w:r>
      <w:proofErr w:type="spellStart"/>
      <w:r w:rsidRPr="008B4067">
        <w:rPr>
          <w:rFonts w:ascii="Arial" w:eastAsia="Times New Roman" w:hAnsi="Arial" w:cs="Arial"/>
          <w:sz w:val="18"/>
          <w:szCs w:val="18"/>
          <w:lang w:eastAsia="es-ES"/>
        </w:rPr>
        <w:t>Udibonos</w:t>
      </w:r>
      <w:proofErr w:type="spellEnd"/>
      <w:r w:rsidRPr="008B4067">
        <w:rPr>
          <w:rFonts w:ascii="Arial" w:eastAsia="Times New Roman" w:hAnsi="Arial" w:cs="Arial"/>
          <w:sz w:val="18"/>
          <w:szCs w:val="18"/>
          <w:lang w:eastAsia="es-ES"/>
        </w:rPr>
        <w:t xml:space="preserve"> a 3 años por 33 mil 882.3 millones de pesos. Todas las colocaciones de deuda se enmarcaron dentro del Programa Anual de Financiamiento, son congruentes con la Ley Federal de Deuda Pública y están en línea con los techos de endeudamiento aprobados por el H. Congreso de la Unión para el ejercicio fiscal 2025.</w:t>
      </w:r>
    </w:p>
    <w:p w14:paraId="7B529070"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 xml:space="preserve">Al cierre del primer trimestre de 2025, el saldo de la deuda externa neta del Gobierno Federal fue de 131 mil 84.8 millones de dólares. La evolución de la deuda externa neta del Gobierno Federal durante el periodo enero a marzo de 2025 fue resultado de los siguientes factores: </w:t>
      </w:r>
    </w:p>
    <w:p w14:paraId="16894EF6"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sym w:font="Symbol" w:char="F0B7"/>
      </w:r>
      <w:r w:rsidRPr="008B4067">
        <w:rPr>
          <w:rFonts w:ascii="Arial" w:eastAsia="Times New Roman" w:hAnsi="Arial" w:cs="Arial"/>
          <w:sz w:val="18"/>
          <w:szCs w:val="18"/>
          <w:lang w:eastAsia="es-ES"/>
        </w:rPr>
        <w:t xml:space="preserve"> Endeudamiento externo neto de 12 mil 97.8 millones de dólares, derivado de disposiciones por 12 mil 300.9 millones de dólares y amortizaciones por 203.1 millones de dólares.</w:t>
      </w:r>
    </w:p>
    <w:p w14:paraId="1A6E5895"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sym w:font="Symbol" w:char="F0B7"/>
      </w:r>
      <w:r w:rsidRPr="008B4067">
        <w:rPr>
          <w:rFonts w:ascii="Arial" w:eastAsia="Times New Roman" w:hAnsi="Arial" w:cs="Arial"/>
          <w:sz w:val="18"/>
          <w:szCs w:val="18"/>
          <w:lang w:eastAsia="es-ES"/>
        </w:rPr>
        <w:t xml:space="preserve"> Incremento de los activos internacionales del Gobierno Federal asociados a la deuda externa por 6 mil 407.0 millones de dólares con respecto al cierre de 2024. Este cambio se debe a la variación en el saldo neto denominado en dólares de la Cuenta General de la Tesorería de la Federación. </w:t>
      </w:r>
    </w:p>
    <w:p w14:paraId="0BA1F68B"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sym w:font="Symbol" w:char="F0B7"/>
      </w:r>
      <w:r w:rsidRPr="008B4067">
        <w:rPr>
          <w:rFonts w:ascii="Arial" w:eastAsia="Times New Roman" w:hAnsi="Arial" w:cs="Arial"/>
          <w:sz w:val="18"/>
          <w:szCs w:val="18"/>
          <w:lang w:eastAsia="es-ES"/>
        </w:rPr>
        <w:t xml:space="preserve"> Ajustes contables positivos por 1 mil 515.0 millones de dólares, derivados principalmente de la variación del dólar con respecto a otras monedas en las que se encuentra contratada la deuda.</w:t>
      </w:r>
    </w:p>
    <w:p w14:paraId="2D6387F4"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Con respecto al perfil de amortizaciones de la deuda externa del Gobierno Federal, con base en su saldo contractual al 31 de marzo de 2025, se espera que, las amortizaciones durante el resto del año (abril a diciembre de 2025), asciendan a 4 mil 605.5 millones de dólares, los cuales se encuentran asociados, principalmente, a los vencimientos de créditos contratados con los Organismos Financieros Internacionales (</w:t>
      </w:r>
      <w:proofErr w:type="spellStart"/>
      <w:r w:rsidRPr="008B4067">
        <w:rPr>
          <w:rFonts w:ascii="Arial" w:eastAsia="Times New Roman" w:hAnsi="Arial" w:cs="Arial"/>
          <w:sz w:val="18"/>
          <w:szCs w:val="18"/>
          <w:lang w:eastAsia="es-ES"/>
        </w:rPr>
        <w:t>OFIs</w:t>
      </w:r>
      <w:proofErr w:type="spellEnd"/>
      <w:r w:rsidRPr="008B4067">
        <w:rPr>
          <w:rFonts w:ascii="Arial" w:eastAsia="Times New Roman" w:hAnsi="Arial" w:cs="Arial"/>
          <w:sz w:val="18"/>
          <w:szCs w:val="18"/>
          <w:lang w:eastAsia="es-ES"/>
        </w:rPr>
        <w:t>).</w:t>
      </w:r>
    </w:p>
    <w:p w14:paraId="247FD0D2"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El 6 de enero se realizó la primera colocación de la administración en los mercados externos por 8 mil 500 millones de dólares. La transacción consistió en bonos a 5, 12 y 30 años, con tasas cupón de 6.000%, 6.875% y 7.375%, respectivamente; con esta operación se cubrió gran parte de las necesidades de financiamiento en moneda extranjera para 2025. Cabe resaltar que esta es la colocación con mayor demanda en la historia del Gobierno Federal (casi 33 mil millones de dólares), y se contó con la participación de 380 inversionistas globales, lo que reflejó una percepción favorable sobre la estabilidad de las finanzas públicas y de la economía de México.</w:t>
      </w:r>
    </w:p>
    <w:p w14:paraId="3FE0A496"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El 27 de enero se realizó la segunda colocación en los mercados externos de la presente administración, por un total de 2 mil 400 millones de euros. La operación se distribuyó en un bono a 8 años con tasa cupón de 4.625% por 1 mil 400 millones de euros y un bono a 12 años con tasa cupón de 5.125% por 1 mil millones de euros. La transacción contó con una demanda superior a los 8 mil millones de euros, la mayor desde abril del 2019. Todas las operaciones realizadas en lo que va del año, están en línea con los techos de endeudamiento aprobados por el H. Congresos de la Unión para el ejercicio fiscal 2025.</w:t>
      </w:r>
    </w:p>
    <w:p w14:paraId="13B62137"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En el primer trimestre de 2025, el Gobierno Federal realizó erogaciones por concepto de costo financiero neto total de su deuda por 221 mil 147.7 millones de pesos (Ramo 24). Esta cifra comprende erogaciones por 189 mil 665.6 millones de pesos para el pago de intereses y gastos asociados a la deuda interna, la cual incluye un monto de 10 mil 596.2 millones de pesos para el pago anticipado de intereses derivados del intercambio de deuda a través de las operaciones de permuta de deuda, así como erogaciones por un monto de 1 mil 704.6 millones de dólares para cubrir el pago por concepto de intereses, comisiones y gastos asociados a la deuda externa. Adicionalmente, durante el primer trimestre de 2025, el Gobierno Federal realizó erogaciones para los Programas de Apoyo a Ahorradores y Deudores de la Banca (Ramo 34), por un monto de 26 mil 226.0 millones de pesos. Estos recursos se destinaron al Programa de Apoyo a Ahorradores a través del IPAB.</w:t>
      </w:r>
    </w:p>
    <w:p w14:paraId="1E60DEB8"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lastRenderedPageBreak/>
        <w:t>La estrategia de manejo del portafolio de deuda prioriza el financiamiento en el mercado interno, a tasas de interés fijas y de largo plazo. Asimismo, como parte de la gestión de riesgos, se busca contar con un portafolio de deuda diversificado en términos de divisas, así como llevar a cabo la implementación del programa de coberturas. Estas acciones mantienen acotada la sensibilidad del costo financiero de la deuda ante incrementos en la tasa de interés y el tipo de cambio, y favorecen a un portafolio sostenible, sólido y resistente ante choques externos.</w:t>
      </w:r>
    </w:p>
    <w:p w14:paraId="75DE9741"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Las tasas implícitas de costo financiero estimadas para 2025 son 7.21%, 7.25% y 7.00% para el costo total del Ramo 24, el costo interno y el costo externo, respectivamente. Si solo se toma en cuenta la deuda externa, el costo externo implícito es de 5.030%.</w:t>
      </w:r>
    </w:p>
    <w:p w14:paraId="5E1DEBD7"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 xml:space="preserve">Al cierre del primer trimestre de 2025, el saldo de la deuda con garantía explícita del Gobierno Federal se ubicó en 220 mil 66.1 millones de pesos, monto superior en 2 mil 117.2 millones de pesos al observado al cierre del año anterior. Dentro de los Programas de Apoyo a Deudores se encuentra el Programa de Reestructuración en </w:t>
      </w:r>
      <w:proofErr w:type="spellStart"/>
      <w:r w:rsidRPr="008B4067">
        <w:rPr>
          <w:rFonts w:ascii="Arial" w:eastAsia="Times New Roman" w:hAnsi="Arial" w:cs="Arial"/>
          <w:sz w:val="18"/>
          <w:szCs w:val="18"/>
          <w:lang w:eastAsia="es-ES"/>
        </w:rPr>
        <w:t>Udis</w:t>
      </w:r>
      <w:proofErr w:type="spellEnd"/>
      <w:r w:rsidRPr="008B4067">
        <w:rPr>
          <w:rFonts w:ascii="Arial" w:eastAsia="Times New Roman" w:hAnsi="Arial" w:cs="Arial"/>
          <w:sz w:val="18"/>
          <w:szCs w:val="18"/>
          <w:lang w:eastAsia="es-ES"/>
        </w:rPr>
        <w:t>, mediante el cual se ofrecieron tasas reales fijas a los acreditados durante toda la vida de sus créditos, lo que requirió que el Gobierno Federal realizara un intercambio entre esta tasa y una tasa nominal de mercado. Al 31 de marzo de 2025, el resultado preliminar de este intercambio ascendió a 32 mil 500.7 millones de pesos, mismos que no están incorporados en las obligaciones garantizadas reportadas por el Gobierno Federal, ya que su evolución futura es contingente al comportamiento de las tasas de interés.</w:t>
      </w:r>
    </w:p>
    <w:p w14:paraId="7CE1BC45"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 xml:space="preserve">Al finalizar el primer trimestre de 2025, el saldo de la deuda interna neta del Sector Público Federal se ubicó en 13 billones 236 mil 932.3 millones de pesos. La variación de este saldo al primer trimestre de 2025, respecto al cierre de 2024, fue el resultado de los siguientes factores: </w:t>
      </w:r>
    </w:p>
    <w:p w14:paraId="63FA0F00"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 xml:space="preserve">i) un endeudamiento interno neto por 300 mil 983.1 millones de pesos; </w:t>
      </w:r>
    </w:p>
    <w:p w14:paraId="25A75812"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proofErr w:type="spellStart"/>
      <w:r w:rsidRPr="008B4067">
        <w:rPr>
          <w:rFonts w:ascii="Arial" w:eastAsia="Times New Roman" w:hAnsi="Arial" w:cs="Arial"/>
          <w:sz w:val="18"/>
          <w:szCs w:val="18"/>
          <w:lang w:eastAsia="es-ES"/>
        </w:rPr>
        <w:t>ii</w:t>
      </w:r>
      <w:proofErr w:type="spellEnd"/>
      <w:r w:rsidRPr="008B4067">
        <w:rPr>
          <w:rFonts w:ascii="Arial" w:eastAsia="Times New Roman" w:hAnsi="Arial" w:cs="Arial"/>
          <w:sz w:val="18"/>
          <w:szCs w:val="18"/>
          <w:lang w:eastAsia="es-ES"/>
        </w:rPr>
        <w:t xml:space="preserve">) una variación positiva en los activos internos del Sector Público Federal por 223 mil 598.9 millones de pesos y </w:t>
      </w:r>
    </w:p>
    <w:p w14:paraId="009AE94C"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proofErr w:type="spellStart"/>
      <w:r w:rsidRPr="008B4067">
        <w:rPr>
          <w:rFonts w:ascii="Arial" w:eastAsia="Times New Roman" w:hAnsi="Arial" w:cs="Arial"/>
          <w:sz w:val="18"/>
          <w:szCs w:val="18"/>
          <w:lang w:eastAsia="es-ES"/>
        </w:rPr>
        <w:t>iii</w:t>
      </w:r>
      <w:proofErr w:type="spellEnd"/>
      <w:r w:rsidRPr="008B4067">
        <w:rPr>
          <w:rFonts w:ascii="Arial" w:eastAsia="Times New Roman" w:hAnsi="Arial" w:cs="Arial"/>
          <w:sz w:val="18"/>
          <w:szCs w:val="18"/>
          <w:lang w:eastAsia="es-ES"/>
        </w:rPr>
        <w:t>) ajustes contables positivos por 30 mil 12.9 millones de pesos, que reflejaron, principalmente, el efecto inflacionario sobre los pasivos indizados a esta variable y operaciones de permuta de deuda. Con base en el saldo contractual de la deuda interna del Sector Público Federal registrado al 31 de marzo de 2025, las amortizaciones durante el resto del año (abril a diciembre de 2025), serán de 2 billones 99 mil 858.8 millones de pesos. De este monto, el 91.2% se encuentra asociado a los vencimientos de valores colocados en los mercados nacionales.</w:t>
      </w:r>
    </w:p>
    <w:p w14:paraId="3450B022"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 xml:space="preserve">Al término del primer trimestre de 2025, el saldo de la deuda externa neta del Sector Público Federal se ubicó en 230 mil 639.5 millones de dólares. La evolución de la deuda externa neta del Sector Público Federal fue resultado de los siguientes factores: </w:t>
      </w:r>
    </w:p>
    <w:p w14:paraId="0DD83A1C"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 xml:space="preserve">i) un endeudamiento externo neto de 17 mil 113.1 millones de dólares; </w:t>
      </w:r>
    </w:p>
    <w:p w14:paraId="38A51B13"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proofErr w:type="spellStart"/>
      <w:r w:rsidRPr="008B4067">
        <w:rPr>
          <w:rFonts w:ascii="Arial" w:eastAsia="Times New Roman" w:hAnsi="Arial" w:cs="Arial"/>
          <w:sz w:val="18"/>
          <w:szCs w:val="18"/>
          <w:lang w:eastAsia="es-ES"/>
        </w:rPr>
        <w:t>ii</w:t>
      </w:r>
      <w:proofErr w:type="spellEnd"/>
      <w:r w:rsidRPr="008B4067">
        <w:rPr>
          <w:rFonts w:ascii="Arial" w:eastAsia="Times New Roman" w:hAnsi="Arial" w:cs="Arial"/>
          <w:sz w:val="18"/>
          <w:szCs w:val="18"/>
          <w:lang w:eastAsia="es-ES"/>
        </w:rPr>
        <w:t xml:space="preserve">) los activos internacionales del Sector Público Federal asociados a la deuda externa presentaron una variación positiva de 6 mil 627.1 millones de dólares, y </w:t>
      </w:r>
    </w:p>
    <w:p w14:paraId="461C9BBE"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proofErr w:type="spellStart"/>
      <w:r w:rsidRPr="008B4067">
        <w:rPr>
          <w:rFonts w:ascii="Arial" w:eastAsia="Times New Roman" w:hAnsi="Arial" w:cs="Arial"/>
          <w:sz w:val="18"/>
          <w:szCs w:val="18"/>
          <w:lang w:eastAsia="es-ES"/>
        </w:rPr>
        <w:t>iii</w:t>
      </w:r>
      <w:proofErr w:type="spellEnd"/>
      <w:r w:rsidRPr="008B4067">
        <w:rPr>
          <w:rFonts w:ascii="Arial" w:eastAsia="Times New Roman" w:hAnsi="Arial" w:cs="Arial"/>
          <w:sz w:val="18"/>
          <w:szCs w:val="18"/>
          <w:lang w:eastAsia="es-ES"/>
        </w:rPr>
        <w:t xml:space="preserve">) ajustes contables positivos por 1 mil 826.8 millones de dólares, que reflejaron, principalmente, la variación del dólar con respecto a otras monedas en las que se encuentra contratada la deuda. Con base en el saldo contractual de la deuda externa del Sector Público Federal registrado al 31 de marzo de 2025, las amortizaciones durante el año (abril a diciembre de 2025), sumarán un monto de 20 mil 748.1 millones de dólares. </w:t>
      </w:r>
    </w:p>
    <w:p w14:paraId="692DA4E1"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 xml:space="preserve">De esta cifra, 21.7% se encuentra asociado a las amortizaciones proyectadas de los vencimientos de deuda de mercado de capitales; 54.9% a créditos directos y pasivos </w:t>
      </w:r>
      <w:proofErr w:type="spellStart"/>
      <w:r w:rsidRPr="008B4067">
        <w:rPr>
          <w:rFonts w:ascii="Arial" w:eastAsia="Times New Roman" w:hAnsi="Arial" w:cs="Arial"/>
          <w:sz w:val="18"/>
          <w:szCs w:val="18"/>
          <w:lang w:eastAsia="es-ES"/>
        </w:rPr>
        <w:t>Pidiregas</w:t>
      </w:r>
      <w:proofErr w:type="spellEnd"/>
      <w:r w:rsidRPr="008B4067">
        <w:rPr>
          <w:rFonts w:ascii="Arial" w:eastAsia="Times New Roman" w:hAnsi="Arial" w:cs="Arial"/>
          <w:sz w:val="18"/>
          <w:szCs w:val="18"/>
          <w:lang w:eastAsia="es-ES"/>
        </w:rPr>
        <w:t xml:space="preserve">; y 23.4%, se refiere a las amortizaciones de líneas vinculadas al comercio exterior y a vencimientos de deuda con </w:t>
      </w:r>
      <w:proofErr w:type="spellStart"/>
      <w:r w:rsidRPr="008B4067">
        <w:rPr>
          <w:rFonts w:ascii="Arial" w:eastAsia="Times New Roman" w:hAnsi="Arial" w:cs="Arial"/>
          <w:sz w:val="18"/>
          <w:szCs w:val="18"/>
          <w:lang w:eastAsia="es-ES"/>
        </w:rPr>
        <w:t>OFIs</w:t>
      </w:r>
      <w:proofErr w:type="spellEnd"/>
      <w:r w:rsidRPr="008B4067">
        <w:rPr>
          <w:rFonts w:ascii="Arial" w:eastAsia="Times New Roman" w:hAnsi="Arial" w:cs="Arial"/>
          <w:sz w:val="18"/>
          <w:szCs w:val="18"/>
          <w:lang w:eastAsia="es-ES"/>
        </w:rPr>
        <w:t>.</w:t>
      </w:r>
    </w:p>
    <w:p w14:paraId="0C711769"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De enero a marzo de 2025, el Sector Público Federal realizó erogaciones por concepto de costo financiero de su deuda pública interna por un monto de 205 mil 654.0 millones de pesos. Por otra parte, durante el mismo periodo se efectuaron erogaciones por un monto de 4 mil 194.1 millones de dólares para cubrir el pago por concepto de intereses, comisiones y gastos asociados a la deuda pública externa. Finalmente, cabe señalar que el nivel de deuda pública es moderado como proporción del PIB anual, lo cual se compara favorablemente con respecto a los niveles que mantienen otras economías emergentes y de América Latina. Asimismo, este nivel de endeudamiento es congruente con los techos de endeudamiento aprobados por el H. Congreso de la Unión.</w:t>
      </w:r>
    </w:p>
    <w:p w14:paraId="1682C0EA"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lastRenderedPageBreak/>
        <w:t xml:space="preserve">El SHRFSP representa el acervo neto de las obligaciones contraídas para alcanzar los objetivos de las políticas públicas, tanto de las entidades adscritas al Sector Público como de las entidades privadas que actúan por cuenta del Gobierno Federal. Es decir, pasivos menos activos financieros disponibles, por concesión de préstamos y por fondos para la amortización de la deuda como reflejo de la trayectoria anual observada a lo largo del tiempo de los RFSP. De esta manera, el SHRFSP agrupa la deuda neta del Sector Público presupuestario (Gobierno Federal y Entidades de control directo), las obligaciones netas del IPAB, los pasivos del </w:t>
      </w:r>
      <w:proofErr w:type="spellStart"/>
      <w:r w:rsidRPr="008B4067">
        <w:rPr>
          <w:rFonts w:ascii="Arial" w:eastAsia="Times New Roman" w:hAnsi="Arial" w:cs="Arial"/>
          <w:sz w:val="18"/>
          <w:szCs w:val="18"/>
          <w:lang w:eastAsia="es-ES"/>
        </w:rPr>
        <w:t>Fonadin</w:t>
      </w:r>
      <w:proofErr w:type="spellEnd"/>
      <w:r w:rsidRPr="008B4067">
        <w:rPr>
          <w:rFonts w:ascii="Arial" w:eastAsia="Times New Roman" w:hAnsi="Arial" w:cs="Arial"/>
          <w:sz w:val="18"/>
          <w:szCs w:val="18"/>
          <w:lang w:eastAsia="es-ES"/>
        </w:rPr>
        <w:t xml:space="preserve">, los asociados a los </w:t>
      </w:r>
      <w:proofErr w:type="spellStart"/>
      <w:r w:rsidRPr="008B4067">
        <w:rPr>
          <w:rFonts w:ascii="Arial" w:eastAsia="Times New Roman" w:hAnsi="Arial" w:cs="Arial"/>
          <w:sz w:val="18"/>
          <w:szCs w:val="18"/>
          <w:lang w:eastAsia="es-ES"/>
        </w:rPr>
        <w:t>Pidiregas</w:t>
      </w:r>
      <w:proofErr w:type="spellEnd"/>
      <w:r w:rsidRPr="008B4067">
        <w:rPr>
          <w:rFonts w:ascii="Arial" w:eastAsia="Times New Roman" w:hAnsi="Arial" w:cs="Arial"/>
          <w:sz w:val="18"/>
          <w:szCs w:val="18"/>
          <w:lang w:eastAsia="es-ES"/>
        </w:rPr>
        <w:t xml:space="preserve"> y los correspondientes a los Programas de Apoyo a Deudores, así como el cambio en la situación patrimonial de las Instituciones de Fomento, y constituye la medida más amplia de deuda pública. </w:t>
      </w:r>
    </w:p>
    <w:p w14:paraId="07D7B0C4"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Al cierre del primer trimestre de 2025, el SHRFSP se ubicó en 17 billones 661 mil 957.5 millones de pesos. El 95.5% de la variación respecto al cierre de 2024, obedeció a un aumento por endeudamiento. El aumento por la depreciación del peso frente al dólar representó el 4.5% de la variación. Así, el componente interno del SHRFSP se ubicó en 13 billones 6 mil 823.9 millones de pesos y el componente externo fue de 229 mil 111.5 millones de dólares.</w:t>
      </w:r>
    </w:p>
    <w:p w14:paraId="6BC3D1A2"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 xml:space="preserve">Los </w:t>
      </w:r>
      <w:proofErr w:type="spellStart"/>
      <w:r w:rsidRPr="008B4067">
        <w:rPr>
          <w:rFonts w:ascii="Arial" w:eastAsia="Times New Roman" w:hAnsi="Arial" w:cs="Arial"/>
          <w:sz w:val="18"/>
          <w:szCs w:val="18"/>
          <w:lang w:eastAsia="es-ES"/>
        </w:rPr>
        <w:t>Pidiregas</w:t>
      </w:r>
      <w:proofErr w:type="spellEnd"/>
      <w:r w:rsidRPr="008B4067">
        <w:rPr>
          <w:rFonts w:ascii="Arial" w:eastAsia="Times New Roman" w:hAnsi="Arial" w:cs="Arial"/>
          <w:sz w:val="18"/>
          <w:szCs w:val="18"/>
          <w:lang w:eastAsia="es-ES"/>
        </w:rPr>
        <w:t xml:space="preserve">, que forman parte de la inversión física impulsada por el Sector Público, se agrupan en: i) los </w:t>
      </w:r>
      <w:proofErr w:type="spellStart"/>
      <w:r w:rsidRPr="008B4067">
        <w:rPr>
          <w:rFonts w:ascii="Arial" w:eastAsia="Times New Roman" w:hAnsi="Arial" w:cs="Arial"/>
          <w:sz w:val="18"/>
          <w:szCs w:val="18"/>
          <w:lang w:eastAsia="es-ES"/>
        </w:rPr>
        <w:t>Pidiregas</w:t>
      </w:r>
      <w:proofErr w:type="spellEnd"/>
      <w:r w:rsidRPr="008B4067">
        <w:rPr>
          <w:rFonts w:ascii="Arial" w:eastAsia="Times New Roman" w:hAnsi="Arial" w:cs="Arial"/>
          <w:sz w:val="18"/>
          <w:szCs w:val="18"/>
          <w:lang w:eastAsia="es-ES"/>
        </w:rPr>
        <w:t xml:space="preserve"> de inversión directa, que comprenden aquellos proyectos que en el tiempo constituirán inversión pública y que por tanto suponen adquirir obligaciones financieras que son registradas de conformidad con el artículo 18 de la LFDP y </w:t>
      </w:r>
      <w:proofErr w:type="spellStart"/>
      <w:r w:rsidRPr="008B4067">
        <w:rPr>
          <w:rFonts w:ascii="Arial" w:eastAsia="Times New Roman" w:hAnsi="Arial" w:cs="Arial"/>
          <w:sz w:val="18"/>
          <w:szCs w:val="18"/>
          <w:lang w:eastAsia="es-ES"/>
        </w:rPr>
        <w:t>ii</w:t>
      </w:r>
      <w:proofErr w:type="spellEnd"/>
      <w:r w:rsidRPr="008B4067">
        <w:rPr>
          <w:rFonts w:ascii="Arial" w:eastAsia="Times New Roman" w:hAnsi="Arial" w:cs="Arial"/>
          <w:sz w:val="18"/>
          <w:szCs w:val="18"/>
          <w:lang w:eastAsia="es-ES"/>
        </w:rPr>
        <w:t xml:space="preserve">) aquellos proyectos propiedad del sector privado y que implican únicamente compromisos comerciales, salvo que se presenten causas de fuerza mayor que impliquen su adquisición por el Sector Público. </w:t>
      </w:r>
    </w:p>
    <w:p w14:paraId="1AB1AB8C"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 xml:space="preserve">Con el objeto de ampliar y mejorar la información relativa a los pasivos asociados a los proyectos de inversión financiada, se incluye información del pasivo de los proyectos </w:t>
      </w:r>
      <w:proofErr w:type="spellStart"/>
      <w:r w:rsidRPr="008B4067">
        <w:rPr>
          <w:rFonts w:ascii="Arial" w:eastAsia="Times New Roman" w:hAnsi="Arial" w:cs="Arial"/>
          <w:sz w:val="18"/>
          <w:szCs w:val="18"/>
          <w:lang w:eastAsia="es-ES"/>
        </w:rPr>
        <w:t>Pidiregas</w:t>
      </w:r>
      <w:proofErr w:type="spellEnd"/>
      <w:r w:rsidRPr="008B4067">
        <w:rPr>
          <w:rFonts w:ascii="Arial" w:eastAsia="Times New Roman" w:hAnsi="Arial" w:cs="Arial"/>
          <w:sz w:val="18"/>
          <w:szCs w:val="18"/>
          <w:lang w:eastAsia="es-ES"/>
        </w:rPr>
        <w:t xml:space="preserve"> que, de acuerdo con la normatividad aplicable, han sido recibidos a satisfacción por la CFE, reflejándose por lo tanto en sus registros contables. Cabe mencionar que, derivado del reconocimiento de los pasivos </w:t>
      </w:r>
      <w:proofErr w:type="spellStart"/>
      <w:r w:rsidRPr="008B4067">
        <w:rPr>
          <w:rFonts w:ascii="Arial" w:eastAsia="Times New Roman" w:hAnsi="Arial" w:cs="Arial"/>
          <w:sz w:val="18"/>
          <w:szCs w:val="18"/>
          <w:lang w:eastAsia="es-ES"/>
        </w:rPr>
        <w:t>Pidiregas</w:t>
      </w:r>
      <w:proofErr w:type="spellEnd"/>
      <w:r w:rsidRPr="008B4067">
        <w:rPr>
          <w:rFonts w:ascii="Arial" w:eastAsia="Times New Roman" w:hAnsi="Arial" w:cs="Arial"/>
          <w:sz w:val="18"/>
          <w:szCs w:val="18"/>
          <w:lang w:eastAsia="es-ES"/>
        </w:rPr>
        <w:t xml:space="preserve"> de Pemex como deuda directa en 2009, la única entidad que mantiene a la fecha este esquema es la CFE. </w:t>
      </w:r>
    </w:p>
    <w:p w14:paraId="2C020CC0"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Asimismo, en el rubro que se reporta como saldo del financiamiento obtenido por terceros, la entidad estimó los compromisos acumulados en dichos proyectos con base en los avances de obra y en los contratos respectivos. Estos compromisos se reflejarán en los balances de la entidad conforme los proyectos sean terminados y recibidos a completa satisfacción.</w:t>
      </w:r>
    </w:p>
    <w:p w14:paraId="2B73401B"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 xml:space="preserve">El IPAB tiene como objetivo hacer frente a sus obligaciones financieras, principalmente a través de operaciones de refinanciamiento, con el menor impacto posible sobre las finanzas públicas, conservando el saldo de sus pasivos en una trayectoria sostenible y, por lo tanto, manteniendo expectativas razonables para los mercados financieros sobre el manejo de su deuda. A fin de instrumentar la estrategia antes planteada, al igual que en los Ejercicios Fiscales de 2000 a 2024, el Ejecutivo Federal solicitó la asignación, en el Presupuesto de Egresos de la Federación para el 2025 (PEF 2025), de los recursos necesarios para hacer frente al componente real proyectado de la deuda neta del IPAB (deuda bruta menos recursos líquidos), considerando para ello los ingresos propios esperados del Instituto, por concepto del 75.0% de las cuotas que se reciben de la banca múltiple (Cuotas) y, en su caso, la recuperación de activos. </w:t>
      </w:r>
    </w:p>
    <w:p w14:paraId="64E78FC7"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Asimismo, en el artículo 2o. de la Ley de Ingresos de la Federación para el Ejercicio Fiscal 2025 (LIF 2025), el H. Congreso de la Unión otorgó al Instituto la facultad de contratar créditos o emitir valores con el único objeto de canjear o refinanciar exclusivamente sus obligaciones financieras, a fin de hacer frente a sus obligaciones de pago, otorgar liquidez a sus títulos y, en general, mejorar los términos y condiciones de sus obligaciones financieras.</w:t>
      </w:r>
    </w:p>
    <w:p w14:paraId="321483A4"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 xml:space="preserve">Al 31 de marzo de 2025, la deuda neta del Instituto ascendió a 1 billón 8 mil 371.0 millones de pesos, registrando una disminución en términos reales de 1.62% respecto a diciembre de 2024. Esta disminución se explica principalmente por un menor saldo de deuda observado en el periodo. Por otra parte, el saldo de la deuda neta del Instituto al cierre del primer trimestre de 2025 representó el 2.94% del PIB, dato menor en 0.13 puntos porcentuales respecto al presentado al cierre del primer trimestre de 2024. </w:t>
      </w:r>
    </w:p>
    <w:p w14:paraId="377C2826"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En términos reales, el decremento de 0.13 puntos porcentuales se explica en 0.04 puntos porcentuales por el decrecimiento de la deuda del Instituto en términos reales y en 0.09 puntos porcentuales por el crecimiento estimado de la economía en términos reales de marzo de 2024 a marzo de 2025.</w:t>
      </w:r>
    </w:p>
    <w:p w14:paraId="4502E18B"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lastRenderedPageBreak/>
        <w:t>Al cierre del primer trimestre de 2025, el saldo de los activos totales del Instituto ascendió a 209 mil 863 millones de pesos, cifra que presentó una disminución de 5.22% en términos reales, respecto al cierre de diciembre de 2024. Cabe destacar que, el saldo del Fondo de Protección al Ahorro Bancario al cierre del mes de marzo de 2025 ascendió a 111 mil 218.0 millones de pesos, lo que significó un incremento nominal de 4.63% y de 3.72% en términos reales respecto del mes de diciembre de 2024.</w:t>
      </w:r>
    </w:p>
    <w:p w14:paraId="236FE097"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 xml:space="preserve">Durante el primer trimestre de 2025, se recibieron recursos en el Instituto por un total de 97 mil 743.0 millones de pesos. Dichos recursos se componen de: </w:t>
      </w:r>
    </w:p>
    <w:p w14:paraId="4394D069"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 xml:space="preserve">i) 56 mil 868.0 millones de pesos correspondientes a operaciones de refinanciamiento a través de la colocación primaria y no competitiva de BPAS; </w:t>
      </w:r>
    </w:p>
    <w:p w14:paraId="4DF7DECA"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proofErr w:type="spellStart"/>
      <w:r w:rsidRPr="008B4067">
        <w:rPr>
          <w:rFonts w:ascii="Arial" w:eastAsia="Times New Roman" w:hAnsi="Arial" w:cs="Arial"/>
          <w:sz w:val="18"/>
          <w:szCs w:val="18"/>
          <w:lang w:eastAsia="es-ES"/>
        </w:rPr>
        <w:t>ii</w:t>
      </w:r>
      <w:proofErr w:type="spellEnd"/>
      <w:r w:rsidRPr="008B4067">
        <w:rPr>
          <w:rFonts w:ascii="Arial" w:eastAsia="Times New Roman" w:hAnsi="Arial" w:cs="Arial"/>
          <w:sz w:val="18"/>
          <w:szCs w:val="18"/>
          <w:lang w:eastAsia="es-ES"/>
        </w:rPr>
        <w:t xml:space="preserve">) 26 mil 226.0 de concepto del 50.0% de la aportación correspondiente del Ramo 34 del Programa de Apoyo a Ahorradores de la Banca; </w:t>
      </w:r>
    </w:p>
    <w:p w14:paraId="3B2752FF"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proofErr w:type="spellStart"/>
      <w:r w:rsidRPr="008B4067">
        <w:rPr>
          <w:rFonts w:ascii="Arial" w:eastAsia="Times New Roman" w:hAnsi="Arial" w:cs="Arial"/>
          <w:sz w:val="18"/>
          <w:szCs w:val="18"/>
          <w:lang w:eastAsia="es-ES"/>
        </w:rPr>
        <w:t>iii</w:t>
      </w:r>
      <w:proofErr w:type="spellEnd"/>
      <w:r w:rsidRPr="008B4067">
        <w:rPr>
          <w:rFonts w:ascii="Arial" w:eastAsia="Times New Roman" w:hAnsi="Arial" w:cs="Arial"/>
          <w:sz w:val="18"/>
          <w:szCs w:val="18"/>
          <w:lang w:eastAsia="es-ES"/>
        </w:rPr>
        <w:t xml:space="preserve">) 9 mil 499.0 millones de pesos por concepto de Cuotas cobradas a las Instituciones de Banca Múltiple (IBM); </w:t>
      </w:r>
    </w:p>
    <w:p w14:paraId="38E28714"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proofErr w:type="spellStart"/>
      <w:r w:rsidRPr="008B4067">
        <w:rPr>
          <w:rFonts w:ascii="Arial" w:eastAsia="Times New Roman" w:hAnsi="Arial" w:cs="Arial"/>
          <w:sz w:val="18"/>
          <w:szCs w:val="18"/>
          <w:lang w:eastAsia="es-ES"/>
        </w:rPr>
        <w:t>iv</w:t>
      </w:r>
      <w:proofErr w:type="spellEnd"/>
      <w:r w:rsidRPr="008B4067">
        <w:rPr>
          <w:rFonts w:ascii="Arial" w:eastAsia="Times New Roman" w:hAnsi="Arial" w:cs="Arial"/>
          <w:sz w:val="18"/>
          <w:szCs w:val="18"/>
          <w:lang w:eastAsia="es-ES"/>
        </w:rPr>
        <w:t xml:space="preserve">) 5 mil 129.0 millones de pesos de intereses generados por la inversión de los activos líquidos del Instituto; y v) 21.0 millones de pesos por otros ingresos (actualización de cuotas omitidas, remanente de gastos de administración, reembolso a la Reserva de Resoluciones). </w:t>
      </w:r>
    </w:p>
    <w:p w14:paraId="6A05B7B0"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Por su parte, los pagos realizados durante el mismo periodo ascendieron a 107 mil 101.0 millones de pesos, de los cuales 80 mil 407.0 millones de pesos corresponden a la amortización de Bonos; 26 mil 597.0 millones de pesos al pago de intereses de dichos Bonos; 97.0 millones de pesos a pagos relacionados con gastos de administración del Instituto y 0.08 millones de pesos relacionados a procesos de resolución.</w:t>
      </w:r>
    </w:p>
    <w:p w14:paraId="4B4CBE65"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 xml:space="preserve">Con estricto apego a la facultad de refinanciamiento del Instituto establecida en el artículo 2o. antes referido y, conforme al programa de subastas dado a conocer al público inversionista el 20 de diciembre de 2024, el Instituto colocó Bonos de Protección al Ahorro (BPAS o Bonos) a través del Banco de México como su agente financiero. </w:t>
      </w:r>
    </w:p>
    <w:p w14:paraId="25746A7E"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 xml:space="preserve">Dado lo anterior, el IPAB colocó instrumentos por un monto nominal de 56 mil 316.0 millones de pesos, de los cuales 55 mil 900.0 millones de pesos corresponden a subastas primarias y 416.0 millones de pesos a asignaciones no competitivas a través de la plataforma de </w:t>
      </w:r>
      <w:proofErr w:type="spellStart"/>
      <w:r w:rsidRPr="008B4067">
        <w:rPr>
          <w:rFonts w:ascii="Arial" w:eastAsia="Times New Roman" w:hAnsi="Arial" w:cs="Arial"/>
          <w:sz w:val="18"/>
          <w:szCs w:val="18"/>
          <w:lang w:eastAsia="es-ES"/>
        </w:rPr>
        <w:t>Cetesdirecto</w:t>
      </w:r>
      <w:proofErr w:type="spellEnd"/>
      <w:r w:rsidRPr="008B4067">
        <w:rPr>
          <w:rFonts w:ascii="Arial" w:eastAsia="Times New Roman" w:hAnsi="Arial" w:cs="Arial"/>
          <w:sz w:val="18"/>
          <w:szCs w:val="18"/>
          <w:lang w:eastAsia="es-ES"/>
        </w:rPr>
        <w:t xml:space="preserve">; por otra parte, amortizó emisiones por un valor nominal de 80 mil 407.0 millones de pesos, de los cuales 80 mil 400.0 millones de pesos fueron de la subasta competitiva y 7.0 millones de pesos de la colocación no competitiva. Con lo anterior, el Instituto presentó una descolocación neta de 24 mil 91.0 millones de pesos. </w:t>
      </w:r>
    </w:p>
    <w:p w14:paraId="1B2ACC50"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Las operaciones de refinanciamiento efectuadas durante el primer trimestre de 2025 contribuyeron con el objetivo estratégico del IPAB de hacer frente a sus obligaciones de pago de manera sostenible en el largo plazo.</w:t>
      </w:r>
    </w:p>
    <w:p w14:paraId="4304670A"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 xml:space="preserve">Al cierre del primer trimestre de 2025, el plazo promedio de los pasivos del Instituto fue de 2.73 años, dato 0.03 años mayor al observado en el primer trimestre de 2024 (2.70 años), derivado de que los porcentajes de la deuda con plazo menor a tres años han tenido una disminución y el plazo de tres a cinco años ha tenido un incremento. </w:t>
      </w:r>
    </w:p>
    <w:p w14:paraId="48F6DD06" w14:textId="77777777" w:rsidR="008B4067" w:rsidRPr="008B4067" w:rsidRDefault="008B4067" w:rsidP="008B4067">
      <w:pPr>
        <w:tabs>
          <w:tab w:val="left" w:pos="284"/>
        </w:tabs>
        <w:ind w:left="284"/>
        <w:jc w:val="both"/>
        <w:rPr>
          <w:rFonts w:ascii="Arial" w:eastAsia="Times New Roman" w:hAnsi="Arial" w:cs="Arial"/>
          <w:sz w:val="18"/>
          <w:szCs w:val="18"/>
          <w:lang w:eastAsia="es-ES"/>
        </w:rPr>
      </w:pPr>
      <w:r w:rsidRPr="008B4067">
        <w:rPr>
          <w:rFonts w:ascii="Arial" w:eastAsia="Times New Roman" w:hAnsi="Arial" w:cs="Arial"/>
          <w:sz w:val="18"/>
          <w:szCs w:val="18"/>
          <w:lang w:eastAsia="es-ES"/>
        </w:rPr>
        <w:t>Por otra parte, el 28 de marzo de 2025, el IPAB dio a conocer al público inversionista las subastas primarias programadas a realizar durante el segundo trimestre de 2025; para el cual, mantuvo el monto objetivo semanal a subastar respecto del primer trimestre de 2025, quedando en 4 mil 300.0 millones de pesos, distribuidos de la siguiente manera: 1 mil 500.0 millones de pesos de BPAG28 a plazo de hasta 3 años; 1 mil 500.0 millones de pesos de BPAG91 a plazo de hasta 5 años y 1 mil 300.0 millones de pesos de BPA182 a plazo de hasta 7 años.</w:t>
      </w:r>
    </w:p>
    <w:p w14:paraId="1B3C633F" w14:textId="7E24CC57" w:rsid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El Gobierno del Estado de Tlaxcala mantiene el compromiso de no contraer deuda pública que pudiese comprometer las finanzas públicas en el corto y mediano plazo, aunado a las medidas de austeridad republicana implementadas por el Gobierno Federal, traduciéndose en un nivel de endeudamiento al cierre del ejercicio fiscal 2024 de $0.00, y al primer trimestre del ejercicio 2025 se continúa con un saldo de $0.00 de endeudamiento, manteniendo las finanzas del Gobierno del Estado sanas.</w:t>
      </w:r>
    </w:p>
    <w:p w14:paraId="26C4632D" w14:textId="77777777" w:rsidR="008B4067" w:rsidRDefault="008B4067" w:rsidP="007058F3">
      <w:pPr>
        <w:tabs>
          <w:tab w:val="left" w:pos="284"/>
        </w:tabs>
        <w:ind w:left="284"/>
        <w:jc w:val="both"/>
        <w:rPr>
          <w:rFonts w:ascii="Arial" w:eastAsia="Times New Roman" w:hAnsi="Arial" w:cs="Arial"/>
          <w:sz w:val="18"/>
          <w:szCs w:val="18"/>
          <w:lang w:eastAsia="es-ES"/>
        </w:rPr>
      </w:pPr>
    </w:p>
    <w:p w14:paraId="2039A215" w14:textId="77777777" w:rsidR="008B4067" w:rsidRDefault="008B4067" w:rsidP="007058F3">
      <w:pPr>
        <w:tabs>
          <w:tab w:val="left" w:pos="284"/>
        </w:tabs>
        <w:ind w:left="284"/>
        <w:jc w:val="both"/>
        <w:rPr>
          <w:rFonts w:ascii="Arial" w:eastAsia="Times New Roman" w:hAnsi="Arial" w:cs="Arial"/>
          <w:sz w:val="18"/>
          <w:szCs w:val="18"/>
          <w:lang w:eastAsia="es-ES"/>
        </w:rPr>
      </w:pPr>
    </w:p>
    <w:p w14:paraId="04D4029A" w14:textId="77777777" w:rsidR="008B4067" w:rsidRPr="00A11793" w:rsidRDefault="008B4067" w:rsidP="007058F3">
      <w:pPr>
        <w:tabs>
          <w:tab w:val="left" w:pos="284"/>
        </w:tabs>
        <w:ind w:left="284"/>
        <w:jc w:val="both"/>
        <w:rPr>
          <w:rFonts w:ascii="Arial" w:eastAsia="Times New Roman" w:hAnsi="Arial" w:cs="Arial"/>
          <w:sz w:val="18"/>
          <w:szCs w:val="18"/>
          <w:lang w:eastAsia="es-ES"/>
        </w:rPr>
      </w:pPr>
    </w:p>
    <w:p w14:paraId="6719BFE1" w14:textId="77777777" w:rsidR="008C10B0" w:rsidRPr="00B97B9A" w:rsidRDefault="008C10B0" w:rsidP="008C10B0">
      <w:pPr>
        <w:tabs>
          <w:tab w:val="left" w:pos="284"/>
        </w:tabs>
        <w:jc w:val="both"/>
        <w:rPr>
          <w:rFonts w:ascii="Arial" w:hAnsi="Arial" w:cs="Arial"/>
          <w:b/>
          <w:sz w:val="18"/>
          <w:szCs w:val="18"/>
        </w:rPr>
      </w:pPr>
      <w:r w:rsidRPr="00B97B9A">
        <w:rPr>
          <w:rFonts w:ascii="Arial" w:hAnsi="Arial" w:cs="Arial"/>
          <w:sz w:val="18"/>
          <w:szCs w:val="18"/>
        </w:rPr>
        <w:tab/>
      </w:r>
      <w:r w:rsidRPr="003E4FE7">
        <w:rPr>
          <w:rFonts w:ascii="Arial" w:hAnsi="Arial" w:cs="Arial"/>
          <w:b/>
          <w:sz w:val="18"/>
          <w:szCs w:val="18"/>
        </w:rPr>
        <w:t>11. Calificaciones otorgadas</w:t>
      </w:r>
    </w:p>
    <w:p w14:paraId="61E30715" w14:textId="29C999E3" w:rsidR="008C10B0" w:rsidRDefault="008C10B0" w:rsidP="008C10B0">
      <w:r>
        <w:t xml:space="preserve">      No aplica, toda vez que no se tiene contrato con empresas calificadoras al </w:t>
      </w:r>
      <w:r w:rsidR="003A3004">
        <w:t>3</w:t>
      </w:r>
      <w:r w:rsidR="008B4067">
        <w:t>0</w:t>
      </w:r>
      <w:r w:rsidR="003A3004">
        <w:t xml:space="preserve"> de </w:t>
      </w:r>
      <w:r w:rsidR="008B4067">
        <w:t>juni</w:t>
      </w:r>
      <w:r w:rsidR="003A3004">
        <w:t>o</w:t>
      </w:r>
      <w:r>
        <w:t xml:space="preserve"> del ejercicio 202</w:t>
      </w:r>
      <w:r w:rsidR="003A3004">
        <w:t>5</w:t>
      </w:r>
      <w:r>
        <w:t>.</w:t>
      </w:r>
    </w:p>
    <w:p w14:paraId="5D93A37E" w14:textId="77777777" w:rsidR="008C10B0" w:rsidRDefault="008C10B0" w:rsidP="008C10B0">
      <w:pPr>
        <w:rPr>
          <w:rFonts w:ascii="Arial" w:hAnsi="Arial" w:cs="Arial"/>
          <w:b/>
          <w:sz w:val="18"/>
          <w:szCs w:val="18"/>
        </w:rPr>
      </w:pPr>
      <w:r>
        <w:t xml:space="preserve">     </w:t>
      </w:r>
      <w:r w:rsidRPr="003A3004">
        <w:rPr>
          <w:rFonts w:ascii="Arial" w:hAnsi="Arial" w:cs="Arial"/>
          <w:b/>
          <w:sz w:val="18"/>
          <w:szCs w:val="18"/>
        </w:rPr>
        <w:t>12. Proceso de Mejora</w:t>
      </w:r>
    </w:p>
    <w:p w14:paraId="03F40413" w14:textId="77777777" w:rsidR="008C10B0" w:rsidRPr="00B97B9A" w:rsidRDefault="008C10B0" w:rsidP="008C10B0">
      <w:r w:rsidRPr="00B97B9A">
        <w:t xml:space="preserve">     a) Principales políticas de control interno:</w:t>
      </w:r>
    </w:p>
    <w:p w14:paraId="434D0493" w14:textId="77777777" w:rsidR="008C10B0" w:rsidRDefault="008C10B0" w:rsidP="008C10B0">
      <w:pPr>
        <w:ind w:left="708"/>
        <w:jc w:val="both"/>
      </w:pPr>
      <w:r>
        <w:t xml:space="preserve"> </w:t>
      </w:r>
      <w:r w:rsidRPr="00B97B9A">
        <w:t>Se cuenta con manuales de procedimientos, Lineamientos de Racionalidad, Austeridad y Disciplina</w:t>
      </w:r>
      <w:r>
        <w:t xml:space="preserve"> </w:t>
      </w:r>
      <w:r w:rsidRPr="00B97B9A">
        <w:t>Presupuestal, Lineamientos de Adquisiciones, Arrendamientos, Servicios y Obra Pública del Estado de Tlaxcala, así como la normatividad vigente para los registros contables emitidos por la Consejo Nacional de Armonización Contable.</w:t>
      </w:r>
    </w:p>
    <w:p w14:paraId="639E90EC" w14:textId="77777777" w:rsidR="008C10B0" w:rsidRPr="00B97B9A" w:rsidRDefault="008C10B0" w:rsidP="008C10B0">
      <w:pPr>
        <w:jc w:val="both"/>
      </w:pPr>
      <w:r>
        <w:t xml:space="preserve">   </w:t>
      </w:r>
      <w:r w:rsidRPr="00B97B9A">
        <w:t>b) Medidas de desempeño financiero, metas y alcance:</w:t>
      </w:r>
    </w:p>
    <w:p w14:paraId="552AA16C" w14:textId="431468FF" w:rsidR="008C10B0" w:rsidRDefault="008C10B0" w:rsidP="008C10B0">
      <w:pPr>
        <w:ind w:left="708"/>
        <w:jc w:val="both"/>
      </w:pPr>
      <w:r w:rsidRPr="00B97B9A">
        <w:t>Se lleva un control estadístico de actividades por área administrativa a fin de evaluar el desempeño de</w:t>
      </w:r>
      <w:r w:rsidRPr="00B97B9A">
        <w:rPr>
          <w:rFonts w:ascii="Arial Narrow" w:eastAsia="Times New Roman" w:hAnsi="Arial Narrow" w:cs="Times New Roman"/>
        </w:rPr>
        <w:t xml:space="preserve"> </w:t>
      </w:r>
      <w:r w:rsidRPr="00B97B9A">
        <w:t>acuerdo con lo programado y presupuestado (PBR) del ejercicio 202</w:t>
      </w:r>
      <w:r w:rsidR="003A3004">
        <w:t>5</w:t>
      </w:r>
      <w:r>
        <w:t>.</w:t>
      </w:r>
    </w:p>
    <w:p w14:paraId="5F7F9775" w14:textId="77777777" w:rsidR="008C10B0" w:rsidRPr="00B97B9A" w:rsidRDefault="008C10B0" w:rsidP="008C10B0">
      <w:pPr>
        <w:jc w:val="both"/>
        <w:rPr>
          <w:b/>
        </w:rPr>
      </w:pPr>
      <w:r w:rsidRPr="003A3004">
        <w:rPr>
          <w:b/>
        </w:rPr>
        <w:t>13. Información por Segmentos</w:t>
      </w:r>
    </w:p>
    <w:p w14:paraId="3CE23A92" w14:textId="1D07673C" w:rsidR="008C10B0" w:rsidRDefault="008C10B0" w:rsidP="008C10B0">
      <w:pPr>
        <w:jc w:val="both"/>
      </w:pPr>
      <w:r>
        <w:t xml:space="preserve">No aplica, toda vez que el Poder Ejecutivo informa de manera pormenorizada de acuerdo a la estructura relativa a la Cuenta </w:t>
      </w:r>
      <w:r w:rsidR="002640DB">
        <w:t>Pública</w:t>
      </w:r>
      <w:r>
        <w:t xml:space="preserve"> emitida por el Consejo Nacional Armonización Contable.</w:t>
      </w:r>
    </w:p>
    <w:p w14:paraId="4DEDCF6D" w14:textId="77777777" w:rsidR="008C10B0" w:rsidRDefault="008C10B0" w:rsidP="008C10B0">
      <w:pPr>
        <w:jc w:val="both"/>
      </w:pPr>
      <w:r w:rsidRPr="00AD1464">
        <w:rPr>
          <w:b/>
        </w:rPr>
        <w:t>14. Eventos Posteriores al Cierre</w:t>
      </w:r>
    </w:p>
    <w:p w14:paraId="373B6104" w14:textId="79083081" w:rsidR="008C10B0" w:rsidRDefault="008C10B0" w:rsidP="008C10B0">
      <w:pPr>
        <w:jc w:val="both"/>
      </w:pPr>
      <w:r>
        <w:t xml:space="preserve">No aplica, toda vez que no se registraron eventos posteriores al cierre del </w:t>
      </w:r>
      <w:r w:rsidR="008B4067">
        <w:t>segundo</w:t>
      </w:r>
      <w:r w:rsidR="00AD1464">
        <w:t xml:space="preserve"> trimestre del ejercicio fiscal 2025</w:t>
      </w:r>
      <w:r>
        <w:t>.</w:t>
      </w:r>
    </w:p>
    <w:p w14:paraId="7C0596D0" w14:textId="77777777" w:rsidR="008C10B0" w:rsidRDefault="008C10B0" w:rsidP="008C10B0">
      <w:pPr>
        <w:jc w:val="both"/>
        <w:rPr>
          <w:b/>
        </w:rPr>
      </w:pPr>
      <w:r w:rsidRPr="00AD1464">
        <w:rPr>
          <w:b/>
        </w:rPr>
        <w:t>15. Partes Relacionadas</w:t>
      </w:r>
    </w:p>
    <w:p w14:paraId="7D77AAE3" w14:textId="59CC0BF3" w:rsidR="008C10B0" w:rsidRDefault="008C10B0" w:rsidP="008C10B0">
      <w:pPr>
        <w:jc w:val="both"/>
      </w:pPr>
      <w:r>
        <w:t xml:space="preserve">No aplica, toda vez que el Poder Ejecutivo no cuenta con partes relacionadas al cierre del </w:t>
      </w:r>
      <w:r w:rsidR="008B4067">
        <w:t>segundo</w:t>
      </w:r>
      <w:r w:rsidR="00AD1464">
        <w:t xml:space="preserve"> trimestre del </w:t>
      </w:r>
      <w:r>
        <w:t>ejer</w:t>
      </w:r>
      <w:r w:rsidR="00AD1464">
        <w:t>cicio 2025</w:t>
      </w:r>
      <w: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134"/>
        <w:gridCol w:w="4110"/>
      </w:tblGrid>
      <w:tr w:rsidR="008C10B0" w14:paraId="5C525CF8" w14:textId="77777777" w:rsidTr="008C10B0">
        <w:trPr>
          <w:trHeight w:val="1671"/>
        </w:trPr>
        <w:tc>
          <w:tcPr>
            <w:tcW w:w="9350" w:type="dxa"/>
            <w:gridSpan w:val="3"/>
          </w:tcPr>
          <w:p w14:paraId="72E3B415" w14:textId="77777777" w:rsidR="008C10B0" w:rsidRDefault="008C10B0" w:rsidP="008C10B0">
            <w:pPr>
              <w:pStyle w:val="Texto"/>
              <w:spacing w:after="0" w:line="240" w:lineRule="exact"/>
              <w:ind w:firstLine="0"/>
              <w:rPr>
                <w:b/>
              </w:rPr>
            </w:pPr>
            <w:r w:rsidRPr="00931020">
              <w:rPr>
                <w:b/>
              </w:rPr>
              <w:t>16. Responsabilidad Sobre la Presentación Razonable de la Información Contable</w:t>
            </w:r>
          </w:p>
          <w:p w14:paraId="24807FF1" w14:textId="77777777" w:rsidR="008C10B0" w:rsidRDefault="008C10B0" w:rsidP="008C10B0">
            <w:pPr>
              <w:pStyle w:val="Texto"/>
              <w:spacing w:after="0" w:line="240" w:lineRule="exact"/>
              <w:ind w:firstLine="0"/>
              <w:rPr>
                <w:color w:val="000000"/>
                <w:szCs w:val="18"/>
              </w:rPr>
            </w:pPr>
          </w:p>
          <w:p w14:paraId="70B91332" w14:textId="77777777" w:rsidR="008C10B0" w:rsidRDefault="008C10B0" w:rsidP="008C10B0">
            <w:pPr>
              <w:pStyle w:val="Texto"/>
              <w:spacing w:after="0" w:line="240" w:lineRule="exact"/>
              <w:ind w:firstLine="0"/>
              <w:rPr>
                <w:color w:val="000000"/>
                <w:szCs w:val="18"/>
              </w:rPr>
            </w:pPr>
            <w:r w:rsidRPr="007B7847">
              <w:rPr>
                <w:color w:val="000000"/>
                <w:szCs w:val="18"/>
              </w:rPr>
              <w:t>Bajo protesta de decir verdad declaramos que los Estados Financieros y sus Notas son razonablemente correctos y responsabilidad del emisor</w:t>
            </w:r>
            <w:r>
              <w:rPr>
                <w:color w:val="000000"/>
                <w:szCs w:val="18"/>
              </w:rPr>
              <w:t>.</w:t>
            </w:r>
          </w:p>
          <w:p w14:paraId="07224C6B" w14:textId="77777777" w:rsidR="008C10B0" w:rsidRDefault="008C10B0" w:rsidP="008C10B0">
            <w:pPr>
              <w:pStyle w:val="Texto"/>
              <w:spacing w:after="0" w:line="240" w:lineRule="exact"/>
              <w:ind w:firstLine="0"/>
              <w:rPr>
                <w:szCs w:val="18"/>
              </w:rPr>
            </w:pPr>
          </w:p>
          <w:p w14:paraId="49DA6409" w14:textId="77777777" w:rsidR="008C10B0" w:rsidRDefault="008C10B0" w:rsidP="008C10B0">
            <w:pPr>
              <w:pStyle w:val="Texto"/>
              <w:spacing w:after="0" w:line="240" w:lineRule="exact"/>
              <w:ind w:firstLine="0"/>
              <w:rPr>
                <w:szCs w:val="18"/>
              </w:rPr>
            </w:pPr>
          </w:p>
          <w:p w14:paraId="5A3C8BD4" w14:textId="77777777" w:rsidR="008C10B0" w:rsidRDefault="008C10B0" w:rsidP="008C10B0">
            <w:pPr>
              <w:pStyle w:val="Texto"/>
              <w:spacing w:after="0" w:line="240" w:lineRule="exact"/>
              <w:ind w:firstLine="0"/>
              <w:rPr>
                <w:szCs w:val="18"/>
              </w:rPr>
            </w:pPr>
          </w:p>
          <w:p w14:paraId="5FCD26B2" w14:textId="77777777" w:rsidR="008C10B0" w:rsidRDefault="008C10B0" w:rsidP="008C10B0">
            <w:pPr>
              <w:pStyle w:val="Texto"/>
              <w:spacing w:after="0" w:line="240" w:lineRule="exact"/>
              <w:ind w:firstLine="0"/>
              <w:rPr>
                <w:szCs w:val="18"/>
              </w:rPr>
            </w:pPr>
          </w:p>
        </w:tc>
      </w:tr>
      <w:tr w:rsidR="008C10B0" w14:paraId="134717B8" w14:textId="77777777" w:rsidTr="008C10B0">
        <w:tc>
          <w:tcPr>
            <w:tcW w:w="4106" w:type="dxa"/>
          </w:tcPr>
          <w:p w14:paraId="5EC57BEB" w14:textId="77777777" w:rsidR="008C10B0" w:rsidRDefault="008C10B0" w:rsidP="008C10B0">
            <w:pPr>
              <w:jc w:val="center"/>
              <w:rPr>
                <w:rFonts w:ascii="Arial" w:hAnsi="Arial" w:cs="Arial"/>
                <w:color w:val="000000"/>
                <w:sz w:val="18"/>
                <w:szCs w:val="18"/>
              </w:rPr>
            </w:pPr>
          </w:p>
          <w:p w14:paraId="592FE0CD" w14:textId="77777777" w:rsidR="008C10B0" w:rsidRDefault="008C10B0" w:rsidP="008C10B0">
            <w:pPr>
              <w:jc w:val="center"/>
              <w:rPr>
                <w:rFonts w:ascii="Arial" w:hAnsi="Arial" w:cs="Arial"/>
                <w:color w:val="000000"/>
                <w:sz w:val="18"/>
                <w:szCs w:val="18"/>
              </w:rPr>
            </w:pPr>
          </w:p>
          <w:p w14:paraId="1CD01109" w14:textId="77777777" w:rsidR="008C10B0" w:rsidRDefault="008C10B0" w:rsidP="008C10B0">
            <w:pPr>
              <w:jc w:val="center"/>
              <w:rPr>
                <w:rFonts w:ascii="Arial" w:hAnsi="Arial" w:cs="Arial"/>
                <w:color w:val="000000"/>
                <w:sz w:val="18"/>
                <w:szCs w:val="18"/>
              </w:rPr>
            </w:pPr>
            <w:r>
              <w:rPr>
                <w:rFonts w:ascii="Arial" w:hAnsi="Arial" w:cs="Arial"/>
                <w:color w:val="000000"/>
                <w:sz w:val="18"/>
                <w:szCs w:val="18"/>
              </w:rPr>
              <w:t>_____________________________________</w:t>
            </w:r>
          </w:p>
          <w:p w14:paraId="752A43B5" w14:textId="77777777" w:rsidR="008C10B0" w:rsidRDefault="008C10B0" w:rsidP="008C10B0">
            <w:pPr>
              <w:jc w:val="center"/>
            </w:pPr>
            <w:r>
              <w:rPr>
                <w:rFonts w:ascii="Arial" w:hAnsi="Arial" w:cs="Arial"/>
                <w:color w:val="000000"/>
                <w:sz w:val="18"/>
                <w:szCs w:val="18"/>
              </w:rPr>
              <w:t>C.P</w:t>
            </w:r>
            <w:r w:rsidRPr="008A6E02">
              <w:rPr>
                <w:rFonts w:ascii="Arial" w:hAnsi="Arial" w:cs="Arial"/>
                <w:color w:val="000000"/>
                <w:sz w:val="18"/>
                <w:szCs w:val="18"/>
              </w:rPr>
              <w:t xml:space="preserve">. </w:t>
            </w:r>
            <w:r>
              <w:rPr>
                <w:rFonts w:ascii="Arial" w:hAnsi="Arial" w:cs="Arial"/>
                <w:color w:val="000000"/>
                <w:sz w:val="18"/>
                <w:szCs w:val="18"/>
              </w:rPr>
              <w:t>David Álvarez Ochoa</w:t>
            </w:r>
          </w:p>
          <w:p w14:paraId="717474DB" w14:textId="77777777" w:rsidR="008C10B0" w:rsidRDefault="008C10B0" w:rsidP="008C10B0">
            <w:pPr>
              <w:jc w:val="center"/>
            </w:pPr>
            <w:r w:rsidRPr="007B7847">
              <w:rPr>
                <w:rFonts w:ascii="Arial" w:hAnsi="Arial" w:cs="Arial"/>
                <w:color w:val="000000"/>
                <w:sz w:val="18"/>
                <w:szCs w:val="18"/>
              </w:rPr>
              <w:t>Secretari</w:t>
            </w:r>
            <w:r>
              <w:rPr>
                <w:rFonts w:ascii="Arial" w:hAnsi="Arial" w:cs="Arial"/>
                <w:color w:val="000000"/>
                <w:sz w:val="18"/>
                <w:szCs w:val="18"/>
              </w:rPr>
              <w:t>o</w:t>
            </w:r>
            <w:r w:rsidRPr="007B7847">
              <w:rPr>
                <w:rFonts w:ascii="Arial" w:hAnsi="Arial" w:cs="Arial"/>
                <w:color w:val="000000"/>
                <w:sz w:val="18"/>
                <w:szCs w:val="18"/>
              </w:rPr>
              <w:t xml:space="preserve"> de Finanzas</w:t>
            </w:r>
          </w:p>
          <w:p w14:paraId="1BB3EA60" w14:textId="77777777" w:rsidR="008C10B0" w:rsidRDefault="008C10B0" w:rsidP="008C10B0">
            <w:pPr>
              <w:pStyle w:val="Texto"/>
              <w:spacing w:after="0" w:line="240" w:lineRule="exact"/>
              <w:ind w:firstLine="0"/>
              <w:jc w:val="center"/>
              <w:rPr>
                <w:szCs w:val="18"/>
              </w:rPr>
            </w:pPr>
          </w:p>
        </w:tc>
        <w:tc>
          <w:tcPr>
            <w:tcW w:w="1134" w:type="dxa"/>
          </w:tcPr>
          <w:p w14:paraId="60331F3E" w14:textId="77777777" w:rsidR="008C10B0" w:rsidRDefault="008C10B0" w:rsidP="008C10B0">
            <w:pPr>
              <w:pStyle w:val="Texto"/>
              <w:spacing w:after="0" w:line="240" w:lineRule="exact"/>
              <w:ind w:firstLine="0"/>
              <w:rPr>
                <w:szCs w:val="18"/>
              </w:rPr>
            </w:pPr>
          </w:p>
        </w:tc>
        <w:tc>
          <w:tcPr>
            <w:tcW w:w="4110" w:type="dxa"/>
          </w:tcPr>
          <w:p w14:paraId="24427A79" w14:textId="77777777" w:rsidR="008C10B0" w:rsidRPr="00F3142D" w:rsidRDefault="008C10B0" w:rsidP="008C10B0">
            <w:pPr>
              <w:pStyle w:val="Texto"/>
              <w:spacing w:after="0" w:line="240" w:lineRule="exact"/>
              <w:ind w:firstLine="0"/>
              <w:jc w:val="center"/>
              <w:rPr>
                <w:color w:val="000000"/>
                <w:szCs w:val="18"/>
              </w:rPr>
            </w:pPr>
          </w:p>
          <w:p w14:paraId="25612B7B" w14:textId="77777777" w:rsidR="008C10B0" w:rsidRPr="00F3142D" w:rsidRDefault="008C10B0" w:rsidP="008C10B0">
            <w:pPr>
              <w:pStyle w:val="Texto"/>
              <w:spacing w:after="0" w:line="240" w:lineRule="exact"/>
              <w:ind w:firstLine="0"/>
              <w:jc w:val="center"/>
              <w:rPr>
                <w:color w:val="000000"/>
                <w:szCs w:val="18"/>
              </w:rPr>
            </w:pPr>
          </w:p>
          <w:p w14:paraId="1BCDD804" w14:textId="77777777" w:rsidR="008C10B0" w:rsidRPr="00F3142D" w:rsidRDefault="008C10B0" w:rsidP="008C10B0">
            <w:pPr>
              <w:pStyle w:val="Texto"/>
              <w:spacing w:after="0" w:line="240" w:lineRule="exact"/>
              <w:ind w:firstLine="0"/>
              <w:jc w:val="center"/>
              <w:rPr>
                <w:color w:val="000000"/>
                <w:szCs w:val="18"/>
              </w:rPr>
            </w:pPr>
            <w:r w:rsidRPr="00F3142D">
              <w:rPr>
                <w:color w:val="000000"/>
                <w:szCs w:val="18"/>
              </w:rPr>
              <w:t>____________________________________</w:t>
            </w:r>
          </w:p>
          <w:p w14:paraId="42E4CC1F" w14:textId="77777777" w:rsidR="008C10B0" w:rsidRPr="00F3142D" w:rsidRDefault="008C10B0" w:rsidP="008C10B0">
            <w:pPr>
              <w:pStyle w:val="Texto"/>
              <w:spacing w:after="0" w:line="240" w:lineRule="exact"/>
              <w:ind w:firstLine="0"/>
              <w:jc w:val="center"/>
              <w:rPr>
                <w:color w:val="000000"/>
                <w:szCs w:val="18"/>
              </w:rPr>
            </w:pPr>
            <w:r w:rsidRPr="00F3142D">
              <w:rPr>
                <w:color w:val="000000"/>
                <w:szCs w:val="18"/>
              </w:rPr>
              <w:t>C.P. Román Muñoz Calva</w:t>
            </w:r>
          </w:p>
          <w:p w14:paraId="5E77A3B7" w14:textId="77777777" w:rsidR="008C10B0" w:rsidRDefault="008C10B0" w:rsidP="008C10B0">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p w14:paraId="2ED0973F" w14:textId="77777777" w:rsidR="008C10B0" w:rsidRDefault="008C10B0" w:rsidP="008C10B0">
            <w:pPr>
              <w:pStyle w:val="Texto"/>
              <w:spacing w:after="0" w:line="240" w:lineRule="exact"/>
              <w:ind w:firstLine="0"/>
              <w:jc w:val="center"/>
              <w:rPr>
                <w:szCs w:val="18"/>
              </w:rPr>
            </w:pPr>
          </w:p>
        </w:tc>
      </w:tr>
    </w:tbl>
    <w:p w14:paraId="035581AA" w14:textId="77777777" w:rsidR="008C10B0" w:rsidRDefault="008C10B0" w:rsidP="008C10B0">
      <w:pPr>
        <w:pStyle w:val="Texto"/>
        <w:spacing w:after="0" w:line="240" w:lineRule="exact"/>
        <w:rPr>
          <w:szCs w:val="18"/>
        </w:rPr>
      </w:pPr>
    </w:p>
    <w:p w14:paraId="7CEE11DB" w14:textId="77777777" w:rsidR="002D48B0" w:rsidRDefault="002D48B0" w:rsidP="008C10B0">
      <w:pPr>
        <w:pStyle w:val="Texto"/>
        <w:spacing w:after="0" w:line="276" w:lineRule="auto"/>
        <w:jc w:val="center"/>
        <w:rPr>
          <w:b/>
          <w:szCs w:val="18"/>
        </w:rPr>
      </w:pPr>
    </w:p>
    <w:p w14:paraId="542FF279" w14:textId="77777777" w:rsidR="002D48B0" w:rsidRDefault="002D48B0" w:rsidP="008C10B0">
      <w:pPr>
        <w:pStyle w:val="Texto"/>
        <w:spacing w:after="0" w:line="276" w:lineRule="auto"/>
        <w:jc w:val="center"/>
        <w:rPr>
          <w:b/>
          <w:szCs w:val="18"/>
        </w:rPr>
      </w:pPr>
    </w:p>
    <w:p w14:paraId="025C0092" w14:textId="77777777" w:rsidR="008C10B0" w:rsidRPr="0073056A" w:rsidRDefault="008C10B0" w:rsidP="008C10B0">
      <w:pPr>
        <w:pStyle w:val="Texto"/>
        <w:spacing w:after="0" w:line="276" w:lineRule="auto"/>
        <w:jc w:val="center"/>
        <w:rPr>
          <w:b/>
          <w:szCs w:val="18"/>
        </w:rPr>
      </w:pPr>
      <w:r w:rsidRPr="0073056A">
        <w:rPr>
          <w:b/>
          <w:szCs w:val="18"/>
        </w:rPr>
        <w:t>NOTAS A LOS ESTADOS FINANCIEROS</w:t>
      </w:r>
    </w:p>
    <w:p w14:paraId="1E8EA227" w14:textId="77777777" w:rsidR="008C10B0" w:rsidRDefault="008C10B0" w:rsidP="008C10B0">
      <w:pPr>
        <w:pStyle w:val="Texto"/>
        <w:spacing w:after="0" w:line="276" w:lineRule="auto"/>
        <w:jc w:val="center"/>
        <w:rPr>
          <w:b/>
          <w:szCs w:val="18"/>
        </w:rPr>
      </w:pPr>
    </w:p>
    <w:p w14:paraId="60EF8617" w14:textId="77777777" w:rsidR="008C10B0" w:rsidRPr="0073056A" w:rsidRDefault="008C10B0" w:rsidP="008C10B0">
      <w:pPr>
        <w:pStyle w:val="Texto"/>
        <w:spacing w:after="0" w:line="276" w:lineRule="auto"/>
        <w:jc w:val="center"/>
        <w:rPr>
          <w:szCs w:val="18"/>
        </w:rPr>
      </w:pPr>
      <w:r w:rsidRPr="0073056A">
        <w:rPr>
          <w:b/>
          <w:szCs w:val="18"/>
        </w:rPr>
        <w:t>a) NOTAS DE DESGLOSE</w:t>
      </w:r>
    </w:p>
    <w:p w14:paraId="5FF7FB9E" w14:textId="77777777" w:rsidR="008C10B0" w:rsidRDefault="008C10B0" w:rsidP="008C10B0">
      <w:pPr>
        <w:pStyle w:val="Texto"/>
        <w:spacing w:after="0" w:line="276" w:lineRule="auto"/>
        <w:rPr>
          <w:szCs w:val="18"/>
          <w:lang w:val="es-MX"/>
        </w:rPr>
      </w:pPr>
    </w:p>
    <w:p w14:paraId="477CBF61" w14:textId="77777777" w:rsidR="008C10B0" w:rsidRPr="0073056A" w:rsidRDefault="008C10B0" w:rsidP="008C10B0">
      <w:pPr>
        <w:pStyle w:val="INCISO"/>
        <w:tabs>
          <w:tab w:val="left" w:pos="284"/>
        </w:tabs>
        <w:spacing w:after="0" w:line="276" w:lineRule="auto"/>
        <w:ind w:left="284" w:firstLine="0"/>
        <w:rPr>
          <w:b/>
          <w:smallCaps/>
        </w:rPr>
      </w:pPr>
      <w:r w:rsidRPr="0073056A">
        <w:rPr>
          <w:b/>
          <w:smallCaps/>
        </w:rPr>
        <w:t>I)</w:t>
      </w:r>
      <w:r w:rsidRPr="0073056A">
        <w:rPr>
          <w:b/>
          <w:smallCaps/>
        </w:rPr>
        <w:tab/>
        <w:t>Notas al Estado de Actividades</w:t>
      </w:r>
    </w:p>
    <w:p w14:paraId="17C6C40F" w14:textId="77777777" w:rsidR="008C10B0" w:rsidRPr="0073056A" w:rsidRDefault="008C10B0" w:rsidP="008C10B0">
      <w:pPr>
        <w:pStyle w:val="INCISO"/>
        <w:tabs>
          <w:tab w:val="left" w:pos="284"/>
        </w:tabs>
        <w:spacing w:after="0" w:line="276" w:lineRule="auto"/>
        <w:ind w:left="284" w:firstLine="0"/>
        <w:rPr>
          <w:b/>
          <w:smallCaps/>
        </w:rPr>
      </w:pPr>
    </w:p>
    <w:p w14:paraId="3F5C226E" w14:textId="281F58B3" w:rsidR="008C10B0" w:rsidRDefault="008C10B0" w:rsidP="008C10B0">
      <w:pPr>
        <w:tabs>
          <w:tab w:val="left" w:pos="284"/>
        </w:tabs>
        <w:ind w:left="284"/>
        <w:jc w:val="both"/>
        <w:rPr>
          <w:rFonts w:ascii="Arial" w:hAnsi="Arial" w:cs="Arial"/>
          <w:sz w:val="18"/>
          <w:szCs w:val="18"/>
        </w:rPr>
      </w:pPr>
      <w:r>
        <w:rPr>
          <w:rFonts w:ascii="Arial" w:hAnsi="Arial" w:cs="Arial"/>
          <w:sz w:val="18"/>
          <w:szCs w:val="18"/>
          <w:lang w:val="es-ES"/>
        </w:rPr>
        <w:t xml:space="preserve">Al </w:t>
      </w:r>
      <w:r w:rsidR="008B4067">
        <w:rPr>
          <w:rFonts w:ascii="Arial" w:hAnsi="Arial" w:cs="Arial"/>
          <w:sz w:val="18"/>
          <w:szCs w:val="18"/>
          <w:lang w:val="es-ES"/>
        </w:rPr>
        <w:t>segundo</w:t>
      </w:r>
      <w:r>
        <w:rPr>
          <w:rFonts w:ascii="Arial" w:hAnsi="Arial" w:cs="Arial"/>
          <w:sz w:val="18"/>
          <w:szCs w:val="18"/>
          <w:lang w:val="es-ES"/>
        </w:rPr>
        <w:t xml:space="preserve"> trimestre </w:t>
      </w:r>
      <w:r>
        <w:rPr>
          <w:rFonts w:ascii="Arial" w:hAnsi="Arial" w:cs="Arial"/>
          <w:sz w:val="18"/>
          <w:szCs w:val="18"/>
        </w:rPr>
        <w:t>del ejercicio 202</w:t>
      </w:r>
      <w:r w:rsidR="007058F3">
        <w:rPr>
          <w:rFonts w:ascii="Arial" w:hAnsi="Arial" w:cs="Arial"/>
          <w:sz w:val="18"/>
          <w:szCs w:val="18"/>
        </w:rPr>
        <w:t>5</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8B4067">
        <w:rPr>
          <w:rFonts w:ascii="Arial" w:hAnsi="Arial" w:cs="Arial"/>
          <w:sz w:val="18"/>
          <w:szCs w:val="18"/>
        </w:rPr>
        <w:t>15</w:t>
      </w:r>
      <w:r>
        <w:rPr>
          <w:rFonts w:ascii="Arial" w:hAnsi="Arial" w:cs="Arial"/>
          <w:sz w:val="18"/>
          <w:szCs w:val="18"/>
        </w:rPr>
        <w:t>,</w:t>
      </w:r>
      <w:r w:rsidR="008B4067">
        <w:rPr>
          <w:rFonts w:ascii="Arial" w:hAnsi="Arial" w:cs="Arial"/>
          <w:sz w:val="18"/>
          <w:szCs w:val="18"/>
        </w:rPr>
        <w:t>919</w:t>
      </w:r>
      <w:r>
        <w:rPr>
          <w:rFonts w:ascii="Arial" w:hAnsi="Arial" w:cs="Arial"/>
          <w:sz w:val="18"/>
          <w:szCs w:val="18"/>
        </w:rPr>
        <w:t>,</w:t>
      </w:r>
      <w:r w:rsidR="008B4067">
        <w:rPr>
          <w:rFonts w:ascii="Arial" w:hAnsi="Arial" w:cs="Arial"/>
          <w:sz w:val="18"/>
          <w:szCs w:val="18"/>
        </w:rPr>
        <w:t>702</w:t>
      </w:r>
      <w:r>
        <w:rPr>
          <w:rFonts w:ascii="Arial" w:hAnsi="Arial" w:cs="Arial"/>
          <w:sz w:val="18"/>
          <w:szCs w:val="18"/>
        </w:rPr>
        <w:t>,</w:t>
      </w:r>
      <w:r w:rsidR="007058F3">
        <w:rPr>
          <w:rFonts w:ascii="Arial" w:hAnsi="Arial" w:cs="Arial"/>
          <w:sz w:val="18"/>
          <w:szCs w:val="18"/>
        </w:rPr>
        <w:t>4</w:t>
      </w:r>
      <w:r w:rsidR="008B4067">
        <w:rPr>
          <w:rFonts w:ascii="Arial" w:hAnsi="Arial" w:cs="Arial"/>
          <w:sz w:val="18"/>
          <w:szCs w:val="18"/>
        </w:rPr>
        <w:t>5</w:t>
      </w:r>
      <w:r w:rsidR="007058F3">
        <w:rPr>
          <w:rFonts w:ascii="Arial" w:hAnsi="Arial" w:cs="Arial"/>
          <w:sz w:val="18"/>
          <w:szCs w:val="18"/>
        </w:rPr>
        <w:t>4</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sidR="008B4067">
        <w:rPr>
          <w:rFonts w:ascii="Arial" w:hAnsi="Arial" w:cs="Arial"/>
          <w:sz w:val="18"/>
          <w:szCs w:val="18"/>
        </w:rPr>
        <w:t>13</w:t>
      </w:r>
      <w:r>
        <w:rPr>
          <w:rFonts w:ascii="Arial" w:hAnsi="Arial" w:cs="Arial"/>
          <w:sz w:val="18"/>
          <w:szCs w:val="18"/>
        </w:rPr>
        <w:t>,</w:t>
      </w:r>
      <w:r w:rsidR="008B4067">
        <w:rPr>
          <w:rFonts w:ascii="Arial" w:hAnsi="Arial" w:cs="Arial"/>
          <w:sz w:val="18"/>
          <w:szCs w:val="18"/>
        </w:rPr>
        <w:t>021</w:t>
      </w:r>
      <w:r>
        <w:rPr>
          <w:rFonts w:ascii="Arial" w:hAnsi="Arial" w:cs="Arial"/>
          <w:sz w:val="18"/>
          <w:szCs w:val="18"/>
        </w:rPr>
        <w:t>,</w:t>
      </w:r>
      <w:r w:rsidR="008B4067">
        <w:rPr>
          <w:rFonts w:ascii="Arial" w:hAnsi="Arial" w:cs="Arial"/>
          <w:sz w:val="18"/>
          <w:szCs w:val="18"/>
        </w:rPr>
        <w:t>785</w:t>
      </w:r>
      <w:r>
        <w:rPr>
          <w:rFonts w:ascii="Arial" w:hAnsi="Arial" w:cs="Arial"/>
          <w:sz w:val="18"/>
          <w:szCs w:val="18"/>
        </w:rPr>
        <w:t>,</w:t>
      </w:r>
      <w:r w:rsidR="008B4067">
        <w:rPr>
          <w:rFonts w:ascii="Arial" w:hAnsi="Arial" w:cs="Arial"/>
          <w:sz w:val="18"/>
          <w:szCs w:val="18"/>
        </w:rPr>
        <w:t>646</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sidR="00652A10">
        <w:rPr>
          <w:rFonts w:ascii="Arial" w:hAnsi="Arial" w:cs="Arial"/>
          <w:sz w:val="18"/>
          <w:szCs w:val="18"/>
        </w:rPr>
        <w:t>2</w:t>
      </w:r>
      <w:r>
        <w:rPr>
          <w:rFonts w:ascii="Arial" w:hAnsi="Arial" w:cs="Arial"/>
          <w:sz w:val="18"/>
          <w:szCs w:val="18"/>
        </w:rPr>
        <w:t>,</w:t>
      </w:r>
      <w:r w:rsidR="007058F3">
        <w:rPr>
          <w:rFonts w:ascii="Arial" w:hAnsi="Arial" w:cs="Arial"/>
          <w:sz w:val="18"/>
          <w:szCs w:val="18"/>
        </w:rPr>
        <w:t>8</w:t>
      </w:r>
      <w:r w:rsidR="00652A10">
        <w:rPr>
          <w:rFonts w:ascii="Arial" w:hAnsi="Arial" w:cs="Arial"/>
          <w:sz w:val="18"/>
          <w:szCs w:val="18"/>
        </w:rPr>
        <w:t>97</w:t>
      </w:r>
      <w:r>
        <w:rPr>
          <w:rFonts w:ascii="Arial" w:hAnsi="Arial" w:cs="Arial"/>
          <w:sz w:val="18"/>
          <w:szCs w:val="18"/>
        </w:rPr>
        <w:t>,</w:t>
      </w:r>
      <w:r w:rsidR="00652A10">
        <w:rPr>
          <w:rFonts w:ascii="Arial" w:hAnsi="Arial" w:cs="Arial"/>
          <w:sz w:val="18"/>
          <w:szCs w:val="18"/>
        </w:rPr>
        <w:t>916</w:t>
      </w:r>
      <w:r>
        <w:rPr>
          <w:rFonts w:ascii="Arial" w:hAnsi="Arial" w:cs="Arial"/>
          <w:sz w:val="18"/>
          <w:szCs w:val="18"/>
        </w:rPr>
        <w:t>,</w:t>
      </w:r>
      <w:r w:rsidR="00652A10">
        <w:rPr>
          <w:rFonts w:ascii="Arial" w:hAnsi="Arial" w:cs="Arial"/>
          <w:sz w:val="18"/>
          <w:szCs w:val="18"/>
        </w:rPr>
        <w:t>808</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 xml:space="preserve">ca y financiera realizada en el periodo, mismo que es </w:t>
      </w:r>
      <w:r w:rsidR="00652A10">
        <w:rPr>
          <w:rFonts w:ascii="Arial" w:hAnsi="Arial" w:cs="Arial"/>
          <w:sz w:val="18"/>
          <w:szCs w:val="18"/>
        </w:rPr>
        <w:t>may</w:t>
      </w:r>
      <w:r w:rsidR="007058F3">
        <w:rPr>
          <w:rFonts w:ascii="Arial" w:hAnsi="Arial" w:cs="Arial"/>
          <w:sz w:val="18"/>
          <w:szCs w:val="18"/>
        </w:rPr>
        <w:t>or</w:t>
      </w:r>
      <w:r>
        <w:rPr>
          <w:rFonts w:ascii="Arial" w:hAnsi="Arial" w:cs="Arial"/>
          <w:sz w:val="18"/>
          <w:szCs w:val="18"/>
        </w:rPr>
        <w:t xml:space="preserve"> en un </w:t>
      </w:r>
      <w:r w:rsidR="00652A10">
        <w:rPr>
          <w:rFonts w:ascii="Arial" w:hAnsi="Arial" w:cs="Arial"/>
          <w:sz w:val="18"/>
          <w:szCs w:val="18"/>
        </w:rPr>
        <w:t>32</w:t>
      </w:r>
      <w:r>
        <w:rPr>
          <w:rFonts w:ascii="Arial" w:hAnsi="Arial" w:cs="Arial"/>
          <w:sz w:val="18"/>
          <w:szCs w:val="18"/>
        </w:rPr>
        <w:t>%, respecto al ejercicio de 202</w:t>
      </w:r>
      <w:r w:rsidR="007058F3">
        <w:rPr>
          <w:rFonts w:ascii="Arial" w:hAnsi="Arial" w:cs="Arial"/>
          <w:sz w:val="18"/>
          <w:szCs w:val="18"/>
        </w:rPr>
        <w:t>4</w:t>
      </w:r>
      <w:r w:rsidRPr="0073056A">
        <w:rPr>
          <w:rFonts w:ascii="Arial" w:hAnsi="Arial" w:cs="Arial"/>
          <w:sz w:val="18"/>
          <w:szCs w:val="18"/>
        </w:rPr>
        <w:t>.</w:t>
      </w:r>
    </w:p>
    <w:p w14:paraId="4CA1AB87" w14:textId="77777777" w:rsidR="008C10B0" w:rsidRPr="0073056A" w:rsidRDefault="008C10B0" w:rsidP="008C10B0">
      <w:pPr>
        <w:tabs>
          <w:tab w:val="left" w:pos="284"/>
        </w:tabs>
        <w:ind w:left="284"/>
        <w:jc w:val="both"/>
        <w:rPr>
          <w:b/>
        </w:rPr>
      </w:pPr>
      <w:r w:rsidRPr="0073056A">
        <w:rPr>
          <w:b/>
        </w:rPr>
        <w:t>Ingresos de Gestión</w:t>
      </w:r>
    </w:p>
    <w:p w14:paraId="713E4483"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14:paraId="7CD75A0F" w14:textId="41D6D5E9" w:rsidR="008C10B0" w:rsidRPr="0073056A" w:rsidRDefault="008C10B0" w:rsidP="008C10B0">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652A10">
        <w:rPr>
          <w:rFonts w:ascii="Arial" w:hAnsi="Arial" w:cs="Arial"/>
          <w:sz w:val="18"/>
          <w:szCs w:val="18"/>
        </w:rPr>
        <w:t>juni</w:t>
      </w:r>
      <w:r w:rsidR="007058F3">
        <w:rPr>
          <w:rFonts w:ascii="Arial" w:hAnsi="Arial" w:cs="Arial"/>
          <w:sz w:val="18"/>
          <w:szCs w:val="18"/>
        </w:rPr>
        <w:t>o</w:t>
      </w:r>
      <w:r>
        <w:rPr>
          <w:rFonts w:ascii="Arial" w:hAnsi="Arial" w:cs="Arial"/>
          <w:sz w:val="18"/>
          <w:szCs w:val="18"/>
        </w:rPr>
        <w:t xml:space="preserve"> de 202</w:t>
      </w:r>
      <w:r w:rsidR="007058F3">
        <w:rPr>
          <w:rFonts w:ascii="Arial" w:hAnsi="Arial" w:cs="Arial"/>
          <w:sz w:val="18"/>
          <w:szCs w:val="18"/>
        </w:rPr>
        <w:t>5</w:t>
      </w:r>
      <w:r w:rsidRPr="0073056A">
        <w:rPr>
          <w:rFonts w:ascii="Arial" w:hAnsi="Arial" w:cs="Arial"/>
          <w:sz w:val="18"/>
          <w:szCs w:val="18"/>
        </w:rPr>
        <w:t xml:space="preserve"> se recaudó la cantidad de $</w:t>
      </w:r>
      <w:r w:rsidR="00652A10">
        <w:rPr>
          <w:rFonts w:ascii="Arial" w:hAnsi="Arial" w:cs="Arial"/>
          <w:sz w:val="18"/>
          <w:szCs w:val="18"/>
        </w:rPr>
        <w:t>594</w:t>
      </w:r>
      <w:r w:rsidR="007058F3">
        <w:rPr>
          <w:rFonts w:ascii="Arial" w:hAnsi="Arial" w:cs="Arial"/>
          <w:sz w:val="18"/>
          <w:szCs w:val="18"/>
        </w:rPr>
        <w:t>,</w:t>
      </w:r>
      <w:r w:rsidR="00652A10">
        <w:rPr>
          <w:rFonts w:ascii="Arial" w:hAnsi="Arial" w:cs="Arial"/>
          <w:sz w:val="18"/>
          <w:szCs w:val="18"/>
        </w:rPr>
        <w:t>058</w:t>
      </w:r>
      <w:r w:rsidR="007058F3">
        <w:rPr>
          <w:rFonts w:ascii="Arial" w:hAnsi="Arial" w:cs="Arial"/>
          <w:sz w:val="18"/>
          <w:szCs w:val="18"/>
        </w:rPr>
        <w:t>,</w:t>
      </w:r>
      <w:r w:rsidR="00652A10">
        <w:rPr>
          <w:rFonts w:ascii="Arial" w:hAnsi="Arial" w:cs="Arial"/>
          <w:sz w:val="18"/>
          <w:szCs w:val="18"/>
        </w:rPr>
        <w:t>486</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sidR="00652A10">
        <w:rPr>
          <w:rFonts w:ascii="Arial" w:hAnsi="Arial" w:cs="Arial"/>
          <w:sz w:val="18"/>
          <w:szCs w:val="18"/>
        </w:rPr>
        <w:t>554</w:t>
      </w:r>
      <w:r w:rsidR="007058F3">
        <w:rPr>
          <w:rFonts w:ascii="Arial" w:hAnsi="Arial" w:cs="Arial"/>
          <w:sz w:val="18"/>
          <w:szCs w:val="18"/>
        </w:rPr>
        <w:t>,</w:t>
      </w:r>
      <w:r w:rsidR="00652A10">
        <w:rPr>
          <w:rFonts w:ascii="Arial" w:hAnsi="Arial" w:cs="Arial"/>
          <w:sz w:val="18"/>
          <w:szCs w:val="18"/>
        </w:rPr>
        <w:t>257</w:t>
      </w:r>
      <w:r w:rsidR="007058F3">
        <w:rPr>
          <w:rFonts w:ascii="Arial" w:hAnsi="Arial" w:cs="Arial"/>
          <w:sz w:val="18"/>
          <w:szCs w:val="18"/>
        </w:rPr>
        <w:t>,7</w:t>
      </w:r>
      <w:r w:rsidR="00652A10">
        <w:rPr>
          <w:rFonts w:ascii="Arial" w:hAnsi="Arial" w:cs="Arial"/>
          <w:sz w:val="18"/>
          <w:szCs w:val="18"/>
        </w:rPr>
        <w:t>78</w:t>
      </w:r>
      <w:r>
        <w:rPr>
          <w:rFonts w:ascii="Arial" w:hAnsi="Arial" w:cs="Arial"/>
          <w:sz w:val="18"/>
          <w:szCs w:val="18"/>
        </w:rPr>
        <w:t>; sobre la Producción, el Consumo y las transacciones por un importe de $</w:t>
      </w:r>
      <w:r w:rsidR="00652A10">
        <w:rPr>
          <w:rFonts w:ascii="Arial" w:hAnsi="Arial" w:cs="Arial"/>
          <w:sz w:val="18"/>
          <w:szCs w:val="18"/>
        </w:rPr>
        <w:t>20</w:t>
      </w:r>
      <w:r>
        <w:rPr>
          <w:rFonts w:ascii="Arial" w:hAnsi="Arial" w:cs="Arial"/>
          <w:sz w:val="18"/>
          <w:szCs w:val="18"/>
        </w:rPr>
        <w:t>,</w:t>
      </w:r>
      <w:r w:rsidR="00652A10">
        <w:rPr>
          <w:rFonts w:ascii="Arial" w:hAnsi="Arial" w:cs="Arial"/>
          <w:sz w:val="18"/>
          <w:szCs w:val="18"/>
        </w:rPr>
        <w:t>078</w:t>
      </w:r>
      <w:r>
        <w:rPr>
          <w:rFonts w:ascii="Arial" w:hAnsi="Arial" w:cs="Arial"/>
          <w:sz w:val="18"/>
          <w:szCs w:val="18"/>
        </w:rPr>
        <w:t>,</w:t>
      </w:r>
      <w:r w:rsidR="00652A10">
        <w:rPr>
          <w:rFonts w:ascii="Arial" w:hAnsi="Arial" w:cs="Arial"/>
          <w:sz w:val="18"/>
          <w:szCs w:val="18"/>
        </w:rPr>
        <w:t>657</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sidR="00652A10">
        <w:rPr>
          <w:rFonts w:ascii="Arial" w:hAnsi="Arial" w:cs="Arial"/>
          <w:sz w:val="18"/>
          <w:szCs w:val="18"/>
        </w:rPr>
        <w:t>9</w:t>
      </w:r>
      <w:r>
        <w:rPr>
          <w:rFonts w:ascii="Arial" w:hAnsi="Arial" w:cs="Arial"/>
          <w:sz w:val="18"/>
          <w:szCs w:val="18"/>
        </w:rPr>
        <w:t>,</w:t>
      </w:r>
      <w:r w:rsidR="00652A10">
        <w:rPr>
          <w:rFonts w:ascii="Arial" w:hAnsi="Arial" w:cs="Arial"/>
          <w:sz w:val="18"/>
          <w:szCs w:val="18"/>
        </w:rPr>
        <w:t>469</w:t>
      </w:r>
      <w:r>
        <w:rPr>
          <w:rFonts w:ascii="Arial" w:hAnsi="Arial" w:cs="Arial"/>
          <w:sz w:val="18"/>
          <w:szCs w:val="18"/>
        </w:rPr>
        <w:t>,</w:t>
      </w:r>
      <w:r w:rsidR="00652A10">
        <w:rPr>
          <w:rFonts w:ascii="Arial" w:hAnsi="Arial" w:cs="Arial"/>
          <w:sz w:val="18"/>
          <w:szCs w:val="18"/>
        </w:rPr>
        <w:t>403</w:t>
      </w:r>
      <w:r>
        <w:rPr>
          <w:rFonts w:ascii="Arial" w:hAnsi="Arial" w:cs="Arial"/>
          <w:sz w:val="18"/>
          <w:szCs w:val="18"/>
        </w:rPr>
        <w:t xml:space="preserve">. Presentando un diferencial </w:t>
      </w:r>
      <w:r w:rsidR="00652A10">
        <w:rPr>
          <w:rFonts w:ascii="Arial" w:hAnsi="Arial" w:cs="Arial"/>
          <w:sz w:val="18"/>
          <w:szCs w:val="18"/>
        </w:rPr>
        <w:t>negat</w:t>
      </w:r>
      <w:r w:rsidR="00513508">
        <w:rPr>
          <w:rFonts w:ascii="Arial" w:hAnsi="Arial" w:cs="Arial"/>
          <w:sz w:val="18"/>
          <w:szCs w:val="18"/>
        </w:rPr>
        <w:t>ivo</w:t>
      </w:r>
      <w:r>
        <w:rPr>
          <w:rFonts w:ascii="Arial" w:hAnsi="Arial" w:cs="Arial"/>
          <w:sz w:val="18"/>
          <w:szCs w:val="18"/>
        </w:rPr>
        <w:t xml:space="preserve"> en impuestos del </w:t>
      </w:r>
      <w:r w:rsidR="00652A10">
        <w:rPr>
          <w:rFonts w:ascii="Arial" w:hAnsi="Arial" w:cs="Arial"/>
          <w:sz w:val="18"/>
          <w:szCs w:val="18"/>
        </w:rPr>
        <w:t>42</w:t>
      </w:r>
      <w:r>
        <w:rPr>
          <w:rFonts w:ascii="Arial" w:hAnsi="Arial" w:cs="Arial"/>
          <w:sz w:val="18"/>
          <w:szCs w:val="18"/>
        </w:rPr>
        <w:t>% respecto del ejercicio 202</w:t>
      </w:r>
      <w:r w:rsidR="00513508">
        <w:rPr>
          <w:rFonts w:ascii="Arial" w:hAnsi="Arial" w:cs="Arial"/>
          <w:sz w:val="18"/>
          <w:szCs w:val="18"/>
        </w:rPr>
        <w:t>4</w:t>
      </w:r>
      <w:r>
        <w:rPr>
          <w:rFonts w:ascii="Arial" w:hAnsi="Arial" w:cs="Arial"/>
          <w:sz w:val="18"/>
          <w:szCs w:val="18"/>
        </w:rPr>
        <w:t>.</w:t>
      </w:r>
    </w:p>
    <w:p w14:paraId="6CA6F70B" w14:textId="77777777" w:rsidR="008C10B0" w:rsidRDefault="008C10B0" w:rsidP="008C10B0">
      <w:pPr>
        <w:tabs>
          <w:tab w:val="left" w:pos="284"/>
        </w:tabs>
        <w:spacing w:after="0"/>
        <w:ind w:left="284"/>
        <w:jc w:val="both"/>
        <w:rPr>
          <w:rFonts w:ascii="Arial" w:hAnsi="Arial" w:cs="Arial"/>
          <w:b/>
          <w:sz w:val="18"/>
          <w:szCs w:val="18"/>
        </w:rPr>
      </w:pPr>
    </w:p>
    <w:p w14:paraId="5C605C1A"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14:paraId="77BA3C11" w14:textId="1F28ED1F" w:rsidR="008C10B0" w:rsidRPr="0073056A" w:rsidRDefault="008C10B0" w:rsidP="008C10B0">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652A10">
        <w:rPr>
          <w:rFonts w:ascii="Arial" w:hAnsi="Arial" w:cs="Arial"/>
          <w:sz w:val="18"/>
          <w:szCs w:val="18"/>
        </w:rPr>
        <w:t>juni</w:t>
      </w:r>
      <w:r w:rsidR="00513508">
        <w:rPr>
          <w:rFonts w:ascii="Arial" w:hAnsi="Arial" w:cs="Arial"/>
          <w:sz w:val="18"/>
          <w:szCs w:val="18"/>
        </w:rPr>
        <w:t>o</w:t>
      </w:r>
      <w:r>
        <w:rPr>
          <w:rFonts w:ascii="Arial" w:hAnsi="Arial" w:cs="Arial"/>
          <w:sz w:val="18"/>
          <w:szCs w:val="18"/>
        </w:rPr>
        <w:t xml:space="preserve"> es por</w:t>
      </w:r>
      <w:r w:rsidRPr="0073056A">
        <w:rPr>
          <w:rFonts w:ascii="Arial" w:hAnsi="Arial" w:cs="Arial"/>
          <w:sz w:val="18"/>
          <w:szCs w:val="18"/>
        </w:rPr>
        <w:t xml:space="preserve"> un monto de $</w:t>
      </w:r>
      <w:r w:rsidR="00652A10">
        <w:rPr>
          <w:rFonts w:ascii="Arial" w:hAnsi="Arial" w:cs="Arial"/>
          <w:sz w:val="18"/>
          <w:szCs w:val="18"/>
        </w:rPr>
        <w:t>404</w:t>
      </w:r>
      <w:r w:rsidR="00513508">
        <w:rPr>
          <w:rFonts w:ascii="Arial" w:hAnsi="Arial" w:cs="Arial"/>
          <w:sz w:val="18"/>
          <w:szCs w:val="18"/>
        </w:rPr>
        <w:t>,</w:t>
      </w:r>
      <w:r w:rsidR="00652A10">
        <w:rPr>
          <w:rFonts w:ascii="Arial" w:hAnsi="Arial" w:cs="Arial"/>
          <w:sz w:val="18"/>
          <w:szCs w:val="18"/>
        </w:rPr>
        <w:t>70</w:t>
      </w:r>
      <w:r w:rsidR="00513508">
        <w:rPr>
          <w:rFonts w:ascii="Arial" w:hAnsi="Arial" w:cs="Arial"/>
          <w:sz w:val="18"/>
          <w:szCs w:val="18"/>
        </w:rPr>
        <w:t>1,1</w:t>
      </w:r>
      <w:r w:rsidR="00652A10">
        <w:rPr>
          <w:rFonts w:ascii="Arial" w:hAnsi="Arial" w:cs="Arial"/>
          <w:sz w:val="18"/>
          <w:szCs w:val="18"/>
        </w:rPr>
        <w:t>29</w:t>
      </w:r>
      <w:r w:rsidRPr="0073056A">
        <w:rPr>
          <w:rFonts w:ascii="Arial" w:hAnsi="Arial" w:cs="Arial"/>
          <w:sz w:val="18"/>
          <w:szCs w:val="18"/>
        </w:rPr>
        <w:t>.</w:t>
      </w:r>
      <w:r>
        <w:rPr>
          <w:rFonts w:ascii="Arial" w:hAnsi="Arial" w:cs="Arial"/>
          <w:sz w:val="18"/>
          <w:szCs w:val="18"/>
        </w:rPr>
        <w:t xml:space="preserve"> Mostrando un </w:t>
      </w:r>
      <w:r w:rsidR="00A4719D">
        <w:rPr>
          <w:rFonts w:ascii="Arial" w:hAnsi="Arial" w:cs="Arial"/>
          <w:sz w:val="18"/>
          <w:szCs w:val="18"/>
        </w:rPr>
        <w:t>de</w:t>
      </w:r>
      <w:r>
        <w:rPr>
          <w:rFonts w:ascii="Arial" w:hAnsi="Arial" w:cs="Arial"/>
          <w:sz w:val="18"/>
          <w:szCs w:val="18"/>
        </w:rPr>
        <w:t xml:space="preserve">cremento del </w:t>
      </w:r>
      <w:r w:rsidR="00A4719D">
        <w:rPr>
          <w:rFonts w:ascii="Arial" w:hAnsi="Arial" w:cs="Arial"/>
          <w:sz w:val="18"/>
          <w:szCs w:val="18"/>
        </w:rPr>
        <w:t>4</w:t>
      </w:r>
      <w:r w:rsidR="00652A10">
        <w:rPr>
          <w:rFonts w:ascii="Arial" w:hAnsi="Arial" w:cs="Arial"/>
          <w:sz w:val="18"/>
          <w:szCs w:val="18"/>
        </w:rPr>
        <w:t>1</w:t>
      </w:r>
      <w:r>
        <w:rPr>
          <w:rFonts w:ascii="Arial" w:hAnsi="Arial" w:cs="Arial"/>
          <w:sz w:val="18"/>
          <w:szCs w:val="18"/>
        </w:rPr>
        <w:t>% respecto al ejercicio de 202</w:t>
      </w:r>
      <w:r w:rsidR="00513508">
        <w:rPr>
          <w:rFonts w:ascii="Arial" w:hAnsi="Arial" w:cs="Arial"/>
          <w:sz w:val="18"/>
          <w:szCs w:val="18"/>
        </w:rPr>
        <w:t>4</w:t>
      </w:r>
      <w:r>
        <w:rPr>
          <w:rFonts w:ascii="Arial" w:hAnsi="Arial" w:cs="Arial"/>
          <w:sz w:val="18"/>
          <w:szCs w:val="18"/>
        </w:rPr>
        <w:t>.</w:t>
      </w:r>
    </w:p>
    <w:p w14:paraId="3E9F4439" w14:textId="77777777" w:rsidR="008C10B0" w:rsidRDefault="008C10B0" w:rsidP="008C10B0">
      <w:pPr>
        <w:tabs>
          <w:tab w:val="left" w:pos="284"/>
        </w:tabs>
        <w:spacing w:after="0"/>
        <w:ind w:left="284"/>
        <w:jc w:val="both"/>
        <w:rPr>
          <w:rFonts w:ascii="Arial" w:hAnsi="Arial" w:cs="Arial"/>
          <w:b/>
          <w:sz w:val="18"/>
          <w:szCs w:val="18"/>
        </w:rPr>
      </w:pPr>
    </w:p>
    <w:p w14:paraId="7F0915D8"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14:paraId="1A980931" w14:textId="73E0CA4B" w:rsidR="008C10B0" w:rsidRDefault="008C10B0" w:rsidP="008C10B0">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A4719D">
        <w:rPr>
          <w:rFonts w:ascii="Arial" w:hAnsi="Arial" w:cs="Arial"/>
          <w:sz w:val="18"/>
          <w:szCs w:val="18"/>
        </w:rPr>
        <w:t>juni</w:t>
      </w:r>
      <w:r w:rsidR="00513508">
        <w:rPr>
          <w:rFonts w:ascii="Arial" w:hAnsi="Arial" w:cs="Arial"/>
          <w:sz w:val="18"/>
          <w:szCs w:val="18"/>
        </w:rPr>
        <w:t>o</w:t>
      </w:r>
      <w:r>
        <w:rPr>
          <w:rFonts w:ascii="Arial" w:hAnsi="Arial" w:cs="Arial"/>
          <w:sz w:val="18"/>
          <w:szCs w:val="18"/>
        </w:rPr>
        <w:t xml:space="preserve"> es</w:t>
      </w:r>
      <w:r w:rsidRPr="0073056A">
        <w:rPr>
          <w:rFonts w:ascii="Arial" w:hAnsi="Arial" w:cs="Arial"/>
          <w:sz w:val="18"/>
          <w:szCs w:val="18"/>
        </w:rPr>
        <w:t xml:space="preserve"> de $</w:t>
      </w:r>
      <w:r w:rsidR="00A4719D">
        <w:rPr>
          <w:rFonts w:ascii="Arial" w:hAnsi="Arial" w:cs="Arial"/>
          <w:sz w:val="18"/>
          <w:szCs w:val="18"/>
        </w:rPr>
        <w:t>174</w:t>
      </w:r>
      <w:r w:rsidRPr="00502DDD">
        <w:rPr>
          <w:rFonts w:ascii="Arial" w:hAnsi="Arial" w:cs="Arial"/>
          <w:sz w:val="18"/>
          <w:szCs w:val="18"/>
        </w:rPr>
        <w:t>,</w:t>
      </w:r>
      <w:r w:rsidR="00A4719D">
        <w:rPr>
          <w:rFonts w:ascii="Arial" w:hAnsi="Arial" w:cs="Arial"/>
          <w:sz w:val="18"/>
          <w:szCs w:val="18"/>
        </w:rPr>
        <w:t>410</w:t>
      </w:r>
      <w:r w:rsidRPr="00502DDD">
        <w:rPr>
          <w:rFonts w:ascii="Arial" w:hAnsi="Arial" w:cs="Arial"/>
          <w:sz w:val="18"/>
          <w:szCs w:val="18"/>
        </w:rPr>
        <w:t>,</w:t>
      </w:r>
      <w:r w:rsidR="00A4719D">
        <w:rPr>
          <w:rFonts w:ascii="Arial" w:hAnsi="Arial" w:cs="Arial"/>
          <w:sz w:val="18"/>
          <w:szCs w:val="18"/>
        </w:rPr>
        <w:t>052</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Municipios, presentando un </w:t>
      </w:r>
      <w:r w:rsidR="00513508">
        <w:rPr>
          <w:rFonts w:ascii="Arial" w:hAnsi="Arial" w:cs="Arial"/>
          <w:sz w:val="18"/>
          <w:szCs w:val="18"/>
        </w:rPr>
        <w:t>de</w:t>
      </w:r>
      <w:r>
        <w:rPr>
          <w:rFonts w:ascii="Arial" w:hAnsi="Arial" w:cs="Arial"/>
          <w:sz w:val="18"/>
          <w:szCs w:val="18"/>
        </w:rPr>
        <w:t xml:space="preserve">cremento del </w:t>
      </w:r>
      <w:r w:rsidR="00A4719D">
        <w:rPr>
          <w:rFonts w:ascii="Arial" w:hAnsi="Arial" w:cs="Arial"/>
          <w:sz w:val="18"/>
          <w:szCs w:val="18"/>
        </w:rPr>
        <w:t>58</w:t>
      </w:r>
      <w:r>
        <w:rPr>
          <w:rFonts w:ascii="Arial" w:hAnsi="Arial" w:cs="Arial"/>
          <w:sz w:val="18"/>
          <w:szCs w:val="18"/>
        </w:rPr>
        <w:t>% respecto del ejercicio 202</w:t>
      </w:r>
      <w:r w:rsidR="00513508">
        <w:rPr>
          <w:rFonts w:ascii="Arial" w:hAnsi="Arial" w:cs="Arial"/>
          <w:sz w:val="18"/>
          <w:szCs w:val="18"/>
        </w:rPr>
        <w:t>4</w:t>
      </w:r>
      <w:r>
        <w:rPr>
          <w:rFonts w:ascii="Arial" w:hAnsi="Arial" w:cs="Arial"/>
          <w:sz w:val="18"/>
          <w:szCs w:val="18"/>
        </w:rPr>
        <w:t>.</w:t>
      </w:r>
    </w:p>
    <w:p w14:paraId="55A54AE1" w14:textId="77777777" w:rsidR="008C10B0" w:rsidRDefault="008C10B0" w:rsidP="008C10B0">
      <w:pPr>
        <w:tabs>
          <w:tab w:val="left" w:pos="284"/>
        </w:tabs>
        <w:spacing w:after="0"/>
        <w:ind w:left="284"/>
        <w:jc w:val="both"/>
        <w:rPr>
          <w:rFonts w:ascii="Arial" w:hAnsi="Arial" w:cs="Arial"/>
          <w:b/>
          <w:sz w:val="18"/>
          <w:szCs w:val="18"/>
        </w:rPr>
      </w:pPr>
    </w:p>
    <w:p w14:paraId="41368EC7"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14:paraId="6510377E" w14:textId="77F7ADB7" w:rsidR="008C10B0" w:rsidRPr="0073056A" w:rsidRDefault="008C10B0" w:rsidP="008C10B0">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86245D">
        <w:rPr>
          <w:rFonts w:ascii="Arial" w:hAnsi="Arial" w:cs="Arial"/>
          <w:sz w:val="18"/>
          <w:szCs w:val="18"/>
        </w:rPr>
        <w:t>juni</w:t>
      </w:r>
      <w:r w:rsidR="00513508">
        <w:rPr>
          <w:rFonts w:ascii="Arial" w:hAnsi="Arial" w:cs="Arial"/>
          <w:sz w:val="18"/>
          <w:szCs w:val="18"/>
        </w:rPr>
        <w:t>o</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202</w:t>
      </w:r>
      <w:r w:rsidR="00513508">
        <w:rPr>
          <w:rFonts w:ascii="Arial" w:hAnsi="Arial" w:cs="Arial"/>
          <w:sz w:val="18"/>
          <w:szCs w:val="18"/>
        </w:rPr>
        <w:t>5</w:t>
      </w:r>
      <w:r w:rsidRPr="0073056A">
        <w:rPr>
          <w:rFonts w:ascii="Arial" w:hAnsi="Arial" w:cs="Arial"/>
          <w:sz w:val="18"/>
          <w:szCs w:val="18"/>
        </w:rPr>
        <w:t>, el Estado obtuvo ingresos por concepto de Aprovechamientos por un monto de $</w:t>
      </w:r>
      <w:r w:rsidR="0086245D">
        <w:rPr>
          <w:rFonts w:ascii="Arial" w:hAnsi="Arial" w:cs="Arial"/>
          <w:sz w:val="18"/>
          <w:szCs w:val="18"/>
        </w:rPr>
        <w:t>77</w:t>
      </w:r>
      <w:r w:rsidR="00513508">
        <w:rPr>
          <w:rFonts w:ascii="Arial" w:hAnsi="Arial" w:cs="Arial"/>
          <w:sz w:val="18"/>
          <w:szCs w:val="18"/>
        </w:rPr>
        <w:t>2,</w:t>
      </w:r>
      <w:r w:rsidR="0086245D">
        <w:rPr>
          <w:rFonts w:ascii="Arial" w:hAnsi="Arial" w:cs="Arial"/>
          <w:sz w:val="18"/>
          <w:szCs w:val="18"/>
        </w:rPr>
        <w:t>061</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r>
        <w:rPr>
          <w:rFonts w:ascii="Arial" w:hAnsi="Arial" w:cs="Arial"/>
          <w:sz w:val="18"/>
          <w:szCs w:val="18"/>
        </w:rPr>
        <w:t xml:space="preserve"> Representando un </w:t>
      </w:r>
      <w:r w:rsidR="00513508">
        <w:rPr>
          <w:rFonts w:ascii="Arial" w:hAnsi="Arial" w:cs="Arial"/>
          <w:sz w:val="18"/>
          <w:szCs w:val="18"/>
        </w:rPr>
        <w:t xml:space="preserve">significativo </w:t>
      </w:r>
      <w:r>
        <w:rPr>
          <w:rFonts w:ascii="Arial" w:hAnsi="Arial" w:cs="Arial"/>
          <w:sz w:val="18"/>
          <w:szCs w:val="18"/>
        </w:rPr>
        <w:t>decremento en relación al ejercicio de 202</w:t>
      </w:r>
      <w:r w:rsidR="00513508">
        <w:rPr>
          <w:rFonts w:ascii="Arial" w:hAnsi="Arial" w:cs="Arial"/>
          <w:sz w:val="18"/>
          <w:szCs w:val="18"/>
        </w:rPr>
        <w:t>4</w:t>
      </w:r>
      <w:r>
        <w:rPr>
          <w:rFonts w:ascii="Arial" w:hAnsi="Arial" w:cs="Arial"/>
          <w:sz w:val="18"/>
          <w:szCs w:val="18"/>
        </w:rPr>
        <w:t>.</w:t>
      </w:r>
    </w:p>
    <w:p w14:paraId="3A2DB663" w14:textId="77777777" w:rsidR="008C10B0" w:rsidRPr="00E442EC" w:rsidRDefault="008C10B0" w:rsidP="008C10B0">
      <w:pPr>
        <w:tabs>
          <w:tab w:val="left" w:pos="284"/>
        </w:tabs>
        <w:spacing w:after="0"/>
        <w:ind w:left="284"/>
        <w:jc w:val="both"/>
        <w:rPr>
          <w:rFonts w:ascii="Arial" w:hAnsi="Arial" w:cs="Arial"/>
          <w:b/>
          <w:sz w:val="18"/>
          <w:szCs w:val="18"/>
        </w:rPr>
      </w:pPr>
    </w:p>
    <w:p w14:paraId="06BAD719" w14:textId="77777777" w:rsidR="008C10B0" w:rsidRPr="004C1616" w:rsidRDefault="008C10B0" w:rsidP="008C10B0">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14:paraId="48DA9979" w14:textId="461BD173" w:rsidR="008C10B0" w:rsidRDefault="008C10B0" w:rsidP="008C10B0">
      <w:pPr>
        <w:tabs>
          <w:tab w:val="left" w:pos="284"/>
        </w:tabs>
        <w:spacing w:after="0"/>
        <w:ind w:left="284"/>
        <w:jc w:val="both"/>
        <w:rPr>
          <w:rFonts w:ascii="Arial" w:hAnsi="Arial" w:cs="Arial"/>
          <w:sz w:val="18"/>
          <w:szCs w:val="18"/>
        </w:rPr>
      </w:pPr>
      <w:r w:rsidRPr="004D6FA0">
        <w:rPr>
          <w:rFonts w:ascii="Arial" w:hAnsi="Arial" w:cs="Arial"/>
          <w:sz w:val="18"/>
          <w:szCs w:val="18"/>
        </w:rPr>
        <w:t>El saldo de $</w:t>
      </w:r>
      <w:r w:rsidR="0086245D">
        <w:rPr>
          <w:rFonts w:ascii="Arial" w:hAnsi="Arial" w:cs="Arial"/>
          <w:sz w:val="18"/>
          <w:szCs w:val="18"/>
        </w:rPr>
        <w:t>88</w:t>
      </w:r>
      <w:r w:rsidR="00513508">
        <w:rPr>
          <w:rFonts w:ascii="Arial" w:hAnsi="Arial" w:cs="Arial"/>
          <w:sz w:val="18"/>
          <w:szCs w:val="18"/>
        </w:rPr>
        <w:t>,</w:t>
      </w:r>
      <w:r w:rsidR="0086245D">
        <w:rPr>
          <w:rFonts w:ascii="Arial" w:hAnsi="Arial" w:cs="Arial"/>
          <w:sz w:val="18"/>
          <w:szCs w:val="18"/>
        </w:rPr>
        <w:t>971</w:t>
      </w:r>
      <w:r w:rsidR="00513508">
        <w:rPr>
          <w:rFonts w:ascii="Arial" w:hAnsi="Arial" w:cs="Arial"/>
          <w:sz w:val="18"/>
          <w:szCs w:val="18"/>
        </w:rPr>
        <w:t>,</w:t>
      </w:r>
      <w:r w:rsidR="0086245D">
        <w:rPr>
          <w:rFonts w:ascii="Arial" w:hAnsi="Arial" w:cs="Arial"/>
          <w:sz w:val="18"/>
          <w:szCs w:val="18"/>
        </w:rPr>
        <w:t>959</w:t>
      </w:r>
      <w:r w:rsidRPr="004D6FA0">
        <w:rPr>
          <w:rFonts w:ascii="Arial" w:hAnsi="Arial" w:cs="Arial"/>
          <w:sz w:val="18"/>
          <w:szCs w:val="18"/>
        </w:rPr>
        <w:t xml:space="preserve"> representan los ingresos obtenidos por los organismos públicos descentralizados del</w:t>
      </w:r>
      <w:r>
        <w:rPr>
          <w:rFonts w:ascii="Arial" w:hAnsi="Arial" w:cs="Arial"/>
          <w:sz w:val="18"/>
          <w:szCs w:val="18"/>
        </w:rPr>
        <w:t xml:space="preserve"> Estado, derivados de los</w:t>
      </w:r>
      <w:r w:rsidRPr="004C1616">
        <w:rPr>
          <w:rFonts w:ascii="Arial" w:hAnsi="Arial" w:cs="Arial"/>
          <w:sz w:val="18"/>
          <w:szCs w:val="18"/>
        </w:rPr>
        <w:t xml:space="preserve"> </w:t>
      </w:r>
      <w:r>
        <w:rPr>
          <w:rFonts w:ascii="Arial" w:hAnsi="Arial" w:cs="Arial"/>
          <w:sz w:val="18"/>
          <w:szCs w:val="18"/>
        </w:rPr>
        <w:t xml:space="preserve">servicios otorgados por los mismos, principalmente en materia de salud y educación, observándose un </w:t>
      </w:r>
      <w:r w:rsidR="00513508">
        <w:rPr>
          <w:rFonts w:ascii="Arial" w:hAnsi="Arial" w:cs="Arial"/>
          <w:sz w:val="18"/>
          <w:szCs w:val="18"/>
        </w:rPr>
        <w:t>de</w:t>
      </w:r>
      <w:r>
        <w:rPr>
          <w:rFonts w:ascii="Arial" w:hAnsi="Arial" w:cs="Arial"/>
          <w:sz w:val="18"/>
          <w:szCs w:val="18"/>
        </w:rPr>
        <w:t xml:space="preserve">cremento del </w:t>
      </w:r>
      <w:r w:rsidR="0086245D">
        <w:rPr>
          <w:rFonts w:ascii="Arial" w:hAnsi="Arial" w:cs="Arial"/>
          <w:sz w:val="18"/>
          <w:szCs w:val="18"/>
        </w:rPr>
        <w:t>35</w:t>
      </w:r>
      <w:r>
        <w:rPr>
          <w:rFonts w:ascii="Arial" w:hAnsi="Arial" w:cs="Arial"/>
          <w:sz w:val="18"/>
          <w:szCs w:val="18"/>
        </w:rPr>
        <w:t>% en este rubro, respecto del ejercicio 202</w:t>
      </w:r>
      <w:r w:rsidR="00513508">
        <w:rPr>
          <w:rFonts w:ascii="Arial" w:hAnsi="Arial" w:cs="Arial"/>
          <w:sz w:val="18"/>
          <w:szCs w:val="18"/>
        </w:rPr>
        <w:t>4</w:t>
      </w:r>
      <w:r>
        <w:rPr>
          <w:rFonts w:ascii="Arial" w:hAnsi="Arial" w:cs="Arial"/>
          <w:sz w:val="18"/>
          <w:szCs w:val="18"/>
        </w:rPr>
        <w:t>.</w:t>
      </w:r>
    </w:p>
    <w:p w14:paraId="053E8410" w14:textId="77777777" w:rsidR="008C10B0" w:rsidRPr="0073056A" w:rsidRDefault="008C10B0" w:rsidP="008C10B0">
      <w:pPr>
        <w:tabs>
          <w:tab w:val="left" w:pos="284"/>
        </w:tabs>
        <w:spacing w:after="0"/>
        <w:ind w:left="284"/>
        <w:jc w:val="both"/>
        <w:rPr>
          <w:rFonts w:ascii="Arial" w:hAnsi="Arial" w:cs="Arial"/>
          <w:sz w:val="18"/>
          <w:szCs w:val="18"/>
        </w:rPr>
      </w:pPr>
    </w:p>
    <w:p w14:paraId="4A5D09C4" w14:textId="77777777" w:rsidR="008C10B0" w:rsidRPr="0073056A" w:rsidRDefault="008C10B0" w:rsidP="008C10B0">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14:paraId="6E4C87A1" w14:textId="08273186" w:rsidR="008C10B0" w:rsidRPr="009C379E" w:rsidRDefault="008C10B0" w:rsidP="008C10B0">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sidR="0086245D">
        <w:rPr>
          <w:rFonts w:ascii="Arial" w:hAnsi="Arial" w:cs="Arial"/>
          <w:sz w:val="18"/>
          <w:szCs w:val="18"/>
        </w:rPr>
        <w:t>14</w:t>
      </w:r>
      <w:r>
        <w:rPr>
          <w:rFonts w:ascii="Arial" w:hAnsi="Arial" w:cs="Arial"/>
          <w:sz w:val="18"/>
          <w:szCs w:val="18"/>
        </w:rPr>
        <w:t>,</w:t>
      </w:r>
      <w:r w:rsidR="0086245D">
        <w:rPr>
          <w:rFonts w:ascii="Arial" w:hAnsi="Arial" w:cs="Arial"/>
          <w:sz w:val="18"/>
          <w:szCs w:val="18"/>
        </w:rPr>
        <w:t>656</w:t>
      </w:r>
      <w:r>
        <w:rPr>
          <w:rFonts w:ascii="Arial" w:hAnsi="Arial" w:cs="Arial"/>
          <w:sz w:val="18"/>
          <w:szCs w:val="18"/>
        </w:rPr>
        <w:t>,</w:t>
      </w:r>
      <w:r w:rsidR="0086245D">
        <w:rPr>
          <w:rFonts w:ascii="Arial" w:hAnsi="Arial" w:cs="Arial"/>
          <w:sz w:val="18"/>
          <w:szCs w:val="18"/>
        </w:rPr>
        <w:t>788</w:t>
      </w:r>
      <w:r>
        <w:rPr>
          <w:rFonts w:ascii="Arial" w:hAnsi="Arial" w:cs="Arial"/>
          <w:sz w:val="18"/>
          <w:szCs w:val="18"/>
        </w:rPr>
        <w:t>,</w:t>
      </w:r>
      <w:r w:rsidR="0086245D">
        <w:rPr>
          <w:rFonts w:ascii="Arial" w:hAnsi="Arial" w:cs="Arial"/>
          <w:sz w:val="18"/>
          <w:szCs w:val="18"/>
        </w:rPr>
        <w:t>767</w:t>
      </w:r>
      <w:r>
        <w:rPr>
          <w:rFonts w:ascii="Arial" w:hAnsi="Arial" w:cs="Arial"/>
          <w:sz w:val="18"/>
          <w:szCs w:val="18"/>
        </w:rPr>
        <w:t xml:space="preserve"> al mes de </w:t>
      </w:r>
      <w:r w:rsidR="0086245D">
        <w:rPr>
          <w:rFonts w:ascii="Arial" w:hAnsi="Arial" w:cs="Arial"/>
          <w:sz w:val="18"/>
          <w:szCs w:val="18"/>
        </w:rPr>
        <w:t>juni</w:t>
      </w:r>
      <w:r w:rsidR="009B7AB2">
        <w:rPr>
          <w:rFonts w:ascii="Arial" w:hAnsi="Arial" w:cs="Arial"/>
          <w:sz w:val="18"/>
          <w:szCs w:val="18"/>
        </w:rPr>
        <w:t>o</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202</w:t>
      </w:r>
      <w:r w:rsidR="009B7AB2">
        <w:rPr>
          <w:rFonts w:ascii="Arial" w:hAnsi="Arial" w:cs="Arial"/>
          <w:sz w:val="18"/>
          <w:szCs w:val="18"/>
        </w:rPr>
        <w:t>5</w:t>
      </w:r>
      <w:r>
        <w:rPr>
          <w:rFonts w:ascii="Arial" w:hAnsi="Arial" w:cs="Arial"/>
          <w:sz w:val="18"/>
          <w:szCs w:val="18"/>
        </w:rPr>
        <w:t>, incluyendo los intereses y rendimientos generados por los fondos de aportación federal</w:t>
      </w:r>
      <w:r w:rsidRPr="009C379E">
        <w:rPr>
          <w:rFonts w:ascii="Arial" w:hAnsi="Arial" w:cs="Arial"/>
          <w:sz w:val="18"/>
          <w:szCs w:val="18"/>
        </w:rPr>
        <w:t>.</w:t>
      </w:r>
      <w:r>
        <w:rPr>
          <w:rFonts w:ascii="Arial" w:hAnsi="Arial" w:cs="Arial"/>
          <w:sz w:val="18"/>
          <w:szCs w:val="18"/>
        </w:rPr>
        <w:t xml:space="preserve"> Este rubro, respecto al ejercicio de 202</w:t>
      </w:r>
      <w:r w:rsidR="009B7AB2">
        <w:rPr>
          <w:rFonts w:ascii="Arial" w:hAnsi="Arial" w:cs="Arial"/>
          <w:sz w:val="18"/>
          <w:szCs w:val="18"/>
        </w:rPr>
        <w:t>4</w:t>
      </w:r>
      <w:r>
        <w:rPr>
          <w:rFonts w:ascii="Arial" w:hAnsi="Arial" w:cs="Arial"/>
          <w:sz w:val="18"/>
          <w:szCs w:val="18"/>
        </w:rPr>
        <w:t xml:space="preserve">, presenta un </w:t>
      </w:r>
      <w:r w:rsidR="009B7AB2">
        <w:rPr>
          <w:rFonts w:ascii="Arial" w:hAnsi="Arial" w:cs="Arial"/>
          <w:sz w:val="18"/>
          <w:szCs w:val="18"/>
        </w:rPr>
        <w:t>de</w:t>
      </w:r>
      <w:r>
        <w:rPr>
          <w:rFonts w:ascii="Arial" w:hAnsi="Arial" w:cs="Arial"/>
          <w:sz w:val="18"/>
          <w:szCs w:val="18"/>
        </w:rPr>
        <w:t xml:space="preserve">cremento del </w:t>
      </w:r>
      <w:r w:rsidR="0086245D">
        <w:rPr>
          <w:rFonts w:ascii="Arial" w:hAnsi="Arial" w:cs="Arial"/>
          <w:sz w:val="18"/>
          <w:szCs w:val="18"/>
        </w:rPr>
        <w:t>48</w:t>
      </w:r>
      <w:r>
        <w:rPr>
          <w:rFonts w:ascii="Arial" w:hAnsi="Arial" w:cs="Arial"/>
          <w:sz w:val="18"/>
          <w:szCs w:val="18"/>
        </w:rPr>
        <w:t>%.</w:t>
      </w:r>
    </w:p>
    <w:p w14:paraId="08FC2D1E" w14:textId="77777777" w:rsidR="008C10B0" w:rsidRPr="0073056A" w:rsidRDefault="008C10B0" w:rsidP="008C10B0">
      <w:pPr>
        <w:tabs>
          <w:tab w:val="left" w:pos="284"/>
        </w:tabs>
        <w:spacing w:after="0"/>
        <w:ind w:left="284"/>
        <w:jc w:val="both"/>
        <w:rPr>
          <w:rFonts w:ascii="Arial" w:hAnsi="Arial" w:cs="Arial"/>
          <w:sz w:val="18"/>
          <w:szCs w:val="18"/>
        </w:rPr>
      </w:pPr>
    </w:p>
    <w:p w14:paraId="4D5B94AA" w14:textId="77777777" w:rsidR="008C10B0" w:rsidRDefault="008C10B0" w:rsidP="008C10B0">
      <w:pPr>
        <w:tabs>
          <w:tab w:val="left" w:pos="284"/>
        </w:tabs>
        <w:spacing w:after="0"/>
        <w:ind w:left="284"/>
        <w:jc w:val="both"/>
        <w:rPr>
          <w:rFonts w:ascii="Arial" w:hAnsi="Arial" w:cs="Arial"/>
          <w:b/>
          <w:sz w:val="18"/>
          <w:szCs w:val="18"/>
        </w:rPr>
      </w:pPr>
    </w:p>
    <w:p w14:paraId="0C00F8D8" w14:textId="77777777" w:rsidR="009C5253" w:rsidRDefault="009C5253" w:rsidP="008C10B0">
      <w:pPr>
        <w:tabs>
          <w:tab w:val="left" w:pos="284"/>
        </w:tabs>
        <w:spacing w:after="0"/>
        <w:ind w:left="284"/>
        <w:jc w:val="both"/>
        <w:rPr>
          <w:rFonts w:ascii="Arial" w:hAnsi="Arial" w:cs="Arial"/>
          <w:b/>
          <w:sz w:val="18"/>
          <w:szCs w:val="18"/>
        </w:rPr>
      </w:pPr>
    </w:p>
    <w:p w14:paraId="1C572C45" w14:textId="77777777" w:rsidR="009C5253" w:rsidRDefault="009C5253" w:rsidP="008C10B0">
      <w:pPr>
        <w:tabs>
          <w:tab w:val="left" w:pos="284"/>
        </w:tabs>
        <w:spacing w:after="0"/>
        <w:ind w:left="284"/>
        <w:jc w:val="both"/>
        <w:rPr>
          <w:rFonts w:ascii="Arial" w:hAnsi="Arial" w:cs="Arial"/>
          <w:b/>
          <w:sz w:val="18"/>
          <w:szCs w:val="18"/>
        </w:rPr>
      </w:pPr>
    </w:p>
    <w:p w14:paraId="4D632383" w14:textId="77777777" w:rsidR="008C10B0" w:rsidRDefault="008C10B0" w:rsidP="008C10B0">
      <w:pPr>
        <w:tabs>
          <w:tab w:val="left" w:pos="284"/>
        </w:tabs>
        <w:spacing w:after="0"/>
        <w:ind w:left="284"/>
        <w:jc w:val="both"/>
        <w:rPr>
          <w:rFonts w:ascii="Arial" w:hAnsi="Arial" w:cs="Arial"/>
          <w:b/>
          <w:sz w:val="18"/>
          <w:szCs w:val="18"/>
        </w:rPr>
      </w:pPr>
      <w:r>
        <w:rPr>
          <w:rFonts w:ascii="Arial" w:hAnsi="Arial" w:cs="Arial"/>
          <w:b/>
          <w:sz w:val="18"/>
          <w:szCs w:val="18"/>
        </w:rPr>
        <w:lastRenderedPageBreak/>
        <w:t>Participaciones</w:t>
      </w:r>
    </w:p>
    <w:p w14:paraId="6F5625B0" w14:textId="05A1D741" w:rsidR="008C10B0" w:rsidRDefault="008C10B0" w:rsidP="008C10B0">
      <w:pPr>
        <w:tabs>
          <w:tab w:val="left" w:pos="284"/>
        </w:tabs>
        <w:spacing w:after="0"/>
        <w:ind w:left="284"/>
        <w:jc w:val="both"/>
        <w:rPr>
          <w:rFonts w:ascii="Arial" w:hAnsi="Arial" w:cs="Arial"/>
          <w:sz w:val="18"/>
          <w:szCs w:val="18"/>
        </w:rPr>
      </w:pPr>
      <w:r>
        <w:rPr>
          <w:rFonts w:ascii="Arial" w:hAnsi="Arial" w:cs="Arial"/>
          <w:sz w:val="18"/>
          <w:szCs w:val="18"/>
        </w:rPr>
        <w:t>El saldo por concepto de participaciones e incentivos económicos asciende a un monto de $</w:t>
      </w:r>
      <w:r w:rsidR="0086245D">
        <w:rPr>
          <w:rFonts w:ascii="Arial" w:hAnsi="Arial" w:cs="Arial"/>
          <w:sz w:val="18"/>
          <w:szCs w:val="18"/>
        </w:rPr>
        <w:t>7</w:t>
      </w:r>
      <w:r>
        <w:rPr>
          <w:rFonts w:ascii="Arial" w:hAnsi="Arial" w:cs="Arial"/>
          <w:sz w:val="18"/>
          <w:szCs w:val="18"/>
        </w:rPr>
        <w:t>,</w:t>
      </w:r>
      <w:r w:rsidR="0086245D">
        <w:rPr>
          <w:rFonts w:ascii="Arial" w:hAnsi="Arial" w:cs="Arial"/>
          <w:sz w:val="18"/>
          <w:szCs w:val="18"/>
        </w:rPr>
        <w:t>476</w:t>
      </w:r>
      <w:r>
        <w:rPr>
          <w:rFonts w:ascii="Arial" w:hAnsi="Arial" w:cs="Arial"/>
          <w:sz w:val="18"/>
          <w:szCs w:val="18"/>
        </w:rPr>
        <w:t>,</w:t>
      </w:r>
      <w:r w:rsidR="0086245D">
        <w:rPr>
          <w:rFonts w:ascii="Arial" w:hAnsi="Arial" w:cs="Arial"/>
          <w:sz w:val="18"/>
          <w:szCs w:val="18"/>
        </w:rPr>
        <w:t>396</w:t>
      </w:r>
      <w:r>
        <w:rPr>
          <w:rFonts w:ascii="Arial" w:hAnsi="Arial" w:cs="Arial"/>
          <w:sz w:val="18"/>
          <w:szCs w:val="18"/>
        </w:rPr>
        <w:t>,</w:t>
      </w:r>
      <w:r w:rsidR="0086245D">
        <w:rPr>
          <w:rFonts w:ascii="Arial" w:hAnsi="Arial" w:cs="Arial"/>
          <w:sz w:val="18"/>
          <w:szCs w:val="18"/>
        </w:rPr>
        <w:t>433</w:t>
      </w:r>
      <w:r>
        <w:rPr>
          <w:rFonts w:ascii="Arial" w:hAnsi="Arial" w:cs="Arial"/>
          <w:sz w:val="18"/>
          <w:szCs w:val="18"/>
        </w:rPr>
        <w:t>, siendo el rubro más importante el Fondo General de Participaciones ya que representa el 7</w:t>
      </w:r>
      <w:r w:rsidR="0086245D">
        <w:rPr>
          <w:rFonts w:ascii="Arial" w:hAnsi="Arial" w:cs="Arial"/>
          <w:sz w:val="18"/>
          <w:szCs w:val="18"/>
        </w:rPr>
        <w:t>4</w:t>
      </w:r>
      <w:r>
        <w:rPr>
          <w:rFonts w:ascii="Arial" w:hAnsi="Arial" w:cs="Arial"/>
          <w:sz w:val="18"/>
          <w:szCs w:val="18"/>
        </w:rPr>
        <w:t>%, del total de ingresos.</w:t>
      </w:r>
    </w:p>
    <w:p w14:paraId="56F0CD9E" w14:textId="77777777" w:rsidR="008C10B0" w:rsidRDefault="008C10B0" w:rsidP="008C10B0">
      <w:pPr>
        <w:tabs>
          <w:tab w:val="left" w:pos="284"/>
        </w:tabs>
        <w:spacing w:after="0"/>
        <w:ind w:left="284"/>
        <w:jc w:val="both"/>
        <w:rPr>
          <w:rFonts w:ascii="Arial" w:hAnsi="Arial" w:cs="Arial"/>
          <w:b/>
          <w:sz w:val="18"/>
          <w:szCs w:val="18"/>
        </w:rPr>
      </w:pPr>
    </w:p>
    <w:p w14:paraId="6F0D09D3" w14:textId="77777777" w:rsidR="008C10B0" w:rsidRPr="0040746E" w:rsidRDefault="008C10B0" w:rsidP="008C10B0">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14:paraId="623EE547" w14:textId="22D59585" w:rsidR="008C10B0" w:rsidRDefault="008C10B0" w:rsidP="008C10B0">
      <w:pPr>
        <w:tabs>
          <w:tab w:val="left" w:pos="284"/>
        </w:tabs>
        <w:spacing w:after="0"/>
        <w:ind w:left="284"/>
        <w:jc w:val="both"/>
        <w:rPr>
          <w:rFonts w:ascii="Arial" w:hAnsi="Arial" w:cs="Arial"/>
          <w:sz w:val="18"/>
          <w:szCs w:val="18"/>
        </w:rPr>
      </w:pPr>
      <w:r>
        <w:rPr>
          <w:rFonts w:ascii="Arial" w:hAnsi="Arial" w:cs="Arial"/>
          <w:sz w:val="18"/>
          <w:szCs w:val="18"/>
        </w:rPr>
        <w:t xml:space="preserve">Está constituido por los recursos federales transferidos a la Entidad provenientes de los fondos del Ramo General XXXIII, los cuales al mes de </w:t>
      </w:r>
      <w:r w:rsidR="0086245D">
        <w:rPr>
          <w:rFonts w:ascii="Arial" w:hAnsi="Arial" w:cs="Arial"/>
          <w:sz w:val="18"/>
          <w:szCs w:val="18"/>
        </w:rPr>
        <w:t>juni</w:t>
      </w:r>
      <w:r w:rsidR="009B7AB2">
        <w:rPr>
          <w:rFonts w:ascii="Arial" w:hAnsi="Arial" w:cs="Arial"/>
          <w:sz w:val="18"/>
          <w:szCs w:val="18"/>
        </w:rPr>
        <w:t>o</w:t>
      </w:r>
      <w:r>
        <w:rPr>
          <w:rFonts w:ascii="Arial" w:hAnsi="Arial" w:cs="Arial"/>
          <w:sz w:val="18"/>
          <w:szCs w:val="18"/>
        </w:rPr>
        <w:t xml:space="preserve"> de 202</w:t>
      </w:r>
      <w:r w:rsidR="009B7AB2">
        <w:rPr>
          <w:rFonts w:ascii="Arial" w:hAnsi="Arial" w:cs="Arial"/>
          <w:sz w:val="18"/>
          <w:szCs w:val="18"/>
        </w:rPr>
        <w:t>5</w:t>
      </w:r>
      <w:r>
        <w:rPr>
          <w:rFonts w:ascii="Arial" w:hAnsi="Arial" w:cs="Arial"/>
          <w:sz w:val="18"/>
          <w:szCs w:val="18"/>
        </w:rPr>
        <w:t xml:space="preserve"> sin incluir intereses reflejan los siguientes saldos:</w:t>
      </w:r>
    </w:p>
    <w:p w14:paraId="21EEB7ED" w14:textId="77777777" w:rsidR="008C10B0" w:rsidRDefault="008C10B0" w:rsidP="008C10B0">
      <w:pPr>
        <w:tabs>
          <w:tab w:val="left" w:pos="284"/>
        </w:tabs>
        <w:spacing w:after="0"/>
        <w:ind w:left="284"/>
        <w:jc w:val="both"/>
        <w:rPr>
          <w:rFonts w:ascii="Arial" w:hAnsi="Arial" w:cs="Arial"/>
          <w:sz w:val="18"/>
          <w:szCs w:val="18"/>
        </w:rPr>
      </w:pPr>
    </w:p>
    <w:tbl>
      <w:tblPr>
        <w:tblW w:w="9050" w:type="dxa"/>
        <w:jc w:val="center"/>
        <w:tblCellMar>
          <w:left w:w="70" w:type="dxa"/>
          <w:right w:w="70" w:type="dxa"/>
        </w:tblCellMar>
        <w:tblLook w:val="04A0" w:firstRow="1" w:lastRow="0" w:firstColumn="1" w:lastColumn="0" w:noHBand="0" w:noVBand="1"/>
      </w:tblPr>
      <w:tblGrid>
        <w:gridCol w:w="6102"/>
        <w:gridCol w:w="1577"/>
        <w:gridCol w:w="1371"/>
      </w:tblGrid>
      <w:tr w:rsidR="008C10B0" w:rsidRPr="000534C6" w14:paraId="679C60B6" w14:textId="77777777" w:rsidTr="000534C6">
        <w:trPr>
          <w:trHeight w:val="307"/>
          <w:jc w:val="center"/>
        </w:trPr>
        <w:tc>
          <w:tcPr>
            <w:tcW w:w="610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12BE7C" w14:textId="77777777" w:rsidR="008C10B0" w:rsidRPr="000534C6" w:rsidRDefault="008C10B0" w:rsidP="008C10B0">
            <w:pPr>
              <w:spacing w:after="0" w:line="240" w:lineRule="auto"/>
              <w:jc w:val="center"/>
              <w:rPr>
                <w:rFonts w:ascii="Arial" w:eastAsia="Times New Roman" w:hAnsi="Arial" w:cs="Arial"/>
                <w:b/>
                <w:bCs/>
                <w:color w:val="000000"/>
                <w:sz w:val="18"/>
                <w:szCs w:val="18"/>
                <w:lang w:eastAsia="es-MX"/>
              </w:rPr>
            </w:pPr>
            <w:r w:rsidRPr="000534C6">
              <w:rPr>
                <w:rFonts w:ascii="Arial" w:eastAsia="Times New Roman" w:hAnsi="Arial" w:cs="Arial"/>
                <w:b/>
                <w:bCs/>
                <w:color w:val="000000"/>
                <w:sz w:val="18"/>
                <w:szCs w:val="18"/>
                <w:lang w:eastAsia="es-MX"/>
              </w:rPr>
              <w:t>CONCEPTO</w:t>
            </w:r>
          </w:p>
        </w:tc>
        <w:tc>
          <w:tcPr>
            <w:tcW w:w="1577" w:type="dxa"/>
            <w:tcBorders>
              <w:top w:val="single" w:sz="8" w:space="0" w:color="auto"/>
              <w:left w:val="nil"/>
              <w:bottom w:val="single" w:sz="8" w:space="0" w:color="auto"/>
              <w:right w:val="single" w:sz="8" w:space="0" w:color="auto"/>
            </w:tcBorders>
            <w:shd w:val="clear" w:color="auto" w:fill="auto"/>
            <w:noWrap/>
            <w:vAlign w:val="center"/>
            <w:hideMark/>
          </w:tcPr>
          <w:p w14:paraId="10228E84" w14:textId="77777777" w:rsidR="008C10B0" w:rsidRPr="000534C6" w:rsidRDefault="008C10B0" w:rsidP="008C10B0">
            <w:pPr>
              <w:spacing w:after="0" w:line="240" w:lineRule="auto"/>
              <w:jc w:val="center"/>
              <w:rPr>
                <w:rFonts w:ascii="Arial" w:eastAsia="Times New Roman" w:hAnsi="Arial" w:cs="Arial"/>
                <w:b/>
                <w:bCs/>
                <w:color w:val="000000"/>
                <w:sz w:val="18"/>
                <w:szCs w:val="18"/>
                <w:lang w:eastAsia="es-MX"/>
              </w:rPr>
            </w:pPr>
            <w:r w:rsidRPr="000534C6">
              <w:rPr>
                <w:rFonts w:ascii="Arial" w:eastAsia="Times New Roman" w:hAnsi="Arial" w:cs="Arial"/>
                <w:b/>
                <w:bCs/>
                <w:color w:val="000000"/>
                <w:sz w:val="18"/>
                <w:szCs w:val="18"/>
                <w:lang w:eastAsia="es-MX"/>
              </w:rPr>
              <w:t>IMPORTE</w:t>
            </w:r>
          </w:p>
        </w:tc>
        <w:tc>
          <w:tcPr>
            <w:tcW w:w="1371" w:type="dxa"/>
            <w:tcBorders>
              <w:top w:val="single" w:sz="8" w:space="0" w:color="auto"/>
              <w:left w:val="nil"/>
              <w:bottom w:val="single" w:sz="8" w:space="0" w:color="auto"/>
              <w:right w:val="single" w:sz="8" w:space="0" w:color="auto"/>
            </w:tcBorders>
            <w:shd w:val="clear" w:color="auto" w:fill="auto"/>
            <w:noWrap/>
            <w:vAlign w:val="center"/>
            <w:hideMark/>
          </w:tcPr>
          <w:p w14:paraId="18C20DE9" w14:textId="77777777" w:rsidR="008C10B0" w:rsidRPr="000534C6" w:rsidRDefault="008C10B0" w:rsidP="008C10B0">
            <w:pPr>
              <w:spacing w:after="0" w:line="240" w:lineRule="auto"/>
              <w:jc w:val="center"/>
              <w:rPr>
                <w:rFonts w:ascii="Arial" w:eastAsia="Times New Roman" w:hAnsi="Arial" w:cs="Arial"/>
                <w:b/>
                <w:bCs/>
                <w:color w:val="000000"/>
                <w:sz w:val="18"/>
                <w:szCs w:val="18"/>
                <w:lang w:eastAsia="es-MX"/>
              </w:rPr>
            </w:pPr>
            <w:r w:rsidRPr="000534C6">
              <w:rPr>
                <w:rFonts w:ascii="Arial" w:eastAsia="Times New Roman" w:hAnsi="Arial" w:cs="Arial"/>
                <w:b/>
                <w:bCs/>
                <w:color w:val="000000"/>
                <w:sz w:val="18"/>
                <w:szCs w:val="18"/>
                <w:lang w:eastAsia="es-MX"/>
              </w:rPr>
              <w:t>PORCENTAJE</w:t>
            </w:r>
          </w:p>
        </w:tc>
      </w:tr>
      <w:tr w:rsidR="0086245D" w:rsidRPr="000534C6" w14:paraId="49D3771C" w14:textId="77777777" w:rsidTr="000534C6">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75370160" w14:textId="77777777" w:rsidR="0086245D" w:rsidRPr="000534C6" w:rsidRDefault="0086245D" w:rsidP="0086245D">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FONDO DE APORTACIONES PARA LA NOMINA EDUCATIVA</w:t>
            </w:r>
          </w:p>
        </w:tc>
        <w:tc>
          <w:tcPr>
            <w:tcW w:w="1577" w:type="dxa"/>
            <w:tcBorders>
              <w:top w:val="nil"/>
              <w:left w:val="nil"/>
              <w:bottom w:val="single" w:sz="8" w:space="0" w:color="auto"/>
              <w:right w:val="single" w:sz="8" w:space="0" w:color="auto"/>
            </w:tcBorders>
            <w:shd w:val="clear" w:color="auto" w:fill="auto"/>
            <w:noWrap/>
            <w:vAlign w:val="center"/>
          </w:tcPr>
          <w:p w14:paraId="5A3CC938" w14:textId="0DD31337" w:rsidR="0086245D" w:rsidRPr="00066115" w:rsidRDefault="0086245D" w:rsidP="00066115">
            <w:pPr>
              <w:spacing w:after="0" w:line="240" w:lineRule="auto"/>
              <w:jc w:val="center"/>
              <w:rPr>
                <w:rFonts w:ascii="Arial" w:hAnsi="Arial" w:cs="Arial"/>
                <w:color w:val="000000"/>
                <w:sz w:val="18"/>
                <w:szCs w:val="18"/>
              </w:rPr>
            </w:pPr>
            <w:r w:rsidRPr="00066115">
              <w:rPr>
                <w:rFonts w:ascii="Arial" w:hAnsi="Arial" w:cs="Arial"/>
                <w:color w:val="000000"/>
                <w:sz w:val="18"/>
                <w:szCs w:val="18"/>
              </w:rPr>
              <w:t xml:space="preserve">           2,590,566,450 </w:t>
            </w:r>
          </w:p>
        </w:tc>
        <w:tc>
          <w:tcPr>
            <w:tcW w:w="1371" w:type="dxa"/>
            <w:tcBorders>
              <w:top w:val="nil"/>
              <w:left w:val="nil"/>
              <w:bottom w:val="single" w:sz="8" w:space="0" w:color="auto"/>
              <w:right w:val="single" w:sz="8" w:space="0" w:color="auto"/>
            </w:tcBorders>
            <w:shd w:val="clear" w:color="auto" w:fill="auto"/>
            <w:noWrap/>
            <w:vAlign w:val="center"/>
          </w:tcPr>
          <w:p w14:paraId="6900413C" w14:textId="3220DD6F" w:rsidR="0086245D" w:rsidRPr="000534C6" w:rsidRDefault="00066115" w:rsidP="0086245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44.91</w:t>
            </w:r>
          </w:p>
        </w:tc>
      </w:tr>
      <w:tr w:rsidR="0086245D" w:rsidRPr="000534C6" w14:paraId="027FDFF4" w14:textId="77777777" w:rsidTr="000534C6">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508D3E9E" w14:textId="77777777" w:rsidR="0086245D" w:rsidRPr="000534C6" w:rsidRDefault="0086245D" w:rsidP="0086245D">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FONDO PARA LOS SERVICIOS DE SALUD</w:t>
            </w:r>
          </w:p>
        </w:tc>
        <w:tc>
          <w:tcPr>
            <w:tcW w:w="1577" w:type="dxa"/>
            <w:tcBorders>
              <w:top w:val="nil"/>
              <w:left w:val="nil"/>
              <w:bottom w:val="single" w:sz="8" w:space="0" w:color="auto"/>
              <w:right w:val="single" w:sz="8" w:space="0" w:color="auto"/>
            </w:tcBorders>
            <w:shd w:val="clear" w:color="auto" w:fill="auto"/>
            <w:noWrap/>
            <w:vAlign w:val="center"/>
          </w:tcPr>
          <w:p w14:paraId="55A81E3F" w14:textId="6B3DC6CB" w:rsidR="0086245D" w:rsidRPr="00066115" w:rsidRDefault="0086245D" w:rsidP="00066115">
            <w:pPr>
              <w:spacing w:after="0" w:line="240" w:lineRule="auto"/>
              <w:jc w:val="center"/>
              <w:rPr>
                <w:rFonts w:ascii="Arial" w:hAnsi="Arial" w:cs="Arial"/>
                <w:color w:val="000000"/>
                <w:sz w:val="18"/>
                <w:szCs w:val="18"/>
              </w:rPr>
            </w:pPr>
            <w:r w:rsidRPr="00066115">
              <w:rPr>
                <w:rFonts w:ascii="Arial" w:hAnsi="Arial" w:cs="Arial"/>
                <w:color w:val="000000"/>
                <w:sz w:val="18"/>
                <w:szCs w:val="18"/>
              </w:rPr>
              <w:t xml:space="preserve">              591,663,061 </w:t>
            </w:r>
          </w:p>
        </w:tc>
        <w:tc>
          <w:tcPr>
            <w:tcW w:w="1371" w:type="dxa"/>
            <w:tcBorders>
              <w:top w:val="nil"/>
              <w:left w:val="nil"/>
              <w:bottom w:val="single" w:sz="8" w:space="0" w:color="auto"/>
              <w:right w:val="single" w:sz="8" w:space="0" w:color="auto"/>
            </w:tcBorders>
            <w:shd w:val="clear" w:color="auto" w:fill="auto"/>
            <w:noWrap/>
            <w:vAlign w:val="center"/>
          </w:tcPr>
          <w:p w14:paraId="2D9D317A" w14:textId="765066A3" w:rsidR="0086245D" w:rsidRPr="000534C6" w:rsidRDefault="0086245D" w:rsidP="0086245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w:t>
            </w:r>
            <w:r w:rsidR="00066115">
              <w:rPr>
                <w:rFonts w:ascii="Arial" w:hAnsi="Arial" w:cs="Arial"/>
                <w:color w:val="000000"/>
                <w:sz w:val="18"/>
                <w:szCs w:val="18"/>
              </w:rPr>
              <w:t>0.26</w:t>
            </w:r>
          </w:p>
        </w:tc>
      </w:tr>
      <w:tr w:rsidR="0086245D" w:rsidRPr="000534C6" w14:paraId="378A9E6F" w14:textId="77777777" w:rsidTr="000534C6">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7EBF43D1" w14:textId="2A53E745" w:rsidR="0086245D" w:rsidRPr="000534C6" w:rsidRDefault="0086245D" w:rsidP="0086245D">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FAIS FONDO DE APORTACIONES PARA LA INFRAESTRUCTURA SOCIAL</w:t>
            </w:r>
          </w:p>
        </w:tc>
        <w:tc>
          <w:tcPr>
            <w:tcW w:w="1577" w:type="dxa"/>
            <w:tcBorders>
              <w:top w:val="nil"/>
              <w:left w:val="nil"/>
              <w:bottom w:val="single" w:sz="8" w:space="0" w:color="auto"/>
              <w:right w:val="single" w:sz="8" w:space="0" w:color="auto"/>
            </w:tcBorders>
            <w:shd w:val="clear" w:color="auto" w:fill="auto"/>
            <w:noWrap/>
            <w:vAlign w:val="center"/>
          </w:tcPr>
          <w:p w14:paraId="0A99A144" w14:textId="71E12F8B" w:rsidR="0086245D" w:rsidRPr="00066115" w:rsidRDefault="0086245D" w:rsidP="00066115">
            <w:pPr>
              <w:spacing w:after="0" w:line="240" w:lineRule="auto"/>
              <w:jc w:val="center"/>
              <w:rPr>
                <w:rFonts w:ascii="Arial" w:hAnsi="Arial" w:cs="Arial"/>
                <w:color w:val="000000"/>
                <w:sz w:val="18"/>
                <w:szCs w:val="18"/>
              </w:rPr>
            </w:pPr>
            <w:r w:rsidRPr="00066115">
              <w:rPr>
                <w:rFonts w:ascii="Arial" w:hAnsi="Arial" w:cs="Arial"/>
                <w:color w:val="000000"/>
                <w:sz w:val="18"/>
                <w:szCs w:val="18"/>
              </w:rPr>
              <w:t xml:space="preserve">              795,061,777 </w:t>
            </w:r>
          </w:p>
        </w:tc>
        <w:tc>
          <w:tcPr>
            <w:tcW w:w="1371" w:type="dxa"/>
            <w:tcBorders>
              <w:top w:val="nil"/>
              <w:left w:val="nil"/>
              <w:bottom w:val="single" w:sz="8" w:space="0" w:color="auto"/>
              <w:right w:val="single" w:sz="8" w:space="0" w:color="auto"/>
            </w:tcBorders>
            <w:shd w:val="clear" w:color="auto" w:fill="auto"/>
            <w:noWrap/>
            <w:vAlign w:val="center"/>
          </w:tcPr>
          <w:p w14:paraId="42CC6D51" w14:textId="73F02CF2" w:rsidR="0086245D" w:rsidRPr="000534C6" w:rsidRDefault="0086245D" w:rsidP="0086245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w:t>
            </w:r>
            <w:r w:rsidR="00066115">
              <w:rPr>
                <w:rFonts w:ascii="Arial" w:hAnsi="Arial" w:cs="Arial"/>
                <w:color w:val="000000"/>
                <w:sz w:val="18"/>
                <w:szCs w:val="18"/>
              </w:rPr>
              <w:t>3.78</w:t>
            </w:r>
          </w:p>
        </w:tc>
      </w:tr>
      <w:tr w:rsidR="0086245D" w:rsidRPr="000534C6" w14:paraId="242E7D28" w14:textId="77777777" w:rsidTr="000534C6">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8C57EC2" w14:textId="77777777" w:rsidR="0086245D" w:rsidRPr="000534C6" w:rsidRDefault="0086245D" w:rsidP="0086245D">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FORTAMUN</w:t>
            </w:r>
          </w:p>
        </w:tc>
        <w:tc>
          <w:tcPr>
            <w:tcW w:w="1577" w:type="dxa"/>
            <w:tcBorders>
              <w:top w:val="nil"/>
              <w:left w:val="nil"/>
              <w:bottom w:val="single" w:sz="8" w:space="0" w:color="auto"/>
              <w:right w:val="single" w:sz="8" w:space="0" w:color="auto"/>
            </w:tcBorders>
            <w:shd w:val="clear" w:color="auto" w:fill="auto"/>
            <w:noWrap/>
            <w:vAlign w:val="center"/>
          </w:tcPr>
          <w:p w14:paraId="5B9CC5B8" w14:textId="33AA4F89" w:rsidR="0086245D" w:rsidRPr="00066115" w:rsidRDefault="0086245D" w:rsidP="00066115">
            <w:pPr>
              <w:spacing w:after="0" w:line="240" w:lineRule="auto"/>
              <w:jc w:val="center"/>
              <w:rPr>
                <w:rFonts w:ascii="Arial" w:hAnsi="Arial" w:cs="Arial"/>
                <w:color w:val="000000"/>
                <w:sz w:val="18"/>
                <w:szCs w:val="18"/>
              </w:rPr>
            </w:pPr>
            <w:r w:rsidRPr="00066115">
              <w:rPr>
                <w:rFonts w:ascii="Arial" w:hAnsi="Arial" w:cs="Arial"/>
                <w:color w:val="000000"/>
                <w:sz w:val="18"/>
                <w:szCs w:val="18"/>
              </w:rPr>
              <w:t xml:space="preserve">              695,999,846 </w:t>
            </w:r>
          </w:p>
        </w:tc>
        <w:tc>
          <w:tcPr>
            <w:tcW w:w="1371" w:type="dxa"/>
            <w:tcBorders>
              <w:top w:val="nil"/>
              <w:left w:val="nil"/>
              <w:bottom w:val="single" w:sz="8" w:space="0" w:color="auto"/>
              <w:right w:val="single" w:sz="8" w:space="0" w:color="auto"/>
            </w:tcBorders>
            <w:shd w:val="clear" w:color="auto" w:fill="auto"/>
            <w:noWrap/>
            <w:vAlign w:val="center"/>
          </w:tcPr>
          <w:p w14:paraId="285A1D9B" w14:textId="1ACC5DF2" w:rsidR="0086245D" w:rsidRPr="000534C6" w:rsidRDefault="0086245D" w:rsidP="0086245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w:t>
            </w:r>
            <w:r w:rsidR="00066115">
              <w:rPr>
                <w:rFonts w:ascii="Arial" w:hAnsi="Arial" w:cs="Arial"/>
                <w:color w:val="000000"/>
                <w:sz w:val="18"/>
                <w:szCs w:val="18"/>
              </w:rPr>
              <w:t>2.06</w:t>
            </w:r>
          </w:p>
        </w:tc>
      </w:tr>
      <w:tr w:rsidR="0086245D" w:rsidRPr="000534C6" w14:paraId="2515AA29" w14:textId="77777777" w:rsidTr="000534C6">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268423B3" w14:textId="1A16B074" w:rsidR="0086245D" w:rsidRPr="000534C6" w:rsidRDefault="0086245D" w:rsidP="0086245D">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 xml:space="preserve">FAETA </w:t>
            </w:r>
          </w:p>
        </w:tc>
        <w:tc>
          <w:tcPr>
            <w:tcW w:w="1577" w:type="dxa"/>
            <w:tcBorders>
              <w:top w:val="nil"/>
              <w:left w:val="nil"/>
              <w:bottom w:val="single" w:sz="8" w:space="0" w:color="auto"/>
              <w:right w:val="single" w:sz="8" w:space="0" w:color="auto"/>
            </w:tcBorders>
            <w:shd w:val="clear" w:color="auto" w:fill="auto"/>
            <w:noWrap/>
            <w:vAlign w:val="center"/>
          </w:tcPr>
          <w:p w14:paraId="365A5E66" w14:textId="26CFAC34" w:rsidR="0086245D" w:rsidRPr="00066115" w:rsidRDefault="0086245D" w:rsidP="00066115">
            <w:pPr>
              <w:spacing w:after="0" w:line="240" w:lineRule="auto"/>
              <w:jc w:val="center"/>
              <w:rPr>
                <w:rFonts w:ascii="Arial" w:hAnsi="Arial" w:cs="Arial"/>
                <w:color w:val="000000"/>
                <w:sz w:val="18"/>
                <w:szCs w:val="18"/>
              </w:rPr>
            </w:pPr>
            <w:r w:rsidRPr="00066115">
              <w:rPr>
                <w:rFonts w:ascii="Arial" w:hAnsi="Arial" w:cs="Arial"/>
                <w:color w:val="000000"/>
                <w:sz w:val="18"/>
                <w:szCs w:val="18"/>
              </w:rPr>
              <w:t xml:space="preserve">                63,406,319 </w:t>
            </w:r>
          </w:p>
        </w:tc>
        <w:tc>
          <w:tcPr>
            <w:tcW w:w="1371" w:type="dxa"/>
            <w:tcBorders>
              <w:top w:val="nil"/>
              <w:left w:val="nil"/>
              <w:bottom w:val="single" w:sz="8" w:space="0" w:color="auto"/>
              <w:right w:val="single" w:sz="8" w:space="0" w:color="auto"/>
            </w:tcBorders>
            <w:shd w:val="clear" w:color="auto" w:fill="auto"/>
            <w:noWrap/>
            <w:vAlign w:val="center"/>
          </w:tcPr>
          <w:p w14:paraId="43E436C3" w14:textId="4334814C" w:rsidR="0086245D" w:rsidRPr="000534C6" w:rsidRDefault="0086245D" w:rsidP="0086245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w:t>
            </w:r>
            <w:r w:rsidR="00066115">
              <w:rPr>
                <w:rFonts w:ascii="Arial" w:hAnsi="Arial" w:cs="Arial"/>
                <w:color w:val="000000"/>
                <w:sz w:val="18"/>
                <w:szCs w:val="18"/>
              </w:rPr>
              <w:t>10</w:t>
            </w:r>
          </w:p>
        </w:tc>
      </w:tr>
      <w:tr w:rsidR="0086245D" w:rsidRPr="000534C6" w14:paraId="1D365DA7" w14:textId="77777777" w:rsidTr="000534C6">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B2DC022" w14:textId="74A3B53F" w:rsidR="0086245D" w:rsidRPr="000534C6" w:rsidRDefault="0086245D" w:rsidP="0086245D">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FONDO PARA LA SEGURIDAD PUBLICA</w:t>
            </w:r>
          </w:p>
        </w:tc>
        <w:tc>
          <w:tcPr>
            <w:tcW w:w="1577" w:type="dxa"/>
            <w:tcBorders>
              <w:top w:val="nil"/>
              <w:left w:val="nil"/>
              <w:bottom w:val="single" w:sz="8" w:space="0" w:color="auto"/>
              <w:right w:val="single" w:sz="8" w:space="0" w:color="auto"/>
            </w:tcBorders>
            <w:shd w:val="clear" w:color="auto" w:fill="auto"/>
            <w:noWrap/>
            <w:vAlign w:val="center"/>
          </w:tcPr>
          <w:p w14:paraId="3530BF01" w14:textId="1C1C9062" w:rsidR="0086245D" w:rsidRPr="00066115" w:rsidRDefault="0086245D" w:rsidP="00066115">
            <w:pPr>
              <w:spacing w:after="0" w:line="240" w:lineRule="auto"/>
              <w:jc w:val="center"/>
              <w:rPr>
                <w:rFonts w:ascii="Arial" w:hAnsi="Arial" w:cs="Arial"/>
                <w:color w:val="000000"/>
                <w:sz w:val="18"/>
                <w:szCs w:val="18"/>
              </w:rPr>
            </w:pPr>
            <w:r w:rsidRPr="00066115">
              <w:rPr>
                <w:rFonts w:ascii="Arial" w:hAnsi="Arial" w:cs="Arial"/>
                <w:color w:val="000000"/>
                <w:sz w:val="18"/>
                <w:szCs w:val="18"/>
              </w:rPr>
              <w:t xml:space="preserve">              123,994,107 </w:t>
            </w:r>
          </w:p>
        </w:tc>
        <w:tc>
          <w:tcPr>
            <w:tcW w:w="1371" w:type="dxa"/>
            <w:tcBorders>
              <w:top w:val="nil"/>
              <w:left w:val="nil"/>
              <w:bottom w:val="single" w:sz="8" w:space="0" w:color="auto"/>
              <w:right w:val="single" w:sz="8" w:space="0" w:color="auto"/>
            </w:tcBorders>
            <w:shd w:val="clear" w:color="auto" w:fill="auto"/>
            <w:noWrap/>
            <w:vAlign w:val="center"/>
          </w:tcPr>
          <w:p w14:paraId="2A1C5D5C" w14:textId="1D94CADA" w:rsidR="0086245D" w:rsidRPr="000534C6" w:rsidRDefault="0086245D" w:rsidP="0086245D">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2.</w:t>
            </w:r>
            <w:r w:rsidR="00066115">
              <w:rPr>
                <w:rFonts w:ascii="Arial" w:hAnsi="Arial" w:cs="Arial"/>
                <w:color w:val="000000"/>
                <w:sz w:val="18"/>
                <w:szCs w:val="18"/>
              </w:rPr>
              <w:t>15</w:t>
            </w:r>
          </w:p>
        </w:tc>
      </w:tr>
      <w:tr w:rsidR="0086245D" w:rsidRPr="000534C6" w14:paraId="6A2557FB" w14:textId="77777777" w:rsidTr="000534C6">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52E46C46" w14:textId="737BFFEB" w:rsidR="0086245D" w:rsidRPr="000534C6" w:rsidRDefault="0086245D" w:rsidP="0086245D">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FAM</w:t>
            </w:r>
          </w:p>
        </w:tc>
        <w:tc>
          <w:tcPr>
            <w:tcW w:w="1577" w:type="dxa"/>
            <w:tcBorders>
              <w:top w:val="nil"/>
              <w:left w:val="nil"/>
              <w:bottom w:val="single" w:sz="8" w:space="0" w:color="auto"/>
              <w:right w:val="single" w:sz="8" w:space="0" w:color="auto"/>
            </w:tcBorders>
            <w:shd w:val="clear" w:color="auto" w:fill="auto"/>
            <w:noWrap/>
            <w:vAlign w:val="center"/>
          </w:tcPr>
          <w:p w14:paraId="201AACAC" w14:textId="1E496E3E" w:rsidR="0086245D" w:rsidRPr="00066115" w:rsidRDefault="0086245D" w:rsidP="00066115">
            <w:pPr>
              <w:spacing w:after="0" w:line="240" w:lineRule="auto"/>
              <w:jc w:val="center"/>
              <w:rPr>
                <w:rFonts w:ascii="Arial" w:hAnsi="Arial" w:cs="Arial"/>
                <w:color w:val="000000"/>
                <w:sz w:val="18"/>
                <w:szCs w:val="18"/>
              </w:rPr>
            </w:pPr>
            <w:r w:rsidRPr="00066115">
              <w:rPr>
                <w:rFonts w:ascii="Arial" w:hAnsi="Arial" w:cs="Arial"/>
                <w:color w:val="000000"/>
                <w:sz w:val="18"/>
                <w:szCs w:val="18"/>
              </w:rPr>
              <w:t xml:space="preserve">              392,631,362 </w:t>
            </w:r>
          </w:p>
        </w:tc>
        <w:tc>
          <w:tcPr>
            <w:tcW w:w="1371" w:type="dxa"/>
            <w:tcBorders>
              <w:top w:val="nil"/>
              <w:left w:val="nil"/>
              <w:bottom w:val="single" w:sz="8" w:space="0" w:color="auto"/>
              <w:right w:val="single" w:sz="8" w:space="0" w:color="auto"/>
            </w:tcBorders>
            <w:shd w:val="clear" w:color="auto" w:fill="auto"/>
            <w:noWrap/>
            <w:vAlign w:val="center"/>
          </w:tcPr>
          <w:p w14:paraId="3A5F03E6" w14:textId="2D1B1583" w:rsidR="0086245D" w:rsidRPr="000534C6" w:rsidRDefault="00066115" w:rsidP="0086245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6.81</w:t>
            </w:r>
          </w:p>
        </w:tc>
      </w:tr>
      <w:tr w:rsidR="0086245D" w:rsidRPr="000534C6" w14:paraId="6166EE58" w14:textId="77777777" w:rsidTr="000534C6">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5AD38B0" w14:textId="77777777" w:rsidR="0086245D" w:rsidRPr="000534C6" w:rsidRDefault="0086245D" w:rsidP="0086245D">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FONDO PARA EL FORTALECIMIENTO DE ENTIDADES FEDERATIVAS</w:t>
            </w:r>
          </w:p>
        </w:tc>
        <w:tc>
          <w:tcPr>
            <w:tcW w:w="1577" w:type="dxa"/>
            <w:tcBorders>
              <w:top w:val="nil"/>
              <w:left w:val="nil"/>
              <w:bottom w:val="single" w:sz="8" w:space="0" w:color="auto"/>
              <w:right w:val="single" w:sz="8" w:space="0" w:color="auto"/>
            </w:tcBorders>
            <w:shd w:val="clear" w:color="auto" w:fill="auto"/>
            <w:noWrap/>
            <w:vAlign w:val="center"/>
          </w:tcPr>
          <w:p w14:paraId="51647F1E" w14:textId="4536DA33" w:rsidR="0086245D" w:rsidRPr="00066115" w:rsidRDefault="0086245D" w:rsidP="00066115">
            <w:pPr>
              <w:spacing w:after="0" w:line="240" w:lineRule="auto"/>
              <w:jc w:val="center"/>
              <w:rPr>
                <w:rFonts w:ascii="Arial" w:hAnsi="Arial" w:cs="Arial"/>
                <w:color w:val="000000"/>
                <w:sz w:val="18"/>
                <w:szCs w:val="18"/>
              </w:rPr>
            </w:pPr>
            <w:r w:rsidRPr="00066115">
              <w:rPr>
                <w:rFonts w:ascii="Arial" w:hAnsi="Arial" w:cs="Arial"/>
                <w:color w:val="000000"/>
                <w:sz w:val="18"/>
                <w:szCs w:val="18"/>
              </w:rPr>
              <w:t xml:space="preserve">              515,371,638 </w:t>
            </w:r>
          </w:p>
        </w:tc>
        <w:tc>
          <w:tcPr>
            <w:tcW w:w="1371" w:type="dxa"/>
            <w:tcBorders>
              <w:top w:val="nil"/>
              <w:left w:val="nil"/>
              <w:bottom w:val="single" w:sz="8" w:space="0" w:color="auto"/>
              <w:right w:val="single" w:sz="8" w:space="0" w:color="auto"/>
            </w:tcBorders>
            <w:shd w:val="clear" w:color="auto" w:fill="auto"/>
            <w:noWrap/>
            <w:vAlign w:val="center"/>
          </w:tcPr>
          <w:p w14:paraId="176D912B" w14:textId="2A49CC32" w:rsidR="0086245D" w:rsidRPr="000534C6" w:rsidRDefault="00066115" w:rsidP="0086245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8.93</w:t>
            </w:r>
          </w:p>
        </w:tc>
      </w:tr>
      <w:tr w:rsidR="008C10B0" w:rsidRPr="000534C6" w14:paraId="6E4B0E38" w14:textId="77777777" w:rsidTr="000534C6">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4D28A00" w14:textId="77777777" w:rsidR="008C10B0" w:rsidRPr="000534C6" w:rsidRDefault="008C10B0" w:rsidP="008C10B0">
            <w:pPr>
              <w:spacing w:after="0" w:line="240" w:lineRule="auto"/>
              <w:jc w:val="center"/>
              <w:rPr>
                <w:rFonts w:ascii="Arial" w:eastAsia="Times New Roman" w:hAnsi="Arial" w:cs="Arial"/>
                <w:b/>
                <w:bCs/>
                <w:color w:val="000000"/>
                <w:sz w:val="18"/>
                <w:szCs w:val="18"/>
                <w:lang w:eastAsia="es-MX"/>
              </w:rPr>
            </w:pPr>
            <w:r w:rsidRPr="000534C6">
              <w:rPr>
                <w:rFonts w:ascii="Arial" w:eastAsia="Times New Roman" w:hAnsi="Arial" w:cs="Arial"/>
                <w:b/>
                <w:bCs/>
                <w:color w:val="000000"/>
                <w:sz w:val="18"/>
                <w:szCs w:val="18"/>
                <w:lang w:eastAsia="es-MX"/>
              </w:rPr>
              <w:t>TOTAL</w:t>
            </w:r>
          </w:p>
        </w:tc>
        <w:tc>
          <w:tcPr>
            <w:tcW w:w="1577" w:type="dxa"/>
            <w:tcBorders>
              <w:top w:val="nil"/>
              <w:left w:val="nil"/>
              <w:bottom w:val="single" w:sz="8" w:space="0" w:color="auto"/>
              <w:right w:val="single" w:sz="8" w:space="0" w:color="auto"/>
            </w:tcBorders>
            <w:shd w:val="clear" w:color="auto" w:fill="auto"/>
            <w:noWrap/>
            <w:vAlign w:val="bottom"/>
            <w:hideMark/>
          </w:tcPr>
          <w:p w14:paraId="5C04E848" w14:textId="2FFD391A" w:rsidR="008C10B0" w:rsidRPr="000534C6" w:rsidRDefault="00066115" w:rsidP="008C10B0">
            <w:pPr>
              <w:spacing w:after="0" w:line="240" w:lineRule="auto"/>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5</w:t>
            </w:r>
            <w:r w:rsidR="000534C6">
              <w:rPr>
                <w:rFonts w:ascii="Arial" w:eastAsia="Times New Roman" w:hAnsi="Arial" w:cs="Arial"/>
                <w:b/>
                <w:bCs/>
                <w:color w:val="000000"/>
                <w:sz w:val="18"/>
                <w:szCs w:val="18"/>
                <w:lang w:eastAsia="es-MX"/>
              </w:rPr>
              <w:t>,</w:t>
            </w:r>
            <w:r>
              <w:rPr>
                <w:rFonts w:ascii="Arial" w:eastAsia="Times New Roman" w:hAnsi="Arial" w:cs="Arial"/>
                <w:b/>
                <w:bCs/>
                <w:color w:val="000000"/>
                <w:sz w:val="18"/>
                <w:szCs w:val="18"/>
                <w:lang w:eastAsia="es-MX"/>
              </w:rPr>
              <w:t>768</w:t>
            </w:r>
            <w:r w:rsidR="000534C6">
              <w:rPr>
                <w:rFonts w:ascii="Arial" w:eastAsia="Times New Roman" w:hAnsi="Arial" w:cs="Arial"/>
                <w:b/>
                <w:bCs/>
                <w:color w:val="000000"/>
                <w:sz w:val="18"/>
                <w:szCs w:val="18"/>
                <w:lang w:eastAsia="es-MX"/>
              </w:rPr>
              <w:t>,</w:t>
            </w:r>
            <w:r>
              <w:rPr>
                <w:rFonts w:ascii="Arial" w:eastAsia="Times New Roman" w:hAnsi="Arial" w:cs="Arial"/>
                <w:b/>
                <w:bCs/>
                <w:color w:val="000000"/>
                <w:sz w:val="18"/>
                <w:szCs w:val="18"/>
                <w:lang w:eastAsia="es-MX"/>
              </w:rPr>
              <w:t>694</w:t>
            </w:r>
            <w:r w:rsidR="000534C6">
              <w:rPr>
                <w:rFonts w:ascii="Arial" w:eastAsia="Times New Roman" w:hAnsi="Arial" w:cs="Arial"/>
                <w:b/>
                <w:bCs/>
                <w:color w:val="000000"/>
                <w:sz w:val="18"/>
                <w:szCs w:val="18"/>
                <w:lang w:eastAsia="es-MX"/>
              </w:rPr>
              <w:t>,</w:t>
            </w:r>
            <w:r>
              <w:rPr>
                <w:rFonts w:ascii="Arial" w:eastAsia="Times New Roman" w:hAnsi="Arial" w:cs="Arial"/>
                <w:b/>
                <w:bCs/>
                <w:color w:val="000000"/>
                <w:sz w:val="18"/>
                <w:szCs w:val="18"/>
                <w:lang w:eastAsia="es-MX"/>
              </w:rPr>
              <w:t>560</w:t>
            </w:r>
          </w:p>
        </w:tc>
        <w:tc>
          <w:tcPr>
            <w:tcW w:w="1371" w:type="dxa"/>
            <w:tcBorders>
              <w:top w:val="nil"/>
              <w:left w:val="nil"/>
              <w:bottom w:val="single" w:sz="8" w:space="0" w:color="auto"/>
              <w:right w:val="single" w:sz="8" w:space="0" w:color="auto"/>
            </w:tcBorders>
            <w:shd w:val="clear" w:color="auto" w:fill="auto"/>
            <w:noWrap/>
            <w:vAlign w:val="center"/>
            <w:hideMark/>
          </w:tcPr>
          <w:p w14:paraId="434FFA88" w14:textId="77777777" w:rsidR="008C10B0" w:rsidRPr="000534C6" w:rsidRDefault="008C10B0" w:rsidP="008C10B0">
            <w:pPr>
              <w:spacing w:after="0" w:line="240" w:lineRule="auto"/>
              <w:jc w:val="center"/>
              <w:rPr>
                <w:rFonts w:ascii="Arial" w:eastAsia="Times New Roman" w:hAnsi="Arial" w:cs="Arial"/>
                <w:b/>
                <w:bCs/>
                <w:color w:val="000000"/>
                <w:sz w:val="18"/>
                <w:szCs w:val="18"/>
                <w:lang w:eastAsia="es-MX"/>
              </w:rPr>
            </w:pPr>
            <w:r w:rsidRPr="000534C6">
              <w:rPr>
                <w:rFonts w:ascii="Arial" w:eastAsia="Times New Roman" w:hAnsi="Arial" w:cs="Arial"/>
                <w:b/>
                <w:bCs/>
                <w:color w:val="000000"/>
                <w:sz w:val="18"/>
                <w:szCs w:val="18"/>
                <w:lang w:eastAsia="es-MX"/>
              </w:rPr>
              <w:t>100.00</w:t>
            </w:r>
          </w:p>
        </w:tc>
      </w:tr>
    </w:tbl>
    <w:p w14:paraId="506D59E0" w14:textId="77777777" w:rsidR="008C10B0" w:rsidRDefault="008C10B0" w:rsidP="008C10B0">
      <w:pPr>
        <w:tabs>
          <w:tab w:val="left" w:pos="284"/>
        </w:tabs>
        <w:spacing w:after="0"/>
        <w:ind w:left="284"/>
        <w:jc w:val="both"/>
        <w:rPr>
          <w:rFonts w:ascii="Arial" w:hAnsi="Arial" w:cs="Arial"/>
          <w:sz w:val="18"/>
          <w:szCs w:val="18"/>
        </w:rPr>
      </w:pPr>
    </w:p>
    <w:p w14:paraId="0E1DD6FF"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14:paraId="29CDA857" w14:textId="6955EF46" w:rsidR="008C10B0" w:rsidRDefault="008C10B0" w:rsidP="008C10B0">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9A6220">
        <w:rPr>
          <w:rFonts w:ascii="Arial" w:hAnsi="Arial" w:cs="Arial"/>
          <w:sz w:val="18"/>
          <w:szCs w:val="18"/>
        </w:rPr>
        <w:t>junio</w:t>
      </w:r>
      <w:r>
        <w:rPr>
          <w:rFonts w:ascii="Arial" w:hAnsi="Arial" w:cs="Arial"/>
          <w:sz w:val="18"/>
          <w:szCs w:val="18"/>
        </w:rPr>
        <w:t xml:space="preserve"> del ejercicio 202</w:t>
      </w:r>
      <w:r w:rsidR="000534C6">
        <w:rPr>
          <w:rFonts w:ascii="Arial" w:hAnsi="Arial" w:cs="Arial"/>
          <w:sz w:val="18"/>
          <w:szCs w:val="18"/>
        </w:rPr>
        <w:t>5</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sidR="009A6220">
        <w:rPr>
          <w:rFonts w:ascii="Arial" w:hAnsi="Arial" w:cs="Arial"/>
          <w:sz w:val="18"/>
          <w:szCs w:val="18"/>
        </w:rPr>
        <w:t>1</w:t>
      </w:r>
      <w:r w:rsidR="00732D19">
        <w:rPr>
          <w:rFonts w:ascii="Arial" w:hAnsi="Arial" w:cs="Arial"/>
          <w:sz w:val="18"/>
          <w:szCs w:val="18"/>
        </w:rPr>
        <w:t>,</w:t>
      </w:r>
      <w:r w:rsidR="009A6220">
        <w:rPr>
          <w:rFonts w:ascii="Arial" w:hAnsi="Arial" w:cs="Arial"/>
          <w:sz w:val="18"/>
          <w:szCs w:val="18"/>
        </w:rPr>
        <w:t>41</w:t>
      </w:r>
      <w:r w:rsidR="00732D19">
        <w:rPr>
          <w:rFonts w:ascii="Arial" w:hAnsi="Arial" w:cs="Arial"/>
          <w:sz w:val="18"/>
          <w:szCs w:val="18"/>
        </w:rPr>
        <w:t>1,</w:t>
      </w:r>
      <w:r w:rsidR="009A6220">
        <w:rPr>
          <w:rFonts w:ascii="Arial" w:hAnsi="Arial" w:cs="Arial"/>
          <w:sz w:val="18"/>
          <w:szCs w:val="18"/>
        </w:rPr>
        <w:t>697</w:t>
      </w:r>
      <w:r w:rsidR="00732D19">
        <w:rPr>
          <w:rFonts w:ascii="Arial" w:hAnsi="Arial" w:cs="Arial"/>
          <w:sz w:val="18"/>
          <w:szCs w:val="18"/>
        </w:rPr>
        <w:t>,</w:t>
      </w:r>
      <w:r w:rsidR="009A6220">
        <w:rPr>
          <w:rFonts w:ascii="Arial" w:hAnsi="Arial" w:cs="Arial"/>
          <w:sz w:val="18"/>
          <w:szCs w:val="18"/>
        </w:rPr>
        <w:t>773</w:t>
      </w:r>
      <w:r>
        <w:rPr>
          <w:rFonts w:ascii="Arial" w:hAnsi="Arial" w:cs="Arial"/>
          <w:sz w:val="18"/>
          <w:szCs w:val="18"/>
        </w:rPr>
        <w:t>, incluyendo los intereses y rendimientos generados por los Convenios suscritos</w:t>
      </w:r>
      <w:r>
        <w:rPr>
          <w:rFonts w:ascii="Arial" w:hAnsi="Arial" w:cs="Arial"/>
          <w:sz w:val="18"/>
          <w:szCs w:val="20"/>
        </w:rPr>
        <w:t>.</w:t>
      </w:r>
    </w:p>
    <w:p w14:paraId="51BFD1D1" w14:textId="77777777" w:rsidR="008C10B0" w:rsidRDefault="008C10B0" w:rsidP="008C10B0">
      <w:pPr>
        <w:pStyle w:val="ROMANOS"/>
        <w:tabs>
          <w:tab w:val="clear" w:pos="720"/>
          <w:tab w:val="left" w:pos="284"/>
        </w:tabs>
        <w:spacing w:after="0" w:line="276" w:lineRule="auto"/>
        <w:ind w:left="284" w:firstLine="0"/>
        <w:rPr>
          <w:b/>
          <w:lang w:val="es-MX"/>
        </w:rPr>
      </w:pPr>
    </w:p>
    <w:p w14:paraId="46E13251" w14:textId="77777777" w:rsidR="008C10B0" w:rsidRDefault="008C10B0" w:rsidP="008C10B0">
      <w:pPr>
        <w:pStyle w:val="ROMANOS"/>
        <w:tabs>
          <w:tab w:val="clear" w:pos="720"/>
          <w:tab w:val="left" w:pos="284"/>
        </w:tabs>
        <w:spacing w:after="0" w:line="276" w:lineRule="auto"/>
        <w:ind w:left="284" w:firstLine="0"/>
        <w:rPr>
          <w:b/>
          <w:lang w:val="es-MX"/>
        </w:rPr>
      </w:pPr>
      <w:r w:rsidRPr="0073056A">
        <w:rPr>
          <w:b/>
          <w:lang w:val="es-MX"/>
        </w:rPr>
        <w:t>Gastos y Otras Pérdidas:</w:t>
      </w:r>
    </w:p>
    <w:p w14:paraId="48541CC6" w14:textId="77777777" w:rsidR="008C10B0" w:rsidRDefault="008C10B0" w:rsidP="008C10B0">
      <w:pPr>
        <w:tabs>
          <w:tab w:val="left" w:pos="284"/>
        </w:tabs>
        <w:spacing w:after="0"/>
        <w:ind w:left="284"/>
        <w:jc w:val="both"/>
        <w:rPr>
          <w:rFonts w:ascii="Arial" w:hAnsi="Arial" w:cs="Arial"/>
          <w:b/>
          <w:sz w:val="18"/>
          <w:szCs w:val="18"/>
        </w:rPr>
      </w:pPr>
    </w:p>
    <w:p w14:paraId="5DE0BF7B"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14:paraId="121EAC93" w14:textId="191EF0AA" w:rsidR="008C10B0" w:rsidRDefault="008C10B0" w:rsidP="008C10B0">
      <w:pPr>
        <w:tabs>
          <w:tab w:val="left" w:pos="284"/>
        </w:tabs>
        <w:spacing w:after="0"/>
        <w:ind w:left="284"/>
        <w:jc w:val="both"/>
        <w:rPr>
          <w:rFonts w:ascii="Arial" w:hAnsi="Arial" w:cs="Arial"/>
          <w:sz w:val="18"/>
          <w:szCs w:val="18"/>
        </w:rPr>
      </w:pPr>
      <w:r>
        <w:rPr>
          <w:rFonts w:ascii="Arial" w:hAnsi="Arial" w:cs="Arial"/>
          <w:sz w:val="18"/>
          <w:szCs w:val="18"/>
        </w:rPr>
        <w:t xml:space="preserve">Al cierre del </w:t>
      </w:r>
      <w:r w:rsidR="009A6220">
        <w:rPr>
          <w:rFonts w:ascii="Arial" w:hAnsi="Arial" w:cs="Arial"/>
          <w:sz w:val="18"/>
          <w:szCs w:val="18"/>
        </w:rPr>
        <w:t>segundo</w:t>
      </w:r>
      <w:r>
        <w:rPr>
          <w:rFonts w:ascii="Arial" w:hAnsi="Arial" w:cs="Arial"/>
          <w:sz w:val="18"/>
          <w:szCs w:val="18"/>
        </w:rPr>
        <w:t xml:space="preserve"> trimestre del ejercicio 202</w:t>
      </w:r>
      <w:r w:rsidR="00732D19">
        <w:rPr>
          <w:rFonts w:ascii="Arial" w:hAnsi="Arial" w:cs="Arial"/>
          <w:sz w:val="18"/>
          <w:szCs w:val="18"/>
        </w:rPr>
        <w:t>5</w:t>
      </w:r>
      <w:r w:rsidRPr="0073056A">
        <w:rPr>
          <w:rFonts w:ascii="Arial" w:hAnsi="Arial" w:cs="Arial"/>
          <w:sz w:val="18"/>
          <w:szCs w:val="18"/>
        </w:rPr>
        <w:t xml:space="preserve"> se</w:t>
      </w:r>
      <w:r>
        <w:rPr>
          <w:rFonts w:ascii="Arial" w:hAnsi="Arial" w:cs="Arial"/>
          <w:sz w:val="18"/>
          <w:szCs w:val="18"/>
        </w:rPr>
        <w:t xml:space="preserve"> aplicó una</w:t>
      </w:r>
      <w:r w:rsidRPr="0073056A">
        <w:rPr>
          <w:rFonts w:ascii="Arial" w:hAnsi="Arial" w:cs="Arial"/>
          <w:sz w:val="18"/>
          <w:szCs w:val="18"/>
        </w:rPr>
        <w:t xml:space="preserve"> política de </w:t>
      </w:r>
      <w:r>
        <w:rPr>
          <w:rFonts w:ascii="Arial" w:hAnsi="Arial" w:cs="Arial"/>
          <w:sz w:val="18"/>
          <w:szCs w:val="18"/>
        </w:rPr>
        <w:t xml:space="preserve">racionalidad, </w:t>
      </w:r>
      <w:r w:rsidRPr="0073056A">
        <w:rPr>
          <w:rFonts w:ascii="Arial" w:hAnsi="Arial" w:cs="Arial"/>
          <w:sz w:val="18"/>
          <w:szCs w:val="18"/>
        </w:rPr>
        <w:t>austeridad y de disciplina presupuestal</w:t>
      </w:r>
      <w:r>
        <w:rPr>
          <w:rFonts w:ascii="Arial" w:hAnsi="Arial" w:cs="Arial"/>
          <w:sz w:val="18"/>
          <w:szCs w:val="18"/>
        </w:rPr>
        <w:t xml:space="preserve">, lo que ha redundado en ahorros significativos al disminuir la duplicidad de funciones y reducir las estructuras administrativas, teniéndose al mes de </w:t>
      </w:r>
      <w:r w:rsidR="009A6220">
        <w:rPr>
          <w:rFonts w:ascii="Arial" w:hAnsi="Arial" w:cs="Arial"/>
          <w:sz w:val="18"/>
          <w:szCs w:val="18"/>
        </w:rPr>
        <w:t>junio</w:t>
      </w:r>
      <w:r>
        <w:rPr>
          <w:rFonts w:ascii="Arial" w:hAnsi="Arial" w:cs="Arial"/>
          <w:sz w:val="18"/>
          <w:szCs w:val="18"/>
        </w:rPr>
        <w:t xml:space="preserve"> por este concepto un monto de $</w:t>
      </w:r>
      <w:r w:rsidR="009A6220">
        <w:rPr>
          <w:rFonts w:ascii="Arial" w:hAnsi="Arial" w:cs="Arial"/>
          <w:sz w:val="18"/>
          <w:szCs w:val="18"/>
        </w:rPr>
        <w:t>1,665</w:t>
      </w:r>
      <w:r w:rsidR="00732D19">
        <w:rPr>
          <w:rFonts w:ascii="Arial" w:hAnsi="Arial" w:cs="Arial"/>
          <w:sz w:val="18"/>
          <w:szCs w:val="18"/>
        </w:rPr>
        <w:t>,</w:t>
      </w:r>
      <w:r w:rsidR="009A6220">
        <w:rPr>
          <w:rFonts w:ascii="Arial" w:hAnsi="Arial" w:cs="Arial"/>
          <w:sz w:val="18"/>
          <w:szCs w:val="18"/>
        </w:rPr>
        <w:t>082</w:t>
      </w:r>
      <w:r w:rsidR="00732D19">
        <w:rPr>
          <w:rFonts w:ascii="Arial" w:hAnsi="Arial" w:cs="Arial"/>
          <w:sz w:val="18"/>
          <w:szCs w:val="18"/>
        </w:rPr>
        <w:t>,4</w:t>
      </w:r>
      <w:r w:rsidR="009A6220">
        <w:rPr>
          <w:rFonts w:ascii="Arial" w:hAnsi="Arial" w:cs="Arial"/>
          <w:sz w:val="18"/>
          <w:szCs w:val="18"/>
        </w:rPr>
        <w:t>7</w:t>
      </w:r>
      <w:r w:rsidR="00732D19">
        <w:rPr>
          <w:rFonts w:ascii="Arial" w:hAnsi="Arial" w:cs="Arial"/>
          <w:sz w:val="18"/>
          <w:szCs w:val="18"/>
        </w:rPr>
        <w:t>6</w:t>
      </w:r>
      <w:r>
        <w:rPr>
          <w:rFonts w:ascii="Arial" w:hAnsi="Arial" w:cs="Arial"/>
          <w:sz w:val="18"/>
          <w:szCs w:val="18"/>
        </w:rPr>
        <w:t xml:space="preserve">; en apego a lo estipulado en la Ley de Disciplina Financiera de las Entidades Federativas y los municipios. Lo que representa un </w:t>
      </w:r>
      <w:r w:rsidR="00732D19">
        <w:rPr>
          <w:rFonts w:ascii="Arial" w:hAnsi="Arial" w:cs="Arial"/>
          <w:sz w:val="18"/>
          <w:szCs w:val="18"/>
        </w:rPr>
        <w:t>de</w:t>
      </w:r>
      <w:r>
        <w:rPr>
          <w:rFonts w:ascii="Arial" w:hAnsi="Arial" w:cs="Arial"/>
          <w:sz w:val="18"/>
          <w:szCs w:val="18"/>
        </w:rPr>
        <w:t xml:space="preserve">cremento del </w:t>
      </w:r>
      <w:r w:rsidR="009A6220">
        <w:rPr>
          <w:rFonts w:ascii="Arial" w:hAnsi="Arial" w:cs="Arial"/>
          <w:sz w:val="18"/>
          <w:szCs w:val="18"/>
        </w:rPr>
        <w:t>49</w:t>
      </w:r>
      <w:r>
        <w:rPr>
          <w:rFonts w:ascii="Arial" w:hAnsi="Arial" w:cs="Arial"/>
          <w:sz w:val="18"/>
          <w:szCs w:val="18"/>
        </w:rPr>
        <w:t>% respecto al ejercicio 202</w:t>
      </w:r>
      <w:r w:rsidR="00732D19">
        <w:rPr>
          <w:rFonts w:ascii="Arial" w:hAnsi="Arial" w:cs="Arial"/>
          <w:sz w:val="18"/>
          <w:szCs w:val="18"/>
        </w:rPr>
        <w:t>4</w:t>
      </w:r>
      <w:r>
        <w:rPr>
          <w:rFonts w:ascii="Arial" w:hAnsi="Arial" w:cs="Arial"/>
          <w:sz w:val="18"/>
          <w:szCs w:val="18"/>
        </w:rPr>
        <w:t>.</w:t>
      </w:r>
    </w:p>
    <w:p w14:paraId="3DCF438B" w14:textId="77777777" w:rsidR="008C10B0" w:rsidRDefault="008C10B0" w:rsidP="008C10B0">
      <w:pPr>
        <w:tabs>
          <w:tab w:val="left" w:pos="284"/>
        </w:tabs>
        <w:spacing w:after="0"/>
        <w:ind w:left="284"/>
        <w:jc w:val="both"/>
        <w:rPr>
          <w:rFonts w:ascii="Arial" w:hAnsi="Arial" w:cs="Arial"/>
          <w:b/>
          <w:sz w:val="18"/>
          <w:szCs w:val="18"/>
        </w:rPr>
      </w:pPr>
    </w:p>
    <w:p w14:paraId="535EF18E"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14:paraId="7C65A80D" w14:textId="177FE95A" w:rsidR="008C10B0" w:rsidRDefault="008C10B0" w:rsidP="008C10B0">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reflejando un importe de $</w:t>
      </w:r>
      <w:r w:rsidR="00732D19">
        <w:rPr>
          <w:rFonts w:ascii="Arial" w:hAnsi="Arial" w:cs="Arial"/>
          <w:sz w:val="18"/>
          <w:szCs w:val="18"/>
        </w:rPr>
        <w:t>9</w:t>
      </w:r>
      <w:r w:rsidR="009A6220">
        <w:rPr>
          <w:rFonts w:ascii="Arial" w:hAnsi="Arial" w:cs="Arial"/>
          <w:sz w:val="18"/>
          <w:szCs w:val="18"/>
        </w:rPr>
        <w:t>4</w:t>
      </w:r>
      <w:r>
        <w:rPr>
          <w:rFonts w:ascii="Arial" w:hAnsi="Arial" w:cs="Arial"/>
          <w:sz w:val="18"/>
          <w:szCs w:val="18"/>
        </w:rPr>
        <w:t>,</w:t>
      </w:r>
      <w:r w:rsidR="009A6220">
        <w:rPr>
          <w:rFonts w:ascii="Arial" w:hAnsi="Arial" w:cs="Arial"/>
          <w:sz w:val="18"/>
          <w:szCs w:val="18"/>
        </w:rPr>
        <w:t>333</w:t>
      </w:r>
      <w:r>
        <w:rPr>
          <w:rFonts w:ascii="Arial" w:hAnsi="Arial" w:cs="Arial"/>
          <w:sz w:val="18"/>
          <w:szCs w:val="18"/>
        </w:rPr>
        <w:t>,</w:t>
      </w:r>
      <w:r w:rsidR="009A6220">
        <w:rPr>
          <w:rFonts w:ascii="Arial" w:hAnsi="Arial" w:cs="Arial"/>
          <w:sz w:val="18"/>
          <w:szCs w:val="18"/>
        </w:rPr>
        <w:t>676</w:t>
      </w:r>
      <w:r w:rsidRPr="0073056A">
        <w:rPr>
          <w:rFonts w:ascii="Arial" w:hAnsi="Arial" w:cs="Arial"/>
          <w:sz w:val="18"/>
          <w:szCs w:val="18"/>
        </w:rPr>
        <w:t>.</w:t>
      </w:r>
    </w:p>
    <w:p w14:paraId="62ED0843" w14:textId="77777777" w:rsidR="008C10B0" w:rsidRDefault="008C10B0" w:rsidP="008C10B0">
      <w:pPr>
        <w:tabs>
          <w:tab w:val="left" w:pos="284"/>
        </w:tabs>
        <w:spacing w:after="0"/>
        <w:ind w:left="284"/>
        <w:jc w:val="both"/>
        <w:rPr>
          <w:rFonts w:ascii="Arial" w:hAnsi="Arial" w:cs="Arial"/>
          <w:b/>
          <w:sz w:val="18"/>
          <w:szCs w:val="18"/>
        </w:rPr>
      </w:pPr>
    </w:p>
    <w:p w14:paraId="3A62D0D3"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14:paraId="7BF20A5C" w14:textId="220B613E" w:rsidR="008C10B0" w:rsidRPr="0073056A" w:rsidRDefault="008C10B0" w:rsidP="008C10B0">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D62491">
        <w:rPr>
          <w:rFonts w:ascii="Arial" w:hAnsi="Arial" w:cs="Arial"/>
          <w:sz w:val="18"/>
          <w:szCs w:val="18"/>
        </w:rPr>
        <w:t>junio</w:t>
      </w:r>
      <w:r>
        <w:rPr>
          <w:rFonts w:ascii="Arial" w:hAnsi="Arial" w:cs="Arial"/>
          <w:sz w:val="18"/>
          <w:szCs w:val="18"/>
        </w:rPr>
        <w:t xml:space="preserve"> de 202</w:t>
      </w:r>
      <w:r w:rsidR="00732D19">
        <w:rPr>
          <w:rFonts w:ascii="Arial" w:hAnsi="Arial" w:cs="Arial"/>
          <w:sz w:val="18"/>
          <w:szCs w:val="18"/>
        </w:rPr>
        <w:t>5</w:t>
      </w:r>
      <w:r>
        <w:rPr>
          <w:rFonts w:ascii="Arial" w:hAnsi="Arial" w:cs="Arial"/>
          <w:sz w:val="18"/>
          <w:szCs w:val="18"/>
        </w:rPr>
        <w:t xml:space="preserve"> es de $</w:t>
      </w:r>
      <w:r w:rsidR="00D62491">
        <w:rPr>
          <w:rFonts w:ascii="Arial" w:hAnsi="Arial" w:cs="Arial"/>
          <w:sz w:val="18"/>
          <w:szCs w:val="18"/>
        </w:rPr>
        <w:t>1</w:t>
      </w:r>
      <w:r w:rsidR="00732D19">
        <w:rPr>
          <w:rFonts w:ascii="Arial" w:hAnsi="Arial" w:cs="Arial"/>
          <w:sz w:val="18"/>
          <w:szCs w:val="18"/>
        </w:rPr>
        <w:t>49</w:t>
      </w:r>
      <w:r>
        <w:rPr>
          <w:rFonts w:ascii="Arial" w:hAnsi="Arial" w:cs="Arial"/>
          <w:sz w:val="18"/>
          <w:szCs w:val="18"/>
        </w:rPr>
        <w:t>,</w:t>
      </w:r>
      <w:r w:rsidR="00732D19">
        <w:rPr>
          <w:rFonts w:ascii="Arial" w:hAnsi="Arial" w:cs="Arial"/>
          <w:sz w:val="18"/>
          <w:szCs w:val="18"/>
        </w:rPr>
        <w:t>1</w:t>
      </w:r>
      <w:r w:rsidR="00D62491">
        <w:rPr>
          <w:rFonts w:ascii="Arial" w:hAnsi="Arial" w:cs="Arial"/>
          <w:sz w:val="18"/>
          <w:szCs w:val="18"/>
        </w:rPr>
        <w:t>23</w:t>
      </w:r>
      <w:r>
        <w:rPr>
          <w:rFonts w:ascii="Arial" w:hAnsi="Arial" w:cs="Arial"/>
          <w:sz w:val="18"/>
          <w:szCs w:val="18"/>
        </w:rPr>
        <w:t>,</w:t>
      </w:r>
      <w:r w:rsidR="00D62491">
        <w:rPr>
          <w:rFonts w:ascii="Arial" w:hAnsi="Arial" w:cs="Arial"/>
          <w:sz w:val="18"/>
          <w:szCs w:val="18"/>
        </w:rPr>
        <w:t>828</w:t>
      </w:r>
      <w:r w:rsidRPr="0073056A">
        <w:rPr>
          <w:rFonts w:ascii="Arial" w:hAnsi="Arial" w:cs="Arial"/>
          <w:sz w:val="18"/>
          <w:szCs w:val="18"/>
        </w:rPr>
        <w:t>.</w:t>
      </w:r>
      <w:r>
        <w:rPr>
          <w:rFonts w:ascii="Arial" w:hAnsi="Arial" w:cs="Arial"/>
          <w:sz w:val="18"/>
          <w:szCs w:val="18"/>
        </w:rPr>
        <w:t xml:space="preserve"> Lo que representa un </w:t>
      </w:r>
      <w:r w:rsidR="00732D19">
        <w:rPr>
          <w:rFonts w:ascii="Arial" w:hAnsi="Arial" w:cs="Arial"/>
          <w:sz w:val="18"/>
          <w:szCs w:val="18"/>
        </w:rPr>
        <w:t>de</w:t>
      </w:r>
      <w:r>
        <w:rPr>
          <w:rFonts w:ascii="Arial" w:hAnsi="Arial" w:cs="Arial"/>
          <w:sz w:val="18"/>
          <w:szCs w:val="18"/>
        </w:rPr>
        <w:t xml:space="preserve">cremento del </w:t>
      </w:r>
      <w:r w:rsidR="00D62491">
        <w:rPr>
          <w:rFonts w:ascii="Arial" w:hAnsi="Arial" w:cs="Arial"/>
          <w:sz w:val="18"/>
          <w:szCs w:val="18"/>
        </w:rPr>
        <w:t>76</w:t>
      </w:r>
      <w:r>
        <w:rPr>
          <w:rFonts w:ascii="Arial" w:hAnsi="Arial" w:cs="Arial"/>
          <w:sz w:val="18"/>
          <w:szCs w:val="18"/>
        </w:rPr>
        <w:t>% respecto al ejercicio 202</w:t>
      </w:r>
      <w:r w:rsidR="00732D19">
        <w:rPr>
          <w:rFonts w:ascii="Arial" w:hAnsi="Arial" w:cs="Arial"/>
          <w:sz w:val="18"/>
          <w:szCs w:val="18"/>
        </w:rPr>
        <w:t>4</w:t>
      </w:r>
      <w:r>
        <w:rPr>
          <w:rFonts w:ascii="Arial" w:hAnsi="Arial" w:cs="Arial"/>
          <w:sz w:val="18"/>
          <w:szCs w:val="18"/>
        </w:rPr>
        <w:t>.</w:t>
      </w:r>
    </w:p>
    <w:p w14:paraId="0F847837" w14:textId="77777777" w:rsidR="008C10B0" w:rsidRDefault="008C10B0" w:rsidP="008C10B0">
      <w:pPr>
        <w:tabs>
          <w:tab w:val="left" w:pos="284"/>
        </w:tabs>
        <w:spacing w:after="0"/>
        <w:ind w:left="284"/>
        <w:jc w:val="both"/>
        <w:rPr>
          <w:rFonts w:ascii="Arial" w:hAnsi="Arial" w:cs="Arial"/>
          <w:b/>
          <w:sz w:val="18"/>
          <w:szCs w:val="18"/>
        </w:rPr>
      </w:pPr>
    </w:p>
    <w:p w14:paraId="68049525"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14:paraId="12DA8B01" w14:textId="71C402E8" w:rsidR="008C10B0" w:rsidRDefault="008C10B0" w:rsidP="008C10B0">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Judicial, así como a los Ó</w:t>
      </w:r>
      <w:r w:rsidRPr="00D14208">
        <w:rPr>
          <w:rFonts w:ascii="Arial" w:hAnsi="Arial" w:cs="Arial"/>
          <w:sz w:val="18"/>
          <w:szCs w:val="18"/>
        </w:rPr>
        <w:t>rganos Autónomos</w:t>
      </w:r>
      <w:r>
        <w:rPr>
          <w:rFonts w:ascii="Arial" w:hAnsi="Arial" w:cs="Arial"/>
          <w:sz w:val="18"/>
          <w:szCs w:val="18"/>
        </w:rPr>
        <w:t xml:space="preserve"> y Entidades del Sector Paraestatal, </w:t>
      </w:r>
      <w:proofErr w:type="gramStart"/>
      <w:r>
        <w:rPr>
          <w:rFonts w:ascii="Arial" w:hAnsi="Arial" w:cs="Arial"/>
          <w:sz w:val="18"/>
          <w:szCs w:val="18"/>
        </w:rPr>
        <w:t>que</w:t>
      </w:r>
      <w:proofErr w:type="gramEnd"/>
      <w:r>
        <w:rPr>
          <w:rFonts w:ascii="Arial" w:hAnsi="Arial" w:cs="Arial"/>
          <w:sz w:val="18"/>
          <w:szCs w:val="18"/>
        </w:rPr>
        <w:t xml:space="preserve"> al mes de </w:t>
      </w:r>
      <w:r w:rsidR="000B32C6">
        <w:rPr>
          <w:rFonts w:ascii="Arial" w:hAnsi="Arial" w:cs="Arial"/>
          <w:sz w:val="18"/>
          <w:szCs w:val="18"/>
        </w:rPr>
        <w:t>juni</w:t>
      </w:r>
      <w:r w:rsidR="00732D19">
        <w:rPr>
          <w:rFonts w:ascii="Arial" w:hAnsi="Arial" w:cs="Arial"/>
          <w:sz w:val="18"/>
          <w:szCs w:val="18"/>
        </w:rPr>
        <w:t>o</w:t>
      </w:r>
      <w:r>
        <w:rPr>
          <w:rFonts w:ascii="Arial" w:hAnsi="Arial" w:cs="Arial"/>
          <w:sz w:val="18"/>
          <w:szCs w:val="18"/>
        </w:rPr>
        <w:t xml:space="preserve"> de 202</w:t>
      </w:r>
      <w:r w:rsidR="00732D19">
        <w:rPr>
          <w:rFonts w:ascii="Arial" w:hAnsi="Arial" w:cs="Arial"/>
          <w:sz w:val="18"/>
          <w:szCs w:val="18"/>
        </w:rPr>
        <w:t>5</w:t>
      </w:r>
      <w:r>
        <w:rPr>
          <w:rFonts w:ascii="Arial" w:hAnsi="Arial" w:cs="Arial"/>
          <w:sz w:val="18"/>
          <w:szCs w:val="18"/>
        </w:rPr>
        <w:t>, observan un monto de $</w:t>
      </w:r>
      <w:r w:rsidR="000B32C6">
        <w:rPr>
          <w:rFonts w:ascii="Arial" w:hAnsi="Arial" w:cs="Arial"/>
          <w:sz w:val="18"/>
          <w:szCs w:val="18"/>
        </w:rPr>
        <w:t>7</w:t>
      </w:r>
      <w:r>
        <w:rPr>
          <w:rFonts w:ascii="Arial" w:hAnsi="Arial" w:cs="Arial"/>
          <w:sz w:val="18"/>
          <w:szCs w:val="18"/>
        </w:rPr>
        <w:t>,</w:t>
      </w:r>
      <w:r w:rsidR="000B32C6">
        <w:rPr>
          <w:rFonts w:ascii="Arial" w:hAnsi="Arial" w:cs="Arial"/>
          <w:sz w:val="18"/>
          <w:szCs w:val="18"/>
        </w:rPr>
        <w:t>94</w:t>
      </w:r>
      <w:r w:rsidR="00732D19">
        <w:rPr>
          <w:rFonts w:ascii="Arial" w:hAnsi="Arial" w:cs="Arial"/>
          <w:sz w:val="18"/>
          <w:szCs w:val="18"/>
        </w:rPr>
        <w:t>5</w:t>
      </w:r>
      <w:r>
        <w:rPr>
          <w:rFonts w:ascii="Arial" w:hAnsi="Arial" w:cs="Arial"/>
          <w:sz w:val="18"/>
          <w:szCs w:val="18"/>
        </w:rPr>
        <w:t>,</w:t>
      </w:r>
      <w:r w:rsidR="000B32C6">
        <w:rPr>
          <w:rFonts w:ascii="Arial" w:hAnsi="Arial" w:cs="Arial"/>
          <w:sz w:val="18"/>
          <w:szCs w:val="18"/>
        </w:rPr>
        <w:t>902</w:t>
      </w:r>
      <w:r>
        <w:rPr>
          <w:rFonts w:ascii="Arial" w:hAnsi="Arial" w:cs="Arial"/>
          <w:sz w:val="18"/>
          <w:szCs w:val="18"/>
        </w:rPr>
        <w:t>,</w:t>
      </w:r>
      <w:r w:rsidR="000B32C6">
        <w:rPr>
          <w:rFonts w:ascii="Arial" w:hAnsi="Arial" w:cs="Arial"/>
          <w:sz w:val="18"/>
          <w:szCs w:val="18"/>
        </w:rPr>
        <w:t>828</w:t>
      </w:r>
      <w:r w:rsidR="008655F4">
        <w:rPr>
          <w:rFonts w:ascii="Arial" w:hAnsi="Arial" w:cs="Arial"/>
          <w:sz w:val="18"/>
          <w:szCs w:val="18"/>
        </w:rPr>
        <w:t xml:space="preserve">, observando un decremento del </w:t>
      </w:r>
      <w:r w:rsidR="000B32C6">
        <w:rPr>
          <w:rFonts w:ascii="Arial" w:hAnsi="Arial" w:cs="Arial"/>
          <w:sz w:val="18"/>
          <w:szCs w:val="18"/>
        </w:rPr>
        <w:t>43</w:t>
      </w:r>
      <w:r w:rsidR="008655F4">
        <w:rPr>
          <w:rFonts w:ascii="Arial" w:hAnsi="Arial" w:cs="Arial"/>
          <w:sz w:val="18"/>
          <w:szCs w:val="18"/>
        </w:rPr>
        <w:t>%, respecto del ejercicio 2024.</w:t>
      </w:r>
      <w:r>
        <w:rPr>
          <w:rFonts w:ascii="Arial" w:hAnsi="Arial" w:cs="Arial"/>
          <w:sz w:val="18"/>
          <w:szCs w:val="18"/>
        </w:rPr>
        <w:t xml:space="preserve"> </w:t>
      </w:r>
    </w:p>
    <w:p w14:paraId="651361AE" w14:textId="77777777" w:rsidR="008C10B0" w:rsidRDefault="008C10B0" w:rsidP="008C10B0">
      <w:pPr>
        <w:tabs>
          <w:tab w:val="left" w:pos="284"/>
        </w:tabs>
        <w:spacing w:after="0"/>
        <w:ind w:left="284"/>
        <w:jc w:val="both"/>
        <w:rPr>
          <w:rFonts w:ascii="Arial" w:hAnsi="Arial" w:cs="Arial"/>
          <w:sz w:val="18"/>
          <w:szCs w:val="18"/>
        </w:rPr>
      </w:pPr>
    </w:p>
    <w:p w14:paraId="5050F87E" w14:textId="77777777" w:rsidR="009C5253" w:rsidRDefault="009C5253" w:rsidP="008C10B0">
      <w:pPr>
        <w:tabs>
          <w:tab w:val="left" w:pos="284"/>
        </w:tabs>
        <w:spacing w:after="0"/>
        <w:ind w:left="284"/>
        <w:jc w:val="both"/>
        <w:rPr>
          <w:rFonts w:ascii="Arial" w:hAnsi="Arial" w:cs="Arial"/>
          <w:b/>
          <w:sz w:val="18"/>
          <w:szCs w:val="18"/>
        </w:rPr>
      </w:pPr>
    </w:p>
    <w:p w14:paraId="4D59D39D" w14:textId="77777777" w:rsidR="009C5253" w:rsidRDefault="009C5253" w:rsidP="008C10B0">
      <w:pPr>
        <w:tabs>
          <w:tab w:val="left" w:pos="284"/>
        </w:tabs>
        <w:spacing w:after="0"/>
        <w:ind w:left="284"/>
        <w:jc w:val="both"/>
        <w:rPr>
          <w:rFonts w:ascii="Arial" w:hAnsi="Arial" w:cs="Arial"/>
          <w:b/>
          <w:sz w:val="18"/>
          <w:szCs w:val="18"/>
        </w:rPr>
      </w:pPr>
    </w:p>
    <w:p w14:paraId="33973285" w14:textId="77777777" w:rsidR="008C10B0" w:rsidRPr="00543F97" w:rsidRDefault="008C10B0" w:rsidP="008C10B0">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14:paraId="4A79D7C8" w14:textId="6E430FE9" w:rsidR="008C10B0" w:rsidRDefault="008C10B0" w:rsidP="008C10B0">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0B32C6">
        <w:rPr>
          <w:rFonts w:ascii="Arial" w:hAnsi="Arial" w:cs="Arial"/>
          <w:sz w:val="18"/>
          <w:szCs w:val="18"/>
        </w:rPr>
        <w:t>juni</w:t>
      </w:r>
      <w:r w:rsidR="008655F4">
        <w:rPr>
          <w:rFonts w:ascii="Arial" w:hAnsi="Arial" w:cs="Arial"/>
          <w:sz w:val="18"/>
          <w:szCs w:val="18"/>
        </w:rPr>
        <w:t>o</w:t>
      </w:r>
      <w:r>
        <w:rPr>
          <w:rFonts w:ascii="Arial" w:hAnsi="Arial" w:cs="Arial"/>
          <w:sz w:val="18"/>
          <w:szCs w:val="18"/>
        </w:rPr>
        <w:t xml:space="preserve"> de 202</w:t>
      </w:r>
      <w:r w:rsidR="008655F4">
        <w:rPr>
          <w:rFonts w:ascii="Arial" w:hAnsi="Arial" w:cs="Arial"/>
          <w:sz w:val="18"/>
          <w:szCs w:val="18"/>
        </w:rPr>
        <w:t>5</w:t>
      </w:r>
      <w:r>
        <w:rPr>
          <w:rFonts w:ascii="Arial" w:hAnsi="Arial" w:cs="Arial"/>
          <w:sz w:val="18"/>
          <w:szCs w:val="18"/>
        </w:rPr>
        <w:t xml:space="preserve"> es de $</w:t>
      </w:r>
      <w:r w:rsidR="000B32C6">
        <w:rPr>
          <w:rFonts w:ascii="Arial" w:hAnsi="Arial" w:cs="Arial"/>
          <w:sz w:val="18"/>
          <w:szCs w:val="18"/>
        </w:rPr>
        <w:t>2</w:t>
      </w:r>
      <w:r>
        <w:rPr>
          <w:rFonts w:ascii="Arial" w:hAnsi="Arial" w:cs="Arial"/>
          <w:sz w:val="18"/>
          <w:szCs w:val="18"/>
        </w:rPr>
        <w:t>,</w:t>
      </w:r>
      <w:r w:rsidR="008655F4">
        <w:rPr>
          <w:rFonts w:ascii="Arial" w:hAnsi="Arial" w:cs="Arial"/>
          <w:sz w:val="18"/>
          <w:szCs w:val="18"/>
        </w:rPr>
        <w:t>8</w:t>
      </w:r>
      <w:r w:rsidR="000B32C6">
        <w:rPr>
          <w:rFonts w:ascii="Arial" w:hAnsi="Arial" w:cs="Arial"/>
          <w:sz w:val="18"/>
          <w:szCs w:val="18"/>
        </w:rPr>
        <w:t>97</w:t>
      </w:r>
      <w:r>
        <w:rPr>
          <w:rFonts w:ascii="Arial" w:hAnsi="Arial" w:cs="Arial"/>
          <w:sz w:val="18"/>
          <w:szCs w:val="18"/>
        </w:rPr>
        <w:t>,</w:t>
      </w:r>
      <w:r w:rsidR="000B32C6">
        <w:rPr>
          <w:rFonts w:ascii="Arial" w:hAnsi="Arial" w:cs="Arial"/>
          <w:sz w:val="18"/>
          <w:szCs w:val="18"/>
        </w:rPr>
        <w:t>916</w:t>
      </w:r>
      <w:r>
        <w:rPr>
          <w:rFonts w:ascii="Arial" w:hAnsi="Arial" w:cs="Arial"/>
          <w:sz w:val="18"/>
          <w:szCs w:val="18"/>
        </w:rPr>
        <w:t>,</w:t>
      </w:r>
      <w:r w:rsidR="000B32C6">
        <w:rPr>
          <w:rFonts w:ascii="Arial" w:hAnsi="Arial" w:cs="Arial"/>
          <w:sz w:val="18"/>
          <w:szCs w:val="18"/>
        </w:rPr>
        <w:t>808</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 el Programa Estatal de Infraestructura y lo correspondiente a</w:t>
      </w:r>
      <w:r w:rsidRPr="00DE62C8">
        <w:rPr>
          <w:rFonts w:ascii="Arial" w:hAnsi="Arial" w:cs="Arial"/>
          <w:sz w:val="18"/>
          <w:szCs w:val="18"/>
        </w:rPr>
        <w:t xml:space="preserve">l </w:t>
      </w:r>
      <w:r w:rsidR="000B32C6">
        <w:rPr>
          <w:rFonts w:ascii="Arial" w:hAnsi="Arial" w:cs="Arial"/>
          <w:sz w:val="18"/>
          <w:szCs w:val="18"/>
        </w:rPr>
        <w:t>segundo</w:t>
      </w:r>
      <w:r>
        <w:rPr>
          <w:rFonts w:ascii="Arial" w:hAnsi="Arial" w:cs="Arial"/>
          <w:sz w:val="18"/>
          <w:szCs w:val="18"/>
        </w:rPr>
        <w:t xml:space="preserve"> ajuste trimestral. Los cuales al </w:t>
      </w:r>
      <w:r w:rsidRPr="00DE62C8">
        <w:rPr>
          <w:rFonts w:ascii="Arial" w:hAnsi="Arial" w:cs="Arial"/>
          <w:sz w:val="18"/>
          <w:szCs w:val="18"/>
        </w:rPr>
        <w:t>3</w:t>
      </w:r>
      <w:r w:rsidR="000B32C6">
        <w:rPr>
          <w:rFonts w:ascii="Arial" w:hAnsi="Arial" w:cs="Arial"/>
          <w:sz w:val="18"/>
          <w:szCs w:val="18"/>
        </w:rPr>
        <w:t>0</w:t>
      </w:r>
      <w:r w:rsidRPr="00DE62C8">
        <w:rPr>
          <w:rFonts w:ascii="Arial" w:hAnsi="Arial" w:cs="Arial"/>
          <w:sz w:val="18"/>
          <w:szCs w:val="18"/>
        </w:rPr>
        <w:t xml:space="preserve"> </w:t>
      </w:r>
      <w:r>
        <w:rPr>
          <w:rFonts w:ascii="Arial" w:hAnsi="Arial" w:cs="Arial"/>
          <w:sz w:val="18"/>
          <w:szCs w:val="18"/>
        </w:rPr>
        <w:t xml:space="preserve">de </w:t>
      </w:r>
      <w:r w:rsidR="000B32C6">
        <w:rPr>
          <w:rFonts w:ascii="Arial" w:hAnsi="Arial" w:cs="Arial"/>
          <w:sz w:val="18"/>
          <w:szCs w:val="18"/>
        </w:rPr>
        <w:t>juni</w:t>
      </w:r>
      <w:r w:rsidR="008655F4">
        <w:rPr>
          <w:rFonts w:ascii="Arial" w:hAnsi="Arial" w:cs="Arial"/>
          <w:sz w:val="18"/>
          <w:szCs w:val="18"/>
        </w:rPr>
        <w:t>o</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r>
        <w:rPr>
          <w:rFonts w:ascii="Arial" w:hAnsi="Arial" w:cs="Arial"/>
          <w:sz w:val="18"/>
          <w:szCs w:val="18"/>
        </w:rPr>
        <w:t xml:space="preserve"> Observándose una variación marginalmente </w:t>
      </w:r>
      <w:r w:rsidR="000B32C6">
        <w:rPr>
          <w:rFonts w:ascii="Arial" w:hAnsi="Arial" w:cs="Arial"/>
          <w:sz w:val="18"/>
          <w:szCs w:val="18"/>
        </w:rPr>
        <w:t>positiva</w:t>
      </w:r>
      <w:r>
        <w:rPr>
          <w:rFonts w:ascii="Arial" w:hAnsi="Arial" w:cs="Arial"/>
          <w:sz w:val="18"/>
          <w:szCs w:val="18"/>
        </w:rPr>
        <w:t xml:space="preserve"> respecto al ejercicio 202</w:t>
      </w:r>
      <w:r w:rsidR="008655F4">
        <w:rPr>
          <w:rFonts w:ascii="Arial" w:hAnsi="Arial" w:cs="Arial"/>
          <w:sz w:val="18"/>
          <w:szCs w:val="18"/>
        </w:rPr>
        <w:t>4</w:t>
      </w:r>
      <w:r>
        <w:rPr>
          <w:rFonts w:ascii="Arial" w:hAnsi="Arial" w:cs="Arial"/>
          <w:sz w:val="18"/>
          <w:szCs w:val="18"/>
        </w:rPr>
        <w:t>.</w:t>
      </w:r>
    </w:p>
    <w:p w14:paraId="3F57E7BA" w14:textId="77777777" w:rsidR="008C10B0" w:rsidRDefault="008C10B0" w:rsidP="008C10B0">
      <w:pPr>
        <w:tabs>
          <w:tab w:val="left" w:pos="284"/>
        </w:tabs>
        <w:spacing w:after="0"/>
        <w:ind w:left="284"/>
        <w:jc w:val="both"/>
        <w:rPr>
          <w:rFonts w:ascii="Arial" w:hAnsi="Arial" w:cs="Arial"/>
          <w:sz w:val="18"/>
          <w:szCs w:val="18"/>
        </w:rPr>
      </w:pPr>
    </w:p>
    <w:p w14:paraId="2A619CC5" w14:textId="77777777" w:rsidR="008C10B0" w:rsidRPr="0073056A" w:rsidRDefault="008C10B0" w:rsidP="008C10B0">
      <w:pPr>
        <w:pStyle w:val="INCISO"/>
        <w:spacing w:after="0" w:line="276" w:lineRule="auto"/>
        <w:ind w:left="0" w:firstLine="284"/>
        <w:rPr>
          <w:b/>
          <w:smallCaps/>
        </w:rPr>
      </w:pPr>
      <w:r>
        <w:rPr>
          <w:b/>
          <w:smallCaps/>
        </w:rPr>
        <w:t xml:space="preserve">II.   </w:t>
      </w:r>
      <w:r w:rsidRPr="0073056A">
        <w:rPr>
          <w:b/>
          <w:smallCaps/>
        </w:rPr>
        <w:t>Notas al Estado de Situación Financiera</w:t>
      </w:r>
    </w:p>
    <w:p w14:paraId="7DC7EF01" w14:textId="77777777" w:rsidR="008C10B0" w:rsidRPr="0073056A" w:rsidRDefault="008C10B0" w:rsidP="008C10B0">
      <w:pPr>
        <w:pStyle w:val="Texto"/>
        <w:spacing w:after="0" w:line="276" w:lineRule="auto"/>
        <w:rPr>
          <w:b/>
          <w:szCs w:val="18"/>
          <w:lang w:val="es-MX"/>
        </w:rPr>
      </w:pPr>
    </w:p>
    <w:p w14:paraId="7A28F777" w14:textId="77777777" w:rsidR="008C10B0" w:rsidRPr="0073056A" w:rsidRDefault="008C10B0" w:rsidP="008C10B0">
      <w:pPr>
        <w:pStyle w:val="Texto"/>
        <w:spacing w:after="0" w:line="276" w:lineRule="auto"/>
        <w:rPr>
          <w:b/>
          <w:szCs w:val="18"/>
          <w:lang w:val="es-MX"/>
        </w:rPr>
      </w:pPr>
      <w:r w:rsidRPr="0073056A">
        <w:rPr>
          <w:b/>
          <w:szCs w:val="18"/>
          <w:lang w:val="es-MX"/>
        </w:rPr>
        <w:t>Activo</w:t>
      </w:r>
    </w:p>
    <w:p w14:paraId="10AA850C" w14:textId="77777777" w:rsidR="008C10B0" w:rsidRPr="0073056A" w:rsidRDefault="008C10B0" w:rsidP="008C10B0">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14:paraId="78BED7BA" w14:textId="77777777" w:rsidR="008C10B0" w:rsidRPr="0073056A" w:rsidRDefault="008C10B0" w:rsidP="008C10B0">
      <w:pPr>
        <w:pStyle w:val="Texto"/>
        <w:spacing w:after="0" w:line="276" w:lineRule="auto"/>
        <w:ind w:firstLine="284"/>
        <w:rPr>
          <w:b/>
          <w:szCs w:val="18"/>
          <w:lang w:val="es-MX"/>
        </w:rPr>
      </w:pPr>
      <w:r w:rsidRPr="0073056A">
        <w:rPr>
          <w:b/>
          <w:szCs w:val="18"/>
          <w:lang w:val="es-MX"/>
        </w:rPr>
        <w:t>Efectivo y Equivalentes</w:t>
      </w:r>
    </w:p>
    <w:p w14:paraId="4C66E784" w14:textId="0E121B9D" w:rsidR="008C10B0" w:rsidRPr="0073056A" w:rsidRDefault="008C10B0" w:rsidP="008C10B0">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sidR="008655F4">
        <w:rPr>
          <w:rFonts w:ascii="Arial" w:hAnsi="Arial" w:cs="Arial"/>
          <w:sz w:val="18"/>
          <w:szCs w:val="18"/>
        </w:rPr>
        <w:t>4</w:t>
      </w:r>
      <w:r>
        <w:rPr>
          <w:rFonts w:ascii="Arial" w:hAnsi="Arial" w:cs="Arial"/>
          <w:sz w:val="18"/>
          <w:szCs w:val="18"/>
        </w:rPr>
        <w:t>,</w:t>
      </w:r>
      <w:r w:rsidR="000B32C6">
        <w:rPr>
          <w:rFonts w:ascii="Arial" w:hAnsi="Arial" w:cs="Arial"/>
          <w:sz w:val="18"/>
          <w:szCs w:val="18"/>
        </w:rPr>
        <w:t>908</w:t>
      </w:r>
      <w:r>
        <w:rPr>
          <w:rFonts w:ascii="Arial" w:hAnsi="Arial" w:cs="Arial"/>
          <w:sz w:val="18"/>
          <w:szCs w:val="18"/>
        </w:rPr>
        <w:t>,</w:t>
      </w:r>
      <w:r w:rsidR="000B32C6">
        <w:rPr>
          <w:rFonts w:ascii="Arial" w:hAnsi="Arial" w:cs="Arial"/>
          <w:sz w:val="18"/>
          <w:szCs w:val="18"/>
        </w:rPr>
        <w:t>754</w:t>
      </w:r>
      <w:r>
        <w:rPr>
          <w:rFonts w:ascii="Arial" w:hAnsi="Arial" w:cs="Arial"/>
          <w:sz w:val="18"/>
          <w:szCs w:val="18"/>
        </w:rPr>
        <w:t>,</w:t>
      </w:r>
      <w:r w:rsidR="000B32C6">
        <w:rPr>
          <w:rFonts w:ascii="Arial" w:hAnsi="Arial" w:cs="Arial"/>
          <w:sz w:val="18"/>
          <w:szCs w:val="18"/>
        </w:rPr>
        <w:t>437</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0B32C6">
        <w:rPr>
          <w:rFonts w:ascii="Arial" w:hAnsi="Arial" w:cs="Arial"/>
          <w:sz w:val="18"/>
          <w:szCs w:val="18"/>
        </w:rPr>
        <w:t>Segundo</w:t>
      </w:r>
      <w:r>
        <w:rPr>
          <w:rFonts w:ascii="Arial" w:hAnsi="Arial" w:cs="Arial"/>
          <w:sz w:val="18"/>
          <w:szCs w:val="18"/>
        </w:rPr>
        <w:t xml:space="preserve"> Ajuste Trimestral 202</w:t>
      </w:r>
      <w:r w:rsidR="008655F4">
        <w:rPr>
          <w:rFonts w:ascii="Arial" w:hAnsi="Arial" w:cs="Arial"/>
          <w:sz w:val="18"/>
          <w:szCs w:val="18"/>
        </w:rPr>
        <w:t>5</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 observando una diferencia de $</w:t>
      </w:r>
      <w:r w:rsidR="000B32C6">
        <w:rPr>
          <w:rFonts w:ascii="Arial" w:hAnsi="Arial" w:cs="Arial"/>
          <w:sz w:val="18"/>
          <w:szCs w:val="18"/>
        </w:rPr>
        <w:t>1,771</w:t>
      </w:r>
      <w:r>
        <w:rPr>
          <w:rFonts w:ascii="Arial" w:hAnsi="Arial" w:cs="Arial"/>
          <w:sz w:val="18"/>
          <w:szCs w:val="18"/>
        </w:rPr>
        <w:t>,</w:t>
      </w:r>
      <w:r w:rsidR="000B32C6">
        <w:rPr>
          <w:rFonts w:ascii="Arial" w:hAnsi="Arial" w:cs="Arial"/>
          <w:sz w:val="18"/>
          <w:szCs w:val="18"/>
        </w:rPr>
        <w:t>212</w:t>
      </w:r>
      <w:r>
        <w:rPr>
          <w:rFonts w:ascii="Arial" w:hAnsi="Arial" w:cs="Arial"/>
          <w:sz w:val="18"/>
          <w:szCs w:val="18"/>
        </w:rPr>
        <w:t>,</w:t>
      </w:r>
      <w:r w:rsidR="000B32C6">
        <w:rPr>
          <w:rFonts w:ascii="Arial" w:hAnsi="Arial" w:cs="Arial"/>
          <w:sz w:val="18"/>
          <w:szCs w:val="18"/>
        </w:rPr>
        <w:t>433</w:t>
      </w:r>
      <w:r>
        <w:rPr>
          <w:rFonts w:ascii="Arial" w:hAnsi="Arial" w:cs="Arial"/>
          <w:sz w:val="18"/>
          <w:szCs w:val="18"/>
        </w:rPr>
        <w:t>, respecto al ejercicio de 202</w:t>
      </w:r>
      <w:r w:rsidR="008655F4">
        <w:rPr>
          <w:rFonts w:ascii="Arial" w:hAnsi="Arial" w:cs="Arial"/>
          <w:sz w:val="18"/>
          <w:szCs w:val="18"/>
        </w:rPr>
        <w:t>4</w:t>
      </w:r>
      <w:r>
        <w:rPr>
          <w:rFonts w:ascii="Arial" w:hAnsi="Arial" w:cs="Arial"/>
          <w:sz w:val="18"/>
          <w:szCs w:val="18"/>
        </w:rPr>
        <w:t>.</w:t>
      </w:r>
    </w:p>
    <w:p w14:paraId="22CC90FE" w14:textId="77777777" w:rsidR="008C10B0" w:rsidRPr="0073056A" w:rsidRDefault="008C10B0" w:rsidP="008C10B0">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14:paraId="1CE3122E" w14:textId="77777777" w:rsidR="008C10B0" w:rsidRPr="0073056A" w:rsidRDefault="008C10B0" w:rsidP="008C10B0">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14:paraId="4E3D2123" w14:textId="29ACC195" w:rsidR="008C10B0" w:rsidRPr="0073056A" w:rsidRDefault="008C10B0" w:rsidP="008C10B0">
      <w:pPr>
        <w:ind w:left="284"/>
        <w:jc w:val="both"/>
        <w:rPr>
          <w:rFonts w:ascii="Arial" w:hAnsi="Arial" w:cs="Arial"/>
          <w:sz w:val="18"/>
          <w:szCs w:val="18"/>
        </w:rPr>
      </w:pPr>
      <w:r w:rsidRPr="0073056A">
        <w:rPr>
          <w:rFonts w:ascii="Arial" w:hAnsi="Arial" w:cs="Arial"/>
          <w:sz w:val="18"/>
          <w:szCs w:val="18"/>
        </w:rPr>
        <w:t>El importe de $</w:t>
      </w:r>
      <w:r w:rsidR="003D0E2B">
        <w:rPr>
          <w:rFonts w:ascii="Arial" w:hAnsi="Arial" w:cs="Arial"/>
          <w:sz w:val="18"/>
          <w:szCs w:val="18"/>
        </w:rPr>
        <w:t>9</w:t>
      </w:r>
      <w:r>
        <w:rPr>
          <w:rFonts w:ascii="Arial" w:hAnsi="Arial" w:cs="Arial"/>
          <w:sz w:val="18"/>
          <w:szCs w:val="18"/>
        </w:rPr>
        <w:t>,</w:t>
      </w:r>
      <w:r w:rsidR="003D0E2B">
        <w:rPr>
          <w:rFonts w:ascii="Arial" w:hAnsi="Arial" w:cs="Arial"/>
          <w:sz w:val="18"/>
          <w:szCs w:val="18"/>
        </w:rPr>
        <w:t>284</w:t>
      </w:r>
      <w:r>
        <w:rPr>
          <w:rFonts w:ascii="Arial" w:hAnsi="Arial" w:cs="Arial"/>
          <w:sz w:val="18"/>
          <w:szCs w:val="18"/>
        </w:rPr>
        <w:t>,</w:t>
      </w:r>
      <w:r w:rsidR="003D0E2B">
        <w:rPr>
          <w:rFonts w:ascii="Arial" w:hAnsi="Arial" w:cs="Arial"/>
          <w:sz w:val="18"/>
          <w:szCs w:val="18"/>
        </w:rPr>
        <w:t>446</w:t>
      </w:r>
      <w:r w:rsidRPr="0073056A">
        <w:rPr>
          <w:rFonts w:ascii="Arial" w:hAnsi="Arial" w:cs="Arial"/>
          <w:sz w:val="18"/>
          <w:szCs w:val="18"/>
        </w:rPr>
        <w:t xml:space="preserve"> que se tiene al cierre </w:t>
      </w:r>
      <w:r w:rsidRPr="00F52C6D">
        <w:rPr>
          <w:rFonts w:ascii="Arial" w:hAnsi="Arial" w:cs="Arial"/>
          <w:sz w:val="18"/>
          <w:szCs w:val="18"/>
        </w:rPr>
        <w:t xml:space="preserve">del </w:t>
      </w:r>
      <w:r w:rsidR="003D0E2B">
        <w:rPr>
          <w:rFonts w:ascii="Arial" w:hAnsi="Arial" w:cs="Arial"/>
          <w:sz w:val="18"/>
          <w:szCs w:val="18"/>
        </w:rPr>
        <w:t>segundo</w:t>
      </w:r>
      <w:r w:rsidRPr="00F52C6D">
        <w:rPr>
          <w:rFonts w:ascii="Arial" w:hAnsi="Arial" w:cs="Arial"/>
          <w:sz w:val="18"/>
          <w:szCs w:val="18"/>
        </w:rPr>
        <w:t xml:space="preserve"> trimestre</w:t>
      </w:r>
      <w:r>
        <w:rPr>
          <w:rFonts w:ascii="Arial" w:hAnsi="Arial" w:cs="Arial"/>
          <w:sz w:val="18"/>
          <w:szCs w:val="18"/>
        </w:rPr>
        <w:t xml:space="preserve"> del ejercicio 202</w:t>
      </w:r>
      <w:r w:rsidR="008655F4">
        <w:rPr>
          <w:rFonts w:ascii="Arial" w:hAnsi="Arial" w:cs="Arial"/>
          <w:sz w:val="18"/>
          <w:szCs w:val="18"/>
        </w:rPr>
        <w:t>5</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 siendo m</w:t>
      </w:r>
      <w:r w:rsidR="003D0E2B">
        <w:rPr>
          <w:rFonts w:ascii="Arial" w:hAnsi="Arial" w:cs="Arial"/>
          <w:sz w:val="18"/>
          <w:szCs w:val="18"/>
        </w:rPr>
        <w:t>enor</w:t>
      </w:r>
      <w:r>
        <w:rPr>
          <w:rFonts w:ascii="Arial" w:hAnsi="Arial" w:cs="Arial"/>
          <w:sz w:val="18"/>
          <w:szCs w:val="18"/>
        </w:rPr>
        <w:t xml:space="preserve"> en $</w:t>
      </w:r>
      <w:r w:rsidR="003D0E2B">
        <w:rPr>
          <w:rFonts w:ascii="Arial" w:hAnsi="Arial" w:cs="Arial"/>
          <w:sz w:val="18"/>
          <w:szCs w:val="18"/>
        </w:rPr>
        <w:t>26</w:t>
      </w:r>
      <w:r>
        <w:rPr>
          <w:rFonts w:ascii="Arial" w:hAnsi="Arial" w:cs="Arial"/>
          <w:sz w:val="18"/>
          <w:szCs w:val="18"/>
        </w:rPr>
        <w:t>,</w:t>
      </w:r>
      <w:r w:rsidR="003D0E2B">
        <w:rPr>
          <w:rFonts w:ascii="Arial" w:hAnsi="Arial" w:cs="Arial"/>
          <w:sz w:val="18"/>
          <w:szCs w:val="18"/>
        </w:rPr>
        <w:t>609</w:t>
      </w:r>
      <w:r>
        <w:rPr>
          <w:rFonts w:ascii="Arial" w:hAnsi="Arial" w:cs="Arial"/>
          <w:sz w:val="18"/>
          <w:szCs w:val="18"/>
        </w:rPr>
        <w:t>,</w:t>
      </w:r>
      <w:r w:rsidR="003D0E2B">
        <w:rPr>
          <w:rFonts w:ascii="Arial" w:hAnsi="Arial" w:cs="Arial"/>
          <w:sz w:val="18"/>
          <w:szCs w:val="18"/>
        </w:rPr>
        <w:t>942</w:t>
      </w:r>
      <w:r>
        <w:rPr>
          <w:rFonts w:ascii="Arial" w:hAnsi="Arial" w:cs="Arial"/>
          <w:sz w:val="18"/>
          <w:szCs w:val="18"/>
        </w:rPr>
        <w:t xml:space="preserve"> respecto al ejercicio de 202</w:t>
      </w:r>
      <w:r w:rsidR="008655F4">
        <w:rPr>
          <w:rFonts w:ascii="Arial" w:hAnsi="Arial" w:cs="Arial"/>
          <w:sz w:val="18"/>
          <w:szCs w:val="18"/>
        </w:rPr>
        <w:t>4</w:t>
      </w:r>
      <w:r>
        <w:rPr>
          <w:rFonts w:ascii="Arial" w:hAnsi="Arial" w:cs="Arial"/>
          <w:sz w:val="18"/>
          <w:szCs w:val="18"/>
        </w:rPr>
        <w:t>.</w:t>
      </w:r>
    </w:p>
    <w:p w14:paraId="1A2D1EEC" w14:textId="70F8554F" w:rsidR="008C10B0" w:rsidRDefault="008C10B0" w:rsidP="008C10B0">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Pr>
          <w:rFonts w:ascii="Arial" w:hAnsi="Arial" w:cs="Arial"/>
          <w:sz w:val="18"/>
          <w:szCs w:val="18"/>
        </w:rPr>
        <w:t xml:space="preserve"> al cierre del </w:t>
      </w:r>
      <w:r w:rsidR="00454926">
        <w:rPr>
          <w:rFonts w:ascii="Arial" w:hAnsi="Arial" w:cs="Arial"/>
          <w:sz w:val="18"/>
          <w:szCs w:val="18"/>
        </w:rPr>
        <w:t>segundo</w:t>
      </w:r>
      <w:r>
        <w:rPr>
          <w:rFonts w:ascii="Arial" w:hAnsi="Arial" w:cs="Arial"/>
          <w:sz w:val="18"/>
          <w:szCs w:val="18"/>
        </w:rPr>
        <w:t xml:space="preserve"> trimestre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r>
        <w:rPr>
          <w:rFonts w:ascii="Arial" w:hAnsi="Arial" w:cs="Arial"/>
          <w:sz w:val="18"/>
          <w:szCs w:val="18"/>
        </w:rPr>
        <w:t>, refleja un saldo de $</w:t>
      </w:r>
      <w:r w:rsidR="003D0E2B">
        <w:rPr>
          <w:rFonts w:ascii="Arial" w:hAnsi="Arial" w:cs="Arial"/>
          <w:sz w:val="18"/>
          <w:szCs w:val="18"/>
        </w:rPr>
        <w:t>231,287,491</w:t>
      </w:r>
      <w:r>
        <w:rPr>
          <w:rFonts w:ascii="Arial" w:hAnsi="Arial" w:cs="Arial"/>
          <w:sz w:val="18"/>
          <w:szCs w:val="18"/>
        </w:rPr>
        <w:t xml:space="preserve"> por derechos a recibir bienes o servicios</w:t>
      </w:r>
      <w:r w:rsidRPr="0073056A">
        <w:rPr>
          <w:rFonts w:ascii="Arial" w:hAnsi="Arial" w:cs="Arial"/>
          <w:sz w:val="18"/>
          <w:szCs w:val="18"/>
        </w:rPr>
        <w:t>.</w:t>
      </w:r>
    </w:p>
    <w:p w14:paraId="50080A17" w14:textId="77777777" w:rsidR="008C10B0" w:rsidRDefault="008C10B0" w:rsidP="008C10B0">
      <w:pPr>
        <w:pStyle w:val="ROMANOS"/>
        <w:tabs>
          <w:tab w:val="clear" w:pos="720"/>
          <w:tab w:val="left" w:pos="284"/>
        </w:tabs>
        <w:spacing w:after="0" w:line="276" w:lineRule="auto"/>
        <w:ind w:left="284" w:firstLine="0"/>
        <w:rPr>
          <w:b/>
          <w:lang w:val="es-MX"/>
        </w:rPr>
      </w:pPr>
    </w:p>
    <w:p w14:paraId="5F7803B3" w14:textId="77777777" w:rsidR="008C10B0" w:rsidRPr="0073056A" w:rsidRDefault="008C10B0" w:rsidP="008C10B0">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14:paraId="1A32C0B9" w14:textId="78BEE69D" w:rsidR="008C10B0" w:rsidRPr="0073056A" w:rsidRDefault="008C10B0" w:rsidP="008C10B0">
      <w:pPr>
        <w:ind w:left="284"/>
        <w:jc w:val="both"/>
        <w:rPr>
          <w:rFonts w:ascii="Arial" w:hAnsi="Arial" w:cs="Arial"/>
          <w:sz w:val="18"/>
          <w:szCs w:val="18"/>
        </w:rPr>
      </w:pPr>
      <w:r>
        <w:rPr>
          <w:rFonts w:ascii="Arial" w:hAnsi="Arial" w:cs="Arial"/>
          <w:sz w:val="18"/>
          <w:szCs w:val="18"/>
        </w:rPr>
        <w:t xml:space="preserve">Al cierre del </w:t>
      </w:r>
      <w:r w:rsidR="003D0E2B">
        <w:rPr>
          <w:rFonts w:ascii="Arial" w:hAnsi="Arial" w:cs="Arial"/>
          <w:sz w:val="18"/>
          <w:szCs w:val="18"/>
        </w:rPr>
        <w:t>segundo</w:t>
      </w:r>
      <w:r>
        <w:rPr>
          <w:rFonts w:ascii="Arial" w:hAnsi="Arial" w:cs="Arial"/>
          <w:sz w:val="18"/>
          <w:szCs w:val="18"/>
        </w:rPr>
        <w:t xml:space="preserve"> trimestre del ejercicio 202</w:t>
      </w:r>
      <w:r w:rsidR="008655F4">
        <w:rPr>
          <w:rFonts w:ascii="Arial" w:hAnsi="Arial" w:cs="Arial"/>
          <w:sz w:val="18"/>
          <w:szCs w:val="18"/>
        </w:rPr>
        <w:t>5</w:t>
      </w:r>
      <w:r>
        <w:rPr>
          <w:rFonts w:ascii="Arial" w:hAnsi="Arial" w:cs="Arial"/>
          <w:sz w:val="18"/>
          <w:szCs w:val="18"/>
        </w:rPr>
        <w:t xml:space="preserve"> el Poder Ejecutivo no cuenta con Bienes Disponibles para su Transformación o Consumo (inventarios).</w:t>
      </w:r>
    </w:p>
    <w:p w14:paraId="281832C1" w14:textId="77777777" w:rsidR="008C10B0" w:rsidRPr="0073056A" w:rsidRDefault="008C10B0" w:rsidP="008C10B0">
      <w:pPr>
        <w:pStyle w:val="ROMANOS"/>
        <w:tabs>
          <w:tab w:val="clear" w:pos="720"/>
          <w:tab w:val="left" w:pos="851"/>
        </w:tabs>
        <w:spacing w:after="0" w:line="276" w:lineRule="auto"/>
        <w:ind w:left="284" w:firstLine="0"/>
        <w:rPr>
          <w:b/>
          <w:lang w:val="es-MX"/>
        </w:rPr>
      </w:pPr>
      <w:r w:rsidRPr="0073056A">
        <w:rPr>
          <w:b/>
          <w:lang w:val="es-MX"/>
        </w:rPr>
        <w:t>Inversiones Financieras</w:t>
      </w:r>
    </w:p>
    <w:p w14:paraId="435FDCC5" w14:textId="51D9C7BB" w:rsidR="008C10B0" w:rsidRPr="0073056A" w:rsidRDefault="008C10B0" w:rsidP="008C10B0">
      <w:pPr>
        <w:ind w:left="284"/>
        <w:jc w:val="both"/>
        <w:rPr>
          <w:rFonts w:ascii="Arial" w:hAnsi="Arial" w:cs="Arial"/>
          <w:sz w:val="18"/>
          <w:szCs w:val="18"/>
        </w:rPr>
      </w:pPr>
      <w:r>
        <w:rPr>
          <w:rFonts w:ascii="Arial" w:hAnsi="Arial" w:cs="Arial"/>
          <w:sz w:val="18"/>
          <w:szCs w:val="18"/>
        </w:rPr>
        <w:t xml:space="preserve">Al cierre del </w:t>
      </w:r>
      <w:r w:rsidR="003D0E2B">
        <w:rPr>
          <w:rFonts w:ascii="Arial" w:hAnsi="Arial" w:cs="Arial"/>
          <w:sz w:val="18"/>
          <w:szCs w:val="18"/>
        </w:rPr>
        <w:t>segundo</w:t>
      </w:r>
      <w:r>
        <w:rPr>
          <w:rFonts w:ascii="Arial" w:hAnsi="Arial" w:cs="Arial"/>
          <w:sz w:val="18"/>
          <w:szCs w:val="18"/>
        </w:rPr>
        <w:t xml:space="preserve"> trimestre del ejercicio 202</w:t>
      </w:r>
      <w:r w:rsidR="00E328A2">
        <w:rPr>
          <w:rFonts w:ascii="Arial" w:hAnsi="Arial" w:cs="Arial"/>
          <w:sz w:val="18"/>
          <w:szCs w:val="18"/>
        </w:rPr>
        <w:t>5</w:t>
      </w:r>
      <w:r>
        <w:rPr>
          <w:rFonts w:ascii="Arial" w:hAnsi="Arial" w:cs="Arial"/>
          <w:sz w:val="18"/>
          <w:szCs w:val="18"/>
        </w:rPr>
        <w:t xml:space="preserve"> el Poder Ejecutivo cuenta con Inversiones Financieras a Largo Plazo por un importe de $</w:t>
      </w:r>
      <w:r w:rsidR="00E328A2">
        <w:rPr>
          <w:rFonts w:ascii="Arial" w:hAnsi="Arial" w:cs="Arial"/>
          <w:sz w:val="18"/>
          <w:szCs w:val="18"/>
        </w:rPr>
        <w:t>4</w:t>
      </w:r>
      <w:r w:rsidR="003D0E2B">
        <w:rPr>
          <w:rFonts w:ascii="Arial" w:hAnsi="Arial" w:cs="Arial"/>
          <w:sz w:val="18"/>
          <w:szCs w:val="18"/>
        </w:rPr>
        <w:t>90</w:t>
      </w:r>
      <w:r>
        <w:rPr>
          <w:rFonts w:ascii="Arial" w:hAnsi="Arial" w:cs="Arial"/>
          <w:sz w:val="18"/>
          <w:szCs w:val="18"/>
        </w:rPr>
        <w:t>,</w:t>
      </w:r>
      <w:r w:rsidR="003D0E2B">
        <w:rPr>
          <w:rFonts w:ascii="Arial" w:hAnsi="Arial" w:cs="Arial"/>
          <w:sz w:val="18"/>
          <w:szCs w:val="18"/>
        </w:rPr>
        <w:t>947</w:t>
      </w:r>
      <w:r>
        <w:rPr>
          <w:rFonts w:ascii="Arial" w:hAnsi="Arial" w:cs="Arial"/>
          <w:sz w:val="18"/>
          <w:szCs w:val="18"/>
        </w:rPr>
        <w:t>,</w:t>
      </w:r>
      <w:r w:rsidR="003D0E2B">
        <w:rPr>
          <w:rFonts w:ascii="Arial" w:hAnsi="Arial" w:cs="Arial"/>
          <w:sz w:val="18"/>
          <w:szCs w:val="18"/>
        </w:rPr>
        <w:t>753</w:t>
      </w:r>
      <w:r>
        <w:rPr>
          <w:rFonts w:ascii="Arial" w:hAnsi="Arial" w:cs="Arial"/>
          <w:sz w:val="18"/>
          <w:szCs w:val="18"/>
        </w:rPr>
        <w:t>, que respaldan los diversos fondos de reserva del Ejecutivo del Estado.</w:t>
      </w:r>
    </w:p>
    <w:p w14:paraId="4FA5566B" w14:textId="77777777" w:rsidR="008C10B0" w:rsidRPr="0073056A" w:rsidRDefault="008C10B0" w:rsidP="008C10B0">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14:paraId="14F13372" w14:textId="015A0B04" w:rsidR="008C10B0" w:rsidRPr="0073056A" w:rsidRDefault="008C10B0" w:rsidP="008C10B0">
      <w:pPr>
        <w:tabs>
          <w:tab w:val="left" w:pos="284"/>
        </w:tabs>
        <w:ind w:left="284"/>
        <w:jc w:val="both"/>
        <w:rPr>
          <w:rFonts w:ascii="Arial" w:hAnsi="Arial" w:cs="Arial"/>
          <w:sz w:val="18"/>
          <w:szCs w:val="18"/>
        </w:rPr>
      </w:pPr>
      <w:r>
        <w:rPr>
          <w:rFonts w:ascii="Arial" w:hAnsi="Arial" w:cs="Arial"/>
          <w:sz w:val="18"/>
          <w:szCs w:val="18"/>
        </w:rPr>
        <w:t xml:space="preserve">Al cierre del </w:t>
      </w:r>
      <w:r w:rsidR="00F138AE">
        <w:rPr>
          <w:rFonts w:ascii="Arial" w:hAnsi="Arial" w:cs="Arial"/>
          <w:sz w:val="18"/>
          <w:szCs w:val="18"/>
        </w:rPr>
        <w:t>segundo</w:t>
      </w:r>
      <w:r>
        <w:rPr>
          <w:rFonts w:ascii="Arial" w:hAnsi="Arial" w:cs="Arial"/>
          <w:sz w:val="18"/>
          <w:szCs w:val="18"/>
        </w:rPr>
        <w:t xml:space="preserve"> trimestre del ejercicio 202</w:t>
      </w:r>
      <w:r w:rsidR="00E328A2">
        <w:rPr>
          <w:rFonts w:ascii="Arial" w:hAnsi="Arial" w:cs="Arial"/>
          <w:sz w:val="18"/>
          <w:szCs w:val="18"/>
        </w:rPr>
        <w:t>5</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3,36</w:t>
      </w:r>
      <w:r w:rsidR="00F138AE">
        <w:rPr>
          <w:rFonts w:ascii="Arial" w:hAnsi="Arial" w:cs="Arial"/>
          <w:sz w:val="18"/>
          <w:szCs w:val="18"/>
        </w:rPr>
        <w:t>4</w:t>
      </w:r>
      <w:r>
        <w:rPr>
          <w:rFonts w:ascii="Arial" w:hAnsi="Arial" w:cs="Arial"/>
          <w:sz w:val="18"/>
          <w:szCs w:val="18"/>
        </w:rPr>
        <w:t>,</w:t>
      </w:r>
      <w:r w:rsidR="00F138AE">
        <w:rPr>
          <w:rFonts w:ascii="Arial" w:hAnsi="Arial" w:cs="Arial"/>
          <w:sz w:val="18"/>
          <w:szCs w:val="18"/>
        </w:rPr>
        <w:t>219</w:t>
      </w:r>
      <w:r>
        <w:rPr>
          <w:rFonts w:ascii="Arial" w:hAnsi="Arial" w:cs="Arial"/>
          <w:sz w:val="18"/>
          <w:szCs w:val="18"/>
        </w:rPr>
        <w:t>,</w:t>
      </w:r>
      <w:r w:rsidR="00E328A2">
        <w:rPr>
          <w:rFonts w:ascii="Arial" w:hAnsi="Arial" w:cs="Arial"/>
          <w:sz w:val="18"/>
          <w:szCs w:val="18"/>
        </w:rPr>
        <w:t>3</w:t>
      </w:r>
      <w:r w:rsidR="00F138AE">
        <w:rPr>
          <w:rFonts w:ascii="Arial" w:hAnsi="Arial" w:cs="Arial"/>
          <w:sz w:val="18"/>
          <w:szCs w:val="18"/>
        </w:rPr>
        <w:t>36</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xml:space="preserve">, así como colecciones, obras de arte y objetos valiosos, presentando un </w:t>
      </w:r>
      <w:r w:rsidR="00F138AE">
        <w:rPr>
          <w:rFonts w:ascii="Arial" w:hAnsi="Arial" w:cs="Arial"/>
          <w:sz w:val="18"/>
          <w:szCs w:val="18"/>
        </w:rPr>
        <w:t>de</w:t>
      </w:r>
      <w:r>
        <w:rPr>
          <w:rFonts w:ascii="Arial" w:hAnsi="Arial" w:cs="Arial"/>
          <w:sz w:val="18"/>
          <w:szCs w:val="18"/>
        </w:rPr>
        <w:t>cremento de</w:t>
      </w:r>
      <w:r w:rsidR="00E328A2">
        <w:rPr>
          <w:rFonts w:ascii="Arial" w:hAnsi="Arial" w:cs="Arial"/>
          <w:sz w:val="18"/>
          <w:szCs w:val="18"/>
        </w:rPr>
        <w:t xml:space="preserve"> $</w:t>
      </w:r>
      <w:r w:rsidR="00F138AE">
        <w:rPr>
          <w:rFonts w:ascii="Arial" w:hAnsi="Arial" w:cs="Arial"/>
          <w:sz w:val="18"/>
          <w:szCs w:val="18"/>
        </w:rPr>
        <w:t>172</w:t>
      </w:r>
      <w:r w:rsidR="00E328A2">
        <w:rPr>
          <w:rFonts w:ascii="Arial" w:hAnsi="Arial" w:cs="Arial"/>
          <w:sz w:val="18"/>
          <w:szCs w:val="18"/>
        </w:rPr>
        <w:t>,</w:t>
      </w:r>
      <w:r w:rsidR="00F138AE">
        <w:rPr>
          <w:rFonts w:ascii="Arial" w:hAnsi="Arial" w:cs="Arial"/>
          <w:sz w:val="18"/>
          <w:szCs w:val="18"/>
        </w:rPr>
        <w:t>519,831</w:t>
      </w:r>
      <w:r>
        <w:rPr>
          <w:rFonts w:ascii="Arial" w:hAnsi="Arial" w:cs="Arial"/>
          <w:sz w:val="18"/>
          <w:szCs w:val="18"/>
        </w:rPr>
        <w:t xml:space="preserve"> respecto del ejercicio de 202</w:t>
      </w:r>
      <w:r w:rsidR="00E328A2">
        <w:rPr>
          <w:rFonts w:ascii="Arial" w:hAnsi="Arial" w:cs="Arial"/>
          <w:sz w:val="18"/>
          <w:szCs w:val="18"/>
        </w:rPr>
        <w:t>4</w:t>
      </w:r>
      <w:r w:rsidRPr="0073056A">
        <w:rPr>
          <w:rFonts w:ascii="Arial" w:hAnsi="Arial" w:cs="Arial"/>
          <w:sz w:val="18"/>
          <w:szCs w:val="18"/>
        </w:rPr>
        <w:t>.</w:t>
      </w:r>
    </w:p>
    <w:p w14:paraId="461C05CC" w14:textId="16846C7B" w:rsidR="00E328A2" w:rsidRDefault="008C10B0" w:rsidP="008C10B0">
      <w:pPr>
        <w:tabs>
          <w:tab w:val="left" w:pos="284"/>
        </w:tabs>
        <w:ind w:left="284"/>
        <w:jc w:val="both"/>
        <w:rPr>
          <w:rFonts w:ascii="Arial" w:hAnsi="Arial" w:cs="Arial"/>
          <w:sz w:val="18"/>
          <w:szCs w:val="18"/>
        </w:rPr>
      </w:pPr>
      <w:r w:rsidRPr="00F619D6">
        <w:rPr>
          <w:rFonts w:ascii="Arial" w:hAnsi="Arial" w:cs="Arial"/>
          <w:sz w:val="18"/>
          <w:szCs w:val="18"/>
        </w:rPr>
        <w:t>El saldo reflejado en la cuenta de bienes inmuebles es de $</w:t>
      </w:r>
      <w:r w:rsidR="005929BB">
        <w:rPr>
          <w:rFonts w:ascii="Arial" w:hAnsi="Arial" w:cs="Arial"/>
          <w:sz w:val="18"/>
          <w:szCs w:val="18"/>
        </w:rPr>
        <w:t>10,</w:t>
      </w:r>
      <w:r w:rsidR="00E328A2">
        <w:rPr>
          <w:rFonts w:ascii="Arial" w:hAnsi="Arial" w:cs="Arial"/>
          <w:sz w:val="18"/>
          <w:szCs w:val="18"/>
        </w:rPr>
        <w:t>2</w:t>
      </w:r>
      <w:r w:rsidR="005929BB">
        <w:rPr>
          <w:rFonts w:ascii="Arial" w:hAnsi="Arial" w:cs="Arial"/>
          <w:sz w:val="18"/>
          <w:szCs w:val="18"/>
        </w:rPr>
        <w:t>1</w:t>
      </w:r>
      <w:r w:rsidR="00F138AE">
        <w:rPr>
          <w:rFonts w:ascii="Arial" w:hAnsi="Arial" w:cs="Arial"/>
          <w:sz w:val="18"/>
          <w:szCs w:val="18"/>
        </w:rPr>
        <w:t>1</w:t>
      </w:r>
      <w:r w:rsidR="00E328A2">
        <w:rPr>
          <w:rFonts w:ascii="Arial" w:hAnsi="Arial" w:cs="Arial"/>
          <w:sz w:val="18"/>
          <w:szCs w:val="18"/>
        </w:rPr>
        <w:t>,</w:t>
      </w:r>
      <w:r w:rsidR="005929BB">
        <w:rPr>
          <w:rFonts w:ascii="Arial" w:hAnsi="Arial" w:cs="Arial"/>
          <w:sz w:val="18"/>
          <w:szCs w:val="18"/>
        </w:rPr>
        <w:t>130</w:t>
      </w:r>
      <w:r w:rsidR="00E328A2">
        <w:rPr>
          <w:rFonts w:ascii="Arial" w:hAnsi="Arial" w:cs="Arial"/>
          <w:sz w:val="18"/>
          <w:szCs w:val="18"/>
        </w:rPr>
        <w:t>,</w:t>
      </w:r>
      <w:r w:rsidR="00F138AE">
        <w:rPr>
          <w:rFonts w:ascii="Arial" w:hAnsi="Arial" w:cs="Arial"/>
          <w:sz w:val="18"/>
          <w:szCs w:val="18"/>
        </w:rPr>
        <w:t>8</w:t>
      </w:r>
      <w:r w:rsidR="005929BB">
        <w:rPr>
          <w:rFonts w:ascii="Arial" w:hAnsi="Arial" w:cs="Arial"/>
          <w:sz w:val="18"/>
          <w:szCs w:val="18"/>
        </w:rPr>
        <w:t>34</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Pr>
          <w:rFonts w:ascii="Arial" w:hAnsi="Arial" w:cs="Arial"/>
          <w:sz w:val="18"/>
          <w:szCs w:val="18"/>
        </w:rPr>
        <w:t xml:space="preserve">, </w:t>
      </w:r>
      <w:r w:rsidR="00F138AE">
        <w:rPr>
          <w:rFonts w:ascii="Arial" w:hAnsi="Arial" w:cs="Arial"/>
          <w:sz w:val="18"/>
          <w:szCs w:val="18"/>
        </w:rPr>
        <w:t xml:space="preserve">observando un </w:t>
      </w:r>
      <w:r w:rsidR="005929BB">
        <w:rPr>
          <w:rFonts w:ascii="Arial" w:hAnsi="Arial" w:cs="Arial"/>
          <w:sz w:val="18"/>
          <w:szCs w:val="18"/>
        </w:rPr>
        <w:t>de</w:t>
      </w:r>
      <w:r w:rsidR="00F138AE">
        <w:rPr>
          <w:rFonts w:ascii="Arial" w:hAnsi="Arial" w:cs="Arial"/>
          <w:sz w:val="18"/>
          <w:szCs w:val="18"/>
        </w:rPr>
        <w:t>cremento de $</w:t>
      </w:r>
      <w:r w:rsidR="005929BB">
        <w:rPr>
          <w:rFonts w:ascii="Arial" w:hAnsi="Arial" w:cs="Arial"/>
          <w:sz w:val="18"/>
          <w:szCs w:val="18"/>
        </w:rPr>
        <w:t>910</w:t>
      </w:r>
      <w:r w:rsidR="00F138AE">
        <w:rPr>
          <w:rFonts w:ascii="Arial" w:hAnsi="Arial" w:cs="Arial"/>
          <w:sz w:val="18"/>
          <w:szCs w:val="18"/>
        </w:rPr>
        <w:t>,</w:t>
      </w:r>
      <w:r w:rsidR="005929BB">
        <w:rPr>
          <w:rFonts w:ascii="Arial" w:hAnsi="Arial" w:cs="Arial"/>
          <w:sz w:val="18"/>
          <w:szCs w:val="18"/>
        </w:rPr>
        <w:t>78</w:t>
      </w:r>
      <w:r w:rsidR="00F138AE">
        <w:rPr>
          <w:rFonts w:ascii="Arial" w:hAnsi="Arial" w:cs="Arial"/>
          <w:sz w:val="18"/>
          <w:szCs w:val="18"/>
        </w:rPr>
        <w:t>,</w:t>
      </w:r>
      <w:r w:rsidR="005929BB">
        <w:rPr>
          <w:rFonts w:ascii="Arial" w:hAnsi="Arial" w:cs="Arial"/>
          <w:sz w:val="18"/>
          <w:szCs w:val="18"/>
        </w:rPr>
        <w:t>514</w:t>
      </w:r>
      <w:r w:rsidR="00F138AE">
        <w:rPr>
          <w:rFonts w:ascii="Arial" w:hAnsi="Arial" w:cs="Arial"/>
          <w:sz w:val="18"/>
          <w:szCs w:val="18"/>
        </w:rPr>
        <w:t xml:space="preserve"> respecto al</w:t>
      </w:r>
      <w:r>
        <w:rPr>
          <w:rFonts w:ascii="Arial" w:hAnsi="Arial" w:cs="Arial"/>
          <w:sz w:val="18"/>
          <w:szCs w:val="18"/>
        </w:rPr>
        <w:t xml:space="preserve"> ejercicio de 202</w:t>
      </w:r>
      <w:r w:rsidR="00E328A2">
        <w:rPr>
          <w:rFonts w:ascii="Arial" w:hAnsi="Arial" w:cs="Arial"/>
          <w:sz w:val="18"/>
          <w:szCs w:val="18"/>
        </w:rPr>
        <w:t>4</w:t>
      </w:r>
      <w:r w:rsidR="005D2EA7">
        <w:rPr>
          <w:rFonts w:ascii="Arial" w:hAnsi="Arial" w:cs="Arial"/>
          <w:sz w:val="18"/>
          <w:szCs w:val="18"/>
        </w:rPr>
        <w:t>.</w:t>
      </w:r>
    </w:p>
    <w:p w14:paraId="72DB026F" w14:textId="34B240D4" w:rsidR="008C10B0" w:rsidRPr="0073056A" w:rsidRDefault="008C10B0" w:rsidP="008C10B0">
      <w:pPr>
        <w:tabs>
          <w:tab w:val="left" w:pos="284"/>
        </w:tabs>
        <w:ind w:left="284"/>
        <w:jc w:val="both"/>
        <w:rPr>
          <w:rFonts w:ascii="Arial" w:hAnsi="Arial" w:cs="Arial"/>
          <w:sz w:val="18"/>
          <w:szCs w:val="18"/>
        </w:rPr>
      </w:pPr>
      <w:r>
        <w:rPr>
          <w:rFonts w:ascii="Arial" w:hAnsi="Arial" w:cs="Arial"/>
          <w:sz w:val="18"/>
          <w:szCs w:val="18"/>
        </w:rPr>
        <w:lastRenderedPageBreak/>
        <w:t>El saldo de $2</w:t>
      </w:r>
      <w:r w:rsidR="005D2EA7">
        <w:rPr>
          <w:rFonts w:ascii="Arial" w:hAnsi="Arial" w:cs="Arial"/>
          <w:sz w:val="18"/>
          <w:szCs w:val="18"/>
        </w:rPr>
        <w:t>51</w:t>
      </w:r>
      <w:r>
        <w:rPr>
          <w:rFonts w:ascii="Arial" w:hAnsi="Arial" w:cs="Arial"/>
          <w:sz w:val="18"/>
          <w:szCs w:val="18"/>
        </w:rPr>
        <w:t>,</w:t>
      </w:r>
      <w:r w:rsidR="005D2EA7">
        <w:rPr>
          <w:rFonts w:ascii="Arial" w:hAnsi="Arial" w:cs="Arial"/>
          <w:sz w:val="18"/>
          <w:szCs w:val="18"/>
        </w:rPr>
        <w:t>777</w:t>
      </w:r>
      <w:r>
        <w:rPr>
          <w:rFonts w:ascii="Arial" w:hAnsi="Arial" w:cs="Arial"/>
          <w:sz w:val="18"/>
          <w:szCs w:val="18"/>
        </w:rPr>
        <w:t>,</w:t>
      </w:r>
      <w:r w:rsidR="005D2EA7">
        <w:rPr>
          <w:rFonts w:ascii="Arial" w:hAnsi="Arial" w:cs="Arial"/>
          <w:sz w:val="18"/>
          <w:szCs w:val="18"/>
        </w:rPr>
        <w:t>7</w:t>
      </w:r>
      <w:r>
        <w:rPr>
          <w:rFonts w:ascii="Arial" w:hAnsi="Arial" w:cs="Arial"/>
          <w:sz w:val="18"/>
          <w:szCs w:val="18"/>
        </w:rPr>
        <w:t xml:space="preserve">80 </w:t>
      </w:r>
      <w:r w:rsidRPr="0073056A">
        <w:rPr>
          <w:rFonts w:ascii="Arial" w:hAnsi="Arial" w:cs="Arial"/>
          <w:sz w:val="18"/>
          <w:szCs w:val="18"/>
        </w:rPr>
        <w:t xml:space="preserve">lo </w:t>
      </w:r>
      <w:r>
        <w:rPr>
          <w:rFonts w:ascii="Arial" w:hAnsi="Arial" w:cs="Arial"/>
          <w:sz w:val="18"/>
          <w:szCs w:val="18"/>
        </w:rPr>
        <w:t>integran</w:t>
      </w:r>
      <w:r w:rsidRPr="0073056A">
        <w:rPr>
          <w:rFonts w:ascii="Arial" w:hAnsi="Arial" w:cs="Arial"/>
          <w:sz w:val="18"/>
          <w:szCs w:val="18"/>
        </w:rPr>
        <w:t xml:space="preserve"> activos </w:t>
      </w:r>
      <w:r>
        <w:rPr>
          <w:rFonts w:ascii="Arial" w:hAnsi="Arial" w:cs="Arial"/>
          <w:sz w:val="18"/>
          <w:szCs w:val="18"/>
        </w:rPr>
        <w:t xml:space="preserve">intangibles </w:t>
      </w:r>
      <w:r w:rsidRPr="0073056A">
        <w:rPr>
          <w:rFonts w:ascii="Arial" w:hAnsi="Arial" w:cs="Arial"/>
          <w:sz w:val="18"/>
          <w:szCs w:val="18"/>
        </w:rPr>
        <w:t>propiedad del Gobierno del Estado, constituidos</w:t>
      </w:r>
      <w:r>
        <w:rPr>
          <w:rFonts w:ascii="Arial" w:hAnsi="Arial" w:cs="Arial"/>
          <w:sz w:val="18"/>
          <w:szCs w:val="18"/>
        </w:rPr>
        <w:t xml:space="preserve"> en su totalidad </w:t>
      </w:r>
      <w:r w:rsidRPr="0073056A">
        <w:rPr>
          <w:rFonts w:ascii="Arial" w:hAnsi="Arial" w:cs="Arial"/>
          <w:sz w:val="18"/>
          <w:szCs w:val="18"/>
        </w:rPr>
        <w:t>por software</w:t>
      </w:r>
      <w:r>
        <w:rPr>
          <w:rFonts w:ascii="Arial" w:hAnsi="Arial" w:cs="Arial"/>
          <w:sz w:val="18"/>
          <w:szCs w:val="18"/>
        </w:rPr>
        <w:t xml:space="preserve">, </w:t>
      </w:r>
      <w:r w:rsidR="0090039A">
        <w:rPr>
          <w:rFonts w:ascii="Arial" w:hAnsi="Arial" w:cs="Arial"/>
          <w:sz w:val="18"/>
          <w:szCs w:val="18"/>
        </w:rPr>
        <w:t xml:space="preserve">no </w:t>
      </w:r>
      <w:r>
        <w:rPr>
          <w:rFonts w:ascii="Arial" w:hAnsi="Arial" w:cs="Arial"/>
          <w:sz w:val="18"/>
          <w:szCs w:val="18"/>
        </w:rPr>
        <w:t>observándose variaci</w:t>
      </w:r>
      <w:r w:rsidR="0090039A">
        <w:rPr>
          <w:rFonts w:ascii="Arial" w:hAnsi="Arial" w:cs="Arial"/>
          <w:sz w:val="18"/>
          <w:szCs w:val="18"/>
        </w:rPr>
        <w:t>o</w:t>
      </w:r>
      <w:r>
        <w:rPr>
          <w:rFonts w:ascii="Arial" w:hAnsi="Arial" w:cs="Arial"/>
          <w:sz w:val="18"/>
          <w:szCs w:val="18"/>
        </w:rPr>
        <w:t>n</w:t>
      </w:r>
      <w:r w:rsidR="0090039A">
        <w:rPr>
          <w:rFonts w:ascii="Arial" w:hAnsi="Arial" w:cs="Arial"/>
          <w:sz w:val="18"/>
          <w:szCs w:val="18"/>
        </w:rPr>
        <w:t>es</w:t>
      </w:r>
      <w:r>
        <w:rPr>
          <w:rFonts w:ascii="Arial" w:hAnsi="Arial" w:cs="Arial"/>
          <w:sz w:val="18"/>
          <w:szCs w:val="18"/>
        </w:rPr>
        <w:t xml:space="preserve"> en relación al ejercicio de 202</w:t>
      </w:r>
      <w:r w:rsidR="0090039A">
        <w:rPr>
          <w:rFonts w:ascii="Arial" w:hAnsi="Arial" w:cs="Arial"/>
          <w:sz w:val="18"/>
          <w:szCs w:val="18"/>
        </w:rPr>
        <w:t>4</w:t>
      </w:r>
      <w:r w:rsidRPr="00137E93">
        <w:rPr>
          <w:rFonts w:ascii="Arial" w:hAnsi="Arial" w:cs="Arial"/>
          <w:sz w:val="18"/>
          <w:szCs w:val="18"/>
        </w:rPr>
        <w:t>.</w:t>
      </w:r>
    </w:p>
    <w:p w14:paraId="382B8FAF" w14:textId="77777777" w:rsidR="008C10B0" w:rsidRDefault="008C10B0" w:rsidP="008C10B0">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14:paraId="7A33FBD8" w14:textId="77777777" w:rsidR="008C10B0" w:rsidRPr="00FB6E0E" w:rsidRDefault="008C10B0" w:rsidP="008C10B0">
      <w:pPr>
        <w:tabs>
          <w:tab w:val="left" w:pos="284"/>
        </w:tabs>
        <w:ind w:left="284"/>
        <w:jc w:val="both"/>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14:paraId="3751946A"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14:paraId="4FB78597" w14:textId="77777777" w:rsidR="008C10B0" w:rsidRPr="0073056A" w:rsidRDefault="008C10B0" w:rsidP="008C10B0">
      <w:pPr>
        <w:pStyle w:val="ROMANOS"/>
        <w:tabs>
          <w:tab w:val="clear" w:pos="720"/>
          <w:tab w:val="left" w:pos="284"/>
        </w:tabs>
        <w:spacing w:after="0" w:line="276" w:lineRule="auto"/>
        <w:ind w:left="284" w:firstLine="0"/>
        <w:rPr>
          <w:b/>
          <w:lang w:val="es-MX"/>
        </w:rPr>
      </w:pPr>
      <w:r w:rsidRPr="0073056A">
        <w:rPr>
          <w:b/>
          <w:lang w:val="es-MX"/>
        </w:rPr>
        <w:t>Otros Activos</w:t>
      </w:r>
    </w:p>
    <w:p w14:paraId="4E8CDEF3" w14:textId="26A16124" w:rsidR="008C10B0" w:rsidRPr="0073056A" w:rsidRDefault="008C10B0" w:rsidP="008C10B0">
      <w:pPr>
        <w:tabs>
          <w:tab w:val="left" w:pos="284"/>
        </w:tabs>
        <w:ind w:left="284"/>
        <w:jc w:val="both"/>
        <w:rPr>
          <w:rFonts w:ascii="Arial" w:hAnsi="Arial" w:cs="Arial"/>
          <w:sz w:val="18"/>
          <w:szCs w:val="18"/>
        </w:rPr>
      </w:pPr>
      <w:r>
        <w:rPr>
          <w:rFonts w:ascii="Arial" w:hAnsi="Arial" w:cs="Arial"/>
          <w:sz w:val="18"/>
          <w:szCs w:val="18"/>
        </w:rPr>
        <w:t xml:space="preserve">Al mes de </w:t>
      </w:r>
      <w:r w:rsidR="005D2EA7">
        <w:rPr>
          <w:rFonts w:ascii="Arial" w:hAnsi="Arial" w:cs="Arial"/>
          <w:sz w:val="18"/>
          <w:szCs w:val="18"/>
        </w:rPr>
        <w:t>juni</w:t>
      </w:r>
      <w:r w:rsidR="0090039A">
        <w:rPr>
          <w:rFonts w:ascii="Arial" w:hAnsi="Arial" w:cs="Arial"/>
          <w:sz w:val="18"/>
          <w:szCs w:val="18"/>
        </w:rPr>
        <w:t>o</w:t>
      </w:r>
      <w:r>
        <w:rPr>
          <w:rFonts w:ascii="Arial" w:hAnsi="Arial" w:cs="Arial"/>
          <w:sz w:val="18"/>
          <w:szCs w:val="18"/>
        </w:rPr>
        <w:t xml:space="preserve"> del ejercicio 202</w:t>
      </w:r>
      <w:r w:rsidR="0090039A">
        <w:rPr>
          <w:rFonts w:ascii="Arial" w:hAnsi="Arial" w:cs="Arial"/>
          <w:sz w:val="18"/>
          <w:szCs w:val="18"/>
        </w:rPr>
        <w:t>5</w:t>
      </w:r>
      <w:r>
        <w:rPr>
          <w:rFonts w:ascii="Arial" w:hAnsi="Arial" w:cs="Arial"/>
          <w:sz w:val="18"/>
          <w:szCs w:val="18"/>
        </w:rPr>
        <w:t>, el Poder Ejecutivo no cuenta con Otros Activos.</w:t>
      </w:r>
    </w:p>
    <w:p w14:paraId="0D51FC1A" w14:textId="77777777" w:rsidR="008C10B0" w:rsidRPr="0073056A" w:rsidRDefault="008C10B0" w:rsidP="008C10B0">
      <w:pPr>
        <w:pStyle w:val="ROMANOS"/>
        <w:tabs>
          <w:tab w:val="clear" w:pos="720"/>
          <w:tab w:val="left" w:pos="284"/>
        </w:tabs>
        <w:spacing w:after="0" w:line="276" w:lineRule="auto"/>
        <w:ind w:left="284" w:firstLine="0"/>
        <w:rPr>
          <w:b/>
          <w:lang w:val="es-MX"/>
        </w:rPr>
      </w:pPr>
      <w:r w:rsidRPr="0073056A">
        <w:rPr>
          <w:b/>
          <w:lang w:val="es-MX"/>
        </w:rPr>
        <w:t>Pasivo</w:t>
      </w:r>
    </w:p>
    <w:p w14:paraId="1D413389" w14:textId="77777777" w:rsidR="008C10B0" w:rsidRPr="0073056A" w:rsidRDefault="008C10B0" w:rsidP="008C10B0">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14:paraId="6962CA2F" w14:textId="77777777" w:rsidR="008C10B0" w:rsidRPr="0073056A" w:rsidRDefault="008C10B0" w:rsidP="008C10B0">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14:paraId="0DF36EDA" w14:textId="1CB43D30" w:rsidR="008C10B0" w:rsidRDefault="008C10B0" w:rsidP="008C10B0">
      <w:pPr>
        <w:tabs>
          <w:tab w:val="left" w:pos="284"/>
        </w:tabs>
        <w:ind w:left="284"/>
        <w:jc w:val="both"/>
        <w:rPr>
          <w:rFonts w:ascii="Arial" w:hAnsi="Arial" w:cs="Arial"/>
          <w:sz w:val="18"/>
          <w:szCs w:val="18"/>
        </w:rPr>
      </w:pPr>
      <w:r>
        <w:rPr>
          <w:rFonts w:ascii="Arial" w:hAnsi="Arial" w:cs="Arial"/>
          <w:sz w:val="18"/>
          <w:szCs w:val="18"/>
        </w:rPr>
        <w:t>El saldo de $</w:t>
      </w:r>
      <w:r w:rsidR="0090039A">
        <w:rPr>
          <w:rFonts w:ascii="Arial" w:hAnsi="Arial" w:cs="Arial"/>
          <w:sz w:val="18"/>
          <w:szCs w:val="18"/>
        </w:rPr>
        <w:t>2</w:t>
      </w:r>
      <w:r>
        <w:rPr>
          <w:rFonts w:ascii="Arial" w:hAnsi="Arial" w:cs="Arial"/>
          <w:sz w:val="18"/>
          <w:szCs w:val="18"/>
        </w:rPr>
        <w:t>,</w:t>
      </w:r>
      <w:r w:rsidR="005D2EA7">
        <w:rPr>
          <w:rFonts w:ascii="Arial" w:hAnsi="Arial" w:cs="Arial"/>
          <w:sz w:val="18"/>
          <w:szCs w:val="18"/>
        </w:rPr>
        <w:t>282</w:t>
      </w:r>
      <w:r>
        <w:rPr>
          <w:rFonts w:ascii="Arial" w:hAnsi="Arial" w:cs="Arial"/>
          <w:sz w:val="18"/>
          <w:szCs w:val="18"/>
        </w:rPr>
        <w:t>,</w:t>
      </w:r>
      <w:r w:rsidR="0090039A">
        <w:rPr>
          <w:rFonts w:ascii="Arial" w:hAnsi="Arial" w:cs="Arial"/>
          <w:sz w:val="18"/>
          <w:szCs w:val="18"/>
        </w:rPr>
        <w:t>0</w:t>
      </w:r>
      <w:r w:rsidR="005D2EA7">
        <w:rPr>
          <w:rFonts w:ascii="Arial" w:hAnsi="Arial" w:cs="Arial"/>
          <w:sz w:val="18"/>
          <w:szCs w:val="18"/>
        </w:rPr>
        <w:t>67</w:t>
      </w:r>
      <w:r>
        <w:rPr>
          <w:rFonts w:ascii="Arial" w:hAnsi="Arial" w:cs="Arial"/>
          <w:sz w:val="18"/>
          <w:szCs w:val="18"/>
        </w:rPr>
        <w:t>,</w:t>
      </w:r>
      <w:r w:rsidR="005D2EA7">
        <w:rPr>
          <w:rFonts w:ascii="Arial" w:hAnsi="Arial" w:cs="Arial"/>
          <w:sz w:val="18"/>
          <w:szCs w:val="18"/>
        </w:rPr>
        <w:t>22</w:t>
      </w:r>
      <w:r w:rsidR="0090039A">
        <w:rPr>
          <w:rFonts w:ascii="Arial" w:hAnsi="Arial" w:cs="Arial"/>
          <w:sz w:val="18"/>
          <w:szCs w:val="18"/>
        </w:rPr>
        <w:t>2</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r>
        <w:rPr>
          <w:rFonts w:ascii="Arial" w:hAnsi="Arial" w:cs="Arial"/>
          <w:sz w:val="18"/>
          <w:szCs w:val="18"/>
        </w:rPr>
        <w:t xml:space="preserve"> En este rubro se tiene un </w:t>
      </w:r>
      <w:r w:rsidR="0090039A">
        <w:rPr>
          <w:rFonts w:ascii="Arial" w:hAnsi="Arial" w:cs="Arial"/>
          <w:sz w:val="18"/>
          <w:szCs w:val="18"/>
        </w:rPr>
        <w:t>de</w:t>
      </w:r>
      <w:r>
        <w:rPr>
          <w:rFonts w:ascii="Arial" w:hAnsi="Arial" w:cs="Arial"/>
          <w:sz w:val="18"/>
          <w:szCs w:val="18"/>
        </w:rPr>
        <w:t xml:space="preserve">cremento del </w:t>
      </w:r>
      <w:r w:rsidR="005D2EA7">
        <w:rPr>
          <w:rFonts w:ascii="Arial" w:hAnsi="Arial" w:cs="Arial"/>
          <w:sz w:val="18"/>
          <w:szCs w:val="18"/>
        </w:rPr>
        <w:t>25</w:t>
      </w:r>
      <w:r>
        <w:rPr>
          <w:rFonts w:ascii="Arial" w:hAnsi="Arial" w:cs="Arial"/>
          <w:sz w:val="18"/>
          <w:szCs w:val="18"/>
        </w:rPr>
        <w:t>% respecto del ejercicio 202</w:t>
      </w:r>
      <w:r w:rsidR="0090039A">
        <w:rPr>
          <w:rFonts w:ascii="Arial" w:hAnsi="Arial" w:cs="Arial"/>
          <w:sz w:val="18"/>
          <w:szCs w:val="18"/>
        </w:rPr>
        <w:t>4</w:t>
      </w:r>
      <w:r>
        <w:rPr>
          <w:rFonts w:ascii="Arial" w:hAnsi="Arial" w:cs="Arial"/>
          <w:sz w:val="18"/>
          <w:szCs w:val="18"/>
        </w:rPr>
        <w:t>.</w:t>
      </w:r>
    </w:p>
    <w:p w14:paraId="4EF06BC0" w14:textId="77777777" w:rsidR="008C10B0" w:rsidRPr="0073056A" w:rsidRDefault="008C10B0" w:rsidP="008C10B0">
      <w:pPr>
        <w:pStyle w:val="INCISO"/>
        <w:tabs>
          <w:tab w:val="left" w:pos="284"/>
        </w:tabs>
        <w:spacing w:after="0" w:line="276" w:lineRule="auto"/>
        <w:ind w:left="284" w:firstLine="0"/>
        <w:rPr>
          <w:b/>
          <w:smallCaps/>
        </w:rPr>
      </w:pPr>
      <w:r w:rsidRPr="00891820">
        <w:rPr>
          <w:b/>
          <w:smallCaps/>
        </w:rPr>
        <w:t>III)</w:t>
      </w:r>
      <w:r w:rsidRPr="00891820">
        <w:rPr>
          <w:b/>
          <w:smallCaps/>
        </w:rPr>
        <w:tab/>
        <w:t>Notas al Estado de Variación en la Hacienda Pública</w:t>
      </w:r>
    </w:p>
    <w:p w14:paraId="78627452" w14:textId="77777777" w:rsidR="008C10B0" w:rsidRPr="0073056A" w:rsidRDefault="008C10B0" w:rsidP="008C10B0">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14:paraId="74156A3E" w14:textId="77777777" w:rsidR="008C10B0" w:rsidRDefault="008C10B0" w:rsidP="008C10B0">
      <w:pPr>
        <w:tabs>
          <w:tab w:val="left" w:pos="284"/>
        </w:tabs>
        <w:spacing w:after="0"/>
        <w:ind w:left="284"/>
        <w:jc w:val="both"/>
        <w:rPr>
          <w:rFonts w:ascii="Arial" w:hAnsi="Arial" w:cs="Arial"/>
          <w:b/>
          <w:sz w:val="18"/>
          <w:szCs w:val="18"/>
        </w:rPr>
      </w:pPr>
    </w:p>
    <w:p w14:paraId="7499C17C"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Pr>
          <w:rFonts w:ascii="Arial" w:hAnsi="Arial" w:cs="Arial"/>
          <w:b/>
          <w:sz w:val="18"/>
          <w:szCs w:val="18"/>
        </w:rPr>
        <w:t>Generado</w:t>
      </w:r>
    </w:p>
    <w:p w14:paraId="49A0A0B7" w14:textId="380A886E" w:rsidR="008C10B0" w:rsidRDefault="008C10B0" w:rsidP="008C10B0">
      <w:pPr>
        <w:ind w:left="284"/>
        <w:jc w:val="both"/>
        <w:rPr>
          <w:rFonts w:ascii="Arial" w:eastAsia="Times New Roman" w:hAnsi="Arial" w:cs="Arial"/>
          <w:bCs/>
          <w:sz w:val="18"/>
          <w:szCs w:val="18"/>
          <w:lang w:eastAsia="es-MX"/>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mes de </w:t>
      </w:r>
      <w:r w:rsidR="005D2EA7">
        <w:rPr>
          <w:rFonts w:ascii="Arial" w:hAnsi="Arial" w:cs="Arial"/>
          <w:sz w:val="18"/>
          <w:szCs w:val="18"/>
        </w:rPr>
        <w:t>juni</w:t>
      </w:r>
      <w:r w:rsidR="00750AF2">
        <w:rPr>
          <w:rFonts w:ascii="Arial" w:hAnsi="Arial" w:cs="Arial"/>
          <w:sz w:val="18"/>
          <w:szCs w:val="18"/>
        </w:rPr>
        <w:t>o</w:t>
      </w:r>
      <w:r>
        <w:rPr>
          <w:rFonts w:ascii="Arial" w:hAnsi="Arial" w:cs="Arial"/>
          <w:sz w:val="18"/>
          <w:szCs w:val="18"/>
        </w:rPr>
        <w:t xml:space="preserve"> de 202</w:t>
      </w:r>
      <w:r w:rsidR="00750AF2">
        <w:rPr>
          <w:rFonts w:ascii="Arial" w:hAnsi="Arial" w:cs="Arial"/>
          <w:sz w:val="18"/>
          <w:szCs w:val="18"/>
        </w:rPr>
        <w:t>5</w:t>
      </w:r>
      <w:r>
        <w:rPr>
          <w:rFonts w:ascii="Arial" w:hAnsi="Arial" w:cs="Arial"/>
          <w:sz w:val="18"/>
          <w:szCs w:val="18"/>
        </w:rPr>
        <w:t xml:space="preserve"> </w:t>
      </w:r>
      <w:r w:rsidRPr="0073056A">
        <w:rPr>
          <w:rFonts w:ascii="Arial" w:hAnsi="Arial" w:cs="Arial"/>
          <w:sz w:val="18"/>
          <w:szCs w:val="18"/>
        </w:rPr>
        <w:t>es por la cantidad de $</w:t>
      </w:r>
      <w:r w:rsidR="005D2EA7">
        <w:rPr>
          <w:rFonts w:ascii="Arial" w:hAnsi="Arial" w:cs="Arial"/>
          <w:sz w:val="18"/>
          <w:szCs w:val="18"/>
        </w:rPr>
        <w:t>2</w:t>
      </w:r>
      <w:r>
        <w:rPr>
          <w:rFonts w:ascii="Arial" w:hAnsi="Arial" w:cs="Arial"/>
          <w:sz w:val="18"/>
          <w:szCs w:val="18"/>
        </w:rPr>
        <w:t>,</w:t>
      </w:r>
      <w:r w:rsidR="00750AF2">
        <w:rPr>
          <w:rFonts w:ascii="Arial" w:hAnsi="Arial" w:cs="Arial"/>
          <w:sz w:val="18"/>
          <w:szCs w:val="18"/>
        </w:rPr>
        <w:t>7</w:t>
      </w:r>
      <w:r w:rsidR="005D2EA7">
        <w:rPr>
          <w:rFonts w:ascii="Arial" w:hAnsi="Arial" w:cs="Arial"/>
          <w:sz w:val="18"/>
          <w:szCs w:val="18"/>
        </w:rPr>
        <w:t>20</w:t>
      </w:r>
      <w:r>
        <w:rPr>
          <w:rFonts w:ascii="Arial" w:eastAsia="Times New Roman" w:hAnsi="Arial" w:cs="Arial"/>
          <w:bCs/>
          <w:sz w:val="18"/>
          <w:szCs w:val="18"/>
          <w:lang w:eastAsia="es-MX"/>
        </w:rPr>
        <w:t>,</w:t>
      </w:r>
      <w:r w:rsidR="005D2EA7">
        <w:rPr>
          <w:rFonts w:ascii="Arial" w:eastAsia="Times New Roman" w:hAnsi="Arial" w:cs="Arial"/>
          <w:bCs/>
          <w:sz w:val="18"/>
          <w:szCs w:val="18"/>
          <w:lang w:eastAsia="es-MX"/>
        </w:rPr>
        <w:t>206</w:t>
      </w:r>
      <w:r>
        <w:rPr>
          <w:rFonts w:ascii="Arial" w:eastAsia="Times New Roman" w:hAnsi="Arial" w:cs="Arial"/>
          <w:bCs/>
          <w:sz w:val="18"/>
          <w:szCs w:val="18"/>
          <w:lang w:eastAsia="es-MX"/>
        </w:rPr>
        <w:t>,</w:t>
      </w:r>
      <w:r w:rsidR="005D2EA7">
        <w:rPr>
          <w:rFonts w:ascii="Arial" w:eastAsia="Times New Roman" w:hAnsi="Arial" w:cs="Arial"/>
          <w:bCs/>
          <w:sz w:val="18"/>
          <w:szCs w:val="18"/>
          <w:lang w:eastAsia="es-MX"/>
        </w:rPr>
        <w:t>677</w:t>
      </w:r>
      <w:r>
        <w:rPr>
          <w:rFonts w:ascii="Arial" w:eastAsia="Times New Roman" w:hAnsi="Arial" w:cs="Arial"/>
          <w:bCs/>
          <w:sz w:val="18"/>
          <w:szCs w:val="18"/>
          <w:lang w:eastAsia="es-MX"/>
        </w:rPr>
        <w:t>.</w:t>
      </w:r>
    </w:p>
    <w:p w14:paraId="32427143" w14:textId="77777777" w:rsidR="008C10B0" w:rsidRDefault="008C10B0" w:rsidP="008C10B0">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14:paraId="39FFD694" w14:textId="77777777" w:rsidR="008C10B0" w:rsidRDefault="008C10B0" w:rsidP="008C10B0">
      <w:pPr>
        <w:pStyle w:val="INCISO"/>
        <w:tabs>
          <w:tab w:val="left" w:pos="284"/>
        </w:tabs>
        <w:spacing w:after="0" w:line="276" w:lineRule="auto"/>
        <w:ind w:left="284" w:firstLine="0"/>
        <w:rPr>
          <w:b/>
          <w:smallCaps/>
        </w:rPr>
      </w:pPr>
    </w:p>
    <w:p w14:paraId="26D7D14C" w14:textId="77777777" w:rsidR="008C10B0" w:rsidRPr="0073056A" w:rsidRDefault="008C10B0" w:rsidP="008C10B0">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Pr>
          <w:b/>
          <w:smallCaps/>
        </w:rPr>
        <w:tab/>
      </w:r>
      <w:r>
        <w:rPr>
          <w:b/>
          <w:smallCaps/>
        </w:rPr>
        <w:tab/>
      </w:r>
      <w:r>
        <w:rPr>
          <w:b/>
          <w:smallCaps/>
        </w:rPr>
        <w:tab/>
      </w:r>
      <w:r>
        <w:rPr>
          <w:b/>
          <w:smallCaps/>
        </w:rPr>
        <w:tab/>
      </w:r>
      <w:r>
        <w:rPr>
          <w:b/>
          <w:smallCaps/>
        </w:rPr>
        <w:tab/>
      </w:r>
      <w:r>
        <w:rPr>
          <w:b/>
          <w:smallCaps/>
        </w:rPr>
        <w:tab/>
      </w:r>
      <w:r>
        <w:rPr>
          <w:b/>
          <w:smallCaps/>
        </w:rPr>
        <w:tab/>
      </w:r>
      <w:r>
        <w:rPr>
          <w:b/>
          <w:smallCaps/>
        </w:rPr>
        <w:tab/>
      </w:r>
      <w:r>
        <w:rPr>
          <w:b/>
          <w:smallCaps/>
        </w:rPr>
        <w:tab/>
      </w:r>
      <w:r>
        <w:rPr>
          <w:b/>
          <w:smallCaps/>
        </w:rPr>
        <w:tab/>
      </w:r>
    </w:p>
    <w:p w14:paraId="408508CE" w14:textId="6996EAFE" w:rsidR="008C10B0" w:rsidRPr="005C02A4" w:rsidRDefault="008C10B0" w:rsidP="008C10B0">
      <w:pPr>
        <w:pStyle w:val="ROMANOS"/>
        <w:tabs>
          <w:tab w:val="clear" w:pos="720"/>
          <w:tab w:val="left" w:pos="284"/>
        </w:tabs>
        <w:spacing w:after="0" w:line="276" w:lineRule="auto"/>
        <w:ind w:left="284" w:firstLine="0"/>
        <w:rPr>
          <w:lang w:val="es-MX"/>
        </w:rPr>
      </w:pPr>
      <w:r>
        <w:rPr>
          <w:lang w:val="es-MX"/>
        </w:rPr>
        <w:t>Muestra l</w:t>
      </w:r>
      <w:r w:rsidRPr="005C02A4">
        <w:rPr>
          <w:lang w:val="es-MX"/>
        </w:rPr>
        <w:t>a información sobre los cambios en el efectivo y equivalentes</w:t>
      </w:r>
      <w:r>
        <w:rPr>
          <w:lang w:val="es-MX"/>
        </w:rPr>
        <w:t>, considerando que s</w:t>
      </w:r>
      <w:r w:rsidRPr="005C02A4">
        <w:rPr>
          <w:lang w:val="es-MX"/>
        </w:rPr>
        <w:t>on inversiones a corto plazo de gran liquidez que se mantienen para cumplir los compromisos de pago a corto plazo</w:t>
      </w:r>
      <w:r>
        <w:rPr>
          <w:lang w:val="es-MX"/>
        </w:rPr>
        <w:t xml:space="preserve"> a cargo del Poder Ejecutivo</w:t>
      </w:r>
      <w:r w:rsidRPr="005C02A4">
        <w:rPr>
          <w:lang w:val="es-MX"/>
        </w:rPr>
        <w:t xml:space="preserve"> que se informa mostrando por separado los cambios según proceda</w:t>
      </w:r>
      <w:r>
        <w:rPr>
          <w:lang w:val="es-MX"/>
        </w:rPr>
        <w:t>, reflejando un importe de $</w:t>
      </w:r>
      <w:r w:rsidR="005D2EA7">
        <w:rPr>
          <w:lang w:val="es-MX"/>
        </w:rPr>
        <w:t>1,771</w:t>
      </w:r>
      <w:r w:rsidR="00AA526E">
        <w:rPr>
          <w:lang w:val="es-MX"/>
        </w:rPr>
        <w:t>,</w:t>
      </w:r>
      <w:r w:rsidR="005D2EA7">
        <w:rPr>
          <w:lang w:val="es-MX"/>
        </w:rPr>
        <w:t>212</w:t>
      </w:r>
      <w:r w:rsidR="00AA526E">
        <w:rPr>
          <w:lang w:val="es-MX"/>
        </w:rPr>
        <w:t>,</w:t>
      </w:r>
      <w:r w:rsidR="005D2EA7">
        <w:rPr>
          <w:lang w:val="es-MX"/>
        </w:rPr>
        <w:t>433</w:t>
      </w:r>
      <w:r>
        <w:rPr>
          <w:lang w:val="es-MX"/>
        </w:rPr>
        <w:t xml:space="preserve"> mismo que se integra por:</w:t>
      </w:r>
    </w:p>
    <w:p w14:paraId="4AAFA984" w14:textId="77777777" w:rsidR="008C10B0" w:rsidRDefault="008C10B0" w:rsidP="008C10B0">
      <w:pPr>
        <w:pStyle w:val="ROMANOS"/>
        <w:tabs>
          <w:tab w:val="clear" w:pos="720"/>
          <w:tab w:val="left" w:pos="284"/>
        </w:tabs>
        <w:spacing w:after="0" w:line="276" w:lineRule="auto"/>
        <w:ind w:left="284" w:firstLine="0"/>
        <w:rPr>
          <w:b/>
          <w:lang w:val="es-MX"/>
        </w:rPr>
      </w:pPr>
    </w:p>
    <w:p w14:paraId="50070F42" w14:textId="77777777" w:rsidR="008C10B0" w:rsidRPr="005C02A4" w:rsidRDefault="008C10B0" w:rsidP="008C10B0">
      <w:pPr>
        <w:pStyle w:val="ROMANOS"/>
        <w:tabs>
          <w:tab w:val="clear" w:pos="720"/>
          <w:tab w:val="left" w:pos="284"/>
        </w:tabs>
        <w:spacing w:after="0" w:line="276" w:lineRule="auto"/>
        <w:ind w:left="284" w:firstLine="0"/>
        <w:rPr>
          <w:b/>
          <w:lang w:val="es-MX"/>
        </w:rPr>
      </w:pPr>
      <w:r w:rsidRPr="005C02A4">
        <w:rPr>
          <w:b/>
          <w:lang w:val="es-MX"/>
        </w:rPr>
        <w:t>Actividades de Operación.</w:t>
      </w:r>
    </w:p>
    <w:p w14:paraId="39E13CCE" w14:textId="10E19A11" w:rsidR="008C10B0" w:rsidRDefault="008C10B0" w:rsidP="008C10B0">
      <w:pPr>
        <w:pStyle w:val="ROMANOS"/>
        <w:tabs>
          <w:tab w:val="clear" w:pos="720"/>
          <w:tab w:val="left" w:pos="284"/>
        </w:tabs>
        <w:spacing w:after="0" w:line="276" w:lineRule="auto"/>
        <w:ind w:left="284" w:firstLine="0"/>
        <w:rPr>
          <w:lang w:val="es-MX"/>
        </w:rPr>
      </w:pPr>
      <w:r>
        <w:rPr>
          <w:lang w:val="es-MX"/>
        </w:rPr>
        <w:t>Son las actividades que constituyen la principal fuente de ingresos de actividades ordinarias, destinadas a pagos a proveedores y empleados, reflejando un importe de $</w:t>
      </w:r>
      <w:r w:rsidR="005D2EA7">
        <w:rPr>
          <w:lang w:val="es-MX"/>
        </w:rPr>
        <w:t>2</w:t>
      </w:r>
      <w:r>
        <w:rPr>
          <w:lang w:val="es-MX"/>
        </w:rPr>
        <w:t>,</w:t>
      </w:r>
      <w:r w:rsidR="005D2EA7">
        <w:rPr>
          <w:lang w:val="es-MX"/>
        </w:rPr>
        <w:t>897</w:t>
      </w:r>
      <w:r>
        <w:rPr>
          <w:lang w:val="es-MX"/>
        </w:rPr>
        <w:t>,</w:t>
      </w:r>
      <w:r w:rsidR="005D2EA7">
        <w:rPr>
          <w:lang w:val="es-MX"/>
        </w:rPr>
        <w:t>916</w:t>
      </w:r>
      <w:r>
        <w:rPr>
          <w:lang w:val="es-MX"/>
        </w:rPr>
        <w:t>,</w:t>
      </w:r>
      <w:r w:rsidR="005D2EA7">
        <w:rPr>
          <w:lang w:val="es-MX"/>
        </w:rPr>
        <w:t>808</w:t>
      </w:r>
      <w:r>
        <w:rPr>
          <w:lang w:val="es-MX"/>
        </w:rPr>
        <w:t>.</w:t>
      </w:r>
    </w:p>
    <w:p w14:paraId="10E67EE9" w14:textId="77777777" w:rsidR="008C10B0" w:rsidRDefault="008C10B0" w:rsidP="008C10B0">
      <w:pPr>
        <w:pStyle w:val="ROMANOS"/>
        <w:tabs>
          <w:tab w:val="clear" w:pos="720"/>
          <w:tab w:val="left" w:pos="284"/>
        </w:tabs>
        <w:spacing w:after="0" w:line="276" w:lineRule="auto"/>
        <w:ind w:left="284" w:firstLine="0"/>
        <w:rPr>
          <w:b/>
          <w:lang w:val="es-MX"/>
        </w:rPr>
      </w:pPr>
    </w:p>
    <w:p w14:paraId="759F5C7A" w14:textId="77777777" w:rsidR="008C10B0" w:rsidRPr="00D71A33" w:rsidRDefault="008C10B0" w:rsidP="008C10B0">
      <w:pPr>
        <w:pStyle w:val="ROMANOS"/>
        <w:tabs>
          <w:tab w:val="clear" w:pos="720"/>
          <w:tab w:val="left" w:pos="284"/>
        </w:tabs>
        <w:spacing w:after="0" w:line="276" w:lineRule="auto"/>
        <w:ind w:left="284" w:firstLine="0"/>
        <w:rPr>
          <w:b/>
          <w:lang w:val="es-MX"/>
        </w:rPr>
      </w:pPr>
      <w:r w:rsidRPr="00D71A33">
        <w:rPr>
          <w:b/>
          <w:lang w:val="es-MX"/>
        </w:rPr>
        <w:t>Actividades de Inversión</w:t>
      </w:r>
    </w:p>
    <w:p w14:paraId="7DAB981F" w14:textId="657D4D7D" w:rsidR="008C10B0" w:rsidRDefault="008C10B0" w:rsidP="008C10B0">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del mes de </w:t>
      </w:r>
      <w:r w:rsidR="00AA526E">
        <w:rPr>
          <w:lang w:val="es-MX"/>
        </w:rPr>
        <w:t>marzo</w:t>
      </w:r>
      <w:r>
        <w:rPr>
          <w:lang w:val="es-MX"/>
        </w:rPr>
        <w:t xml:space="preserve"> un importe de </w:t>
      </w:r>
      <w:r w:rsidRPr="004466A7">
        <w:rPr>
          <w:lang w:val="es-MX"/>
        </w:rPr>
        <w:t>$</w:t>
      </w:r>
      <w:r w:rsidR="005D2EA7">
        <w:rPr>
          <w:lang w:val="es-MX"/>
        </w:rPr>
        <w:t>9</w:t>
      </w:r>
      <w:r w:rsidR="00AA526E">
        <w:rPr>
          <w:lang w:val="es-MX"/>
        </w:rPr>
        <w:t>7</w:t>
      </w:r>
      <w:r w:rsidR="005D2EA7">
        <w:rPr>
          <w:lang w:val="es-MX"/>
        </w:rPr>
        <w:t>6</w:t>
      </w:r>
      <w:r>
        <w:rPr>
          <w:lang w:val="es-MX"/>
        </w:rPr>
        <w:t>,</w:t>
      </w:r>
      <w:r w:rsidR="005D2EA7">
        <w:rPr>
          <w:lang w:val="es-MX"/>
        </w:rPr>
        <w:t>740</w:t>
      </w:r>
      <w:r>
        <w:rPr>
          <w:lang w:val="es-MX"/>
        </w:rPr>
        <w:t>,</w:t>
      </w:r>
      <w:r w:rsidR="005D2EA7">
        <w:rPr>
          <w:lang w:val="es-MX"/>
        </w:rPr>
        <w:t>214</w:t>
      </w:r>
      <w:r>
        <w:rPr>
          <w:lang w:val="es-MX"/>
        </w:rPr>
        <w:t>.</w:t>
      </w:r>
    </w:p>
    <w:p w14:paraId="3AF7DB5E" w14:textId="77777777" w:rsidR="008C10B0" w:rsidRDefault="008C10B0" w:rsidP="008C10B0">
      <w:pPr>
        <w:pStyle w:val="ROMANOS"/>
        <w:tabs>
          <w:tab w:val="clear" w:pos="720"/>
          <w:tab w:val="left" w:pos="284"/>
        </w:tabs>
        <w:spacing w:after="0" w:line="276" w:lineRule="auto"/>
        <w:ind w:left="284" w:firstLine="0"/>
        <w:rPr>
          <w:b/>
          <w:lang w:val="es-MX"/>
        </w:rPr>
      </w:pPr>
    </w:p>
    <w:p w14:paraId="51A77399" w14:textId="77777777" w:rsidR="008C10B0" w:rsidRPr="00D71A33" w:rsidRDefault="008C10B0" w:rsidP="008C10B0">
      <w:pPr>
        <w:pStyle w:val="ROMANOS"/>
        <w:tabs>
          <w:tab w:val="clear" w:pos="720"/>
          <w:tab w:val="left" w:pos="284"/>
        </w:tabs>
        <w:spacing w:after="0" w:line="276" w:lineRule="auto"/>
        <w:ind w:left="284" w:firstLine="0"/>
        <w:rPr>
          <w:b/>
          <w:lang w:val="es-MX"/>
        </w:rPr>
      </w:pPr>
      <w:r w:rsidRPr="00D71A33">
        <w:rPr>
          <w:b/>
          <w:lang w:val="es-MX"/>
        </w:rPr>
        <w:t>Actividades de Financia</w:t>
      </w:r>
      <w:r>
        <w:rPr>
          <w:b/>
          <w:lang w:val="es-MX"/>
        </w:rPr>
        <w:t>miento</w:t>
      </w:r>
    </w:p>
    <w:p w14:paraId="200A953E" w14:textId="708FEC45" w:rsidR="008C10B0" w:rsidRDefault="008C10B0" w:rsidP="008C10B0">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 xml:space="preserve">también </w:t>
      </w:r>
      <w:r>
        <w:rPr>
          <w:lang w:val="es-MX"/>
        </w:rPr>
        <w:lastRenderedPageBreak/>
        <w:t>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 xml:space="preserve">refleja un saldo acumulado al </w:t>
      </w:r>
      <w:r>
        <w:rPr>
          <w:lang w:val="es-MX"/>
        </w:rPr>
        <w:t>3</w:t>
      </w:r>
      <w:r w:rsidR="00A6465D">
        <w:rPr>
          <w:lang w:val="es-MX"/>
        </w:rPr>
        <w:t>0</w:t>
      </w:r>
      <w:r w:rsidRPr="00DA18AC">
        <w:rPr>
          <w:lang w:val="es-MX"/>
        </w:rPr>
        <w:t xml:space="preserve"> de </w:t>
      </w:r>
      <w:r w:rsidR="00A6465D">
        <w:rPr>
          <w:lang w:val="es-MX"/>
        </w:rPr>
        <w:t>juni</w:t>
      </w:r>
      <w:r w:rsidR="00AA526E">
        <w:rPr>
          <w:lang w:val="es-MX"/>
        </w:rPr>
        <w:t>o</w:t>
      </w:r>
      <w:r w:rsidRPr="00DA18AC">
        <w:rPr>
          <w:lang w:val="es-MX"/>
        </w:rPr>
        <w:t xml:space="preserve"> de 20</w:t>
      </w:r>
      <w:r>
        <w:rPr>
          <w:lang w:val="es-MX"/>
        </w:rPr>
        <w:t>2</w:t>
      </w:r>
      <w:r w:rsidR="00AA526E">
        <w:rPr>
          <w:lang w:val="es-MX"/>
        </w:rPr>
        <w:t>5</w:t>
      </w:r>
      <w:r w:rsidRPr="00DA18AC">
        <w:rPr>
          <w:lang w:val="es-MX"/>
        </w:rPr>
        <w:t xml:space="preserve"> de </w:t>
      </w:r>
      <w:r w:rsidR="00AA526E">
        <w:rPr>
          <w:lang w:val="es-MX"/>
        </w:rPr>
        <w:t>-</w:t>
      </w:r>
      <w:r w:rsidRPr="00DA18AC">
        <w:rPr>
          <w:lang w:val="es-MX"/>
        </w:rPr>
        <w:t>$</w:t>
      </w:r>
      <w:r w:rsidR="00A6465D">
        <w:rPr>
          <w:lang w:val="es-MX"/>
        </w:rPr>
        <w:t>2,103</w:t>
      </w:r>
      <w:r>
        <w:rPr>
          <w:lang w:val="es-MX"/>
        </w:rPr>
        <w:t>,</w:t>
      </w:r>
      <w:r w:rsidR="00A6465D">
        <w:rPr>
          <w:lang w:val="es-MX"/>
        </w:rPr>
        <w:t>444</w:t>
      </w:r>
      <w:r>
        <w:rPr>
          <w:lang w:val="es-MX"/>
        </w:rPr>
        <w:t>,</w:t>
      </w:r>
      <w:r w:rsidR="00A6465D">
        <w:rPr>
          <w:lang w:val="es-MX"/>
        </w:rPr>
        <w:t>589</w:t>
      </w:r>
      <w:r w:rsidRPr="00DA18AC">
        <w:rPr>
          <w:lang w:val="es-MX"/>
        </w:rPr>
        <w:t>.</w:t>
      </w:r>
    </w:p>
    <w:p w14:paraId="510C2B23" w14:textId="77777777" w:rsidR="008C10B0" w:rsidRDefault="008C10B0" w:rsidP="008C10B0">
      <w:pPr>
        <w:pStyle w:val="ROMANOS"/>
        <w:tabs>
          <w:tab w:val="clear" w:pos="720"/>
          <w:tab w:val="left" w:pos="284"/>
        </w:tabs>
        <w:spacing w:after="0" w:line="276" w:lineRule="auto"/>
        <w:ind w:left="284" w:firstLine="0"/>
        <w:rPr>
          <w:lang w:val="es-MX"/>
        </w:rPr>
      </w:pPr>
    </w:p>
    <w:p w14:paraId="5ADFBFB8" w14:textId="77777777" w:rsidR="008C10B0" w:rsidRPr="002640DB" w:rsidRDefault="008C10B0" w:rsidP="008C10B0">
      <w:pPr>
        <w:numPr>
          <w:ilvl w:val="0"/>
          <w:numId w:val="7"/>
        </w:numPr>
        <w:tabs>
          <w:tab w:val="left" w:pos="0"/>
        </w:tabs>
        <w:spacing w:after="0" w:line="240" w:lineRule="exact"/>
        <w:mirrorIndents/>
        <w:jc w:val="both"/>
        <w:rPr>
          <w:rFonts w:ascii="Arial" w:eastAsia="Times New Roman" w:hAnsi="Arial" w:cs="Arial"/>
          <w:sz w:val="18"/>
          <w:szCs w:val="18"/>
          <w:lang w:eastAsia="es-ES"/>
        </w:rPr>
      </w:pPr>
      <w:r w:rsidRPr="002640DB">
        <w:rPr>
          <w:rFonts w:ascii="Arial" w:eastAsia="Times New Roman" w:hAnsi="Arial" w:cs="Arial"/>
          <w:sz w:val="18"/>
          <w:szCs w:val="18"/>
          <w:lang w:eastAsia="es-ES"/>
        </w:rPr>
        <w:t>El análisis de los saldos inicial y final que figuran en la última parte del Estado de Flujo de Efectivo en la cuenta de efectivo y equivalentes es como sigue:</w:t>
      </w:r>
    </w:p>
    <w:p w14:paraId="54CAE629" w14:textId="77777777" w:rsidR="008C10B0" w:rsidRDefault="008C10B0" w:rsidP="008C10B0">
      <w:pPr>
        <w:pStyle w:val="ROMANOS"/>
        <w:tabs>
          <w:tab w:val="clear" w:pos="720"/>
          <w:tab w:val="left" w:pos="284"/>
        </w:tabs>
        <w:spacing w:after="0" w:line="276" w:lineRule="auto"/>
        <w:ind w:left="284" w:firstLine="0"/>
        <w:rPr>
          <w:lang w:val="es-MX"/>
        </w:rPr>
      </w:pPr>
    </w:p>
    <w:tbl>
      <w:tblPr>
        <w:tblW w:w="0" w:type="auto"/>
        <w:jc w:val="center"/>
        <w:tblLayout w:type="fixed"/>
        <w:tblLook w:val="0000" w:firstRow="0" w:lastRow="0" w:firstColumn="0" w:lastColumn="0" w:noHBand="0" w:noVBand="0"/>
      </w:tblPr>
      <w:tblGrid>
        <w:gridCol w:w="4450"/>
        <w:gridCol w:w="1393"/>
        <w:gridCol w:w="1708"/>
      </w:tblGrid>
      <w:tr w:rsidR="008C10B0" w:rsidRPr="00450621" w14:paraId="6D53A844"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06EC9774"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Efectivo y Equivalentes</w:t>
            </w:r>
          </w:p>
        </w:tc>
        <w:tc>
          <w:tcPr>
            <w:tcW w:w="1393" w:type="dxa"/>
            <w:tcBorders>
              <w:top w:val="single" w:sz="6" w:space="0" w:color="auto"/>
              <w:left w:val="single" w:sz="6" w:space="0" w:color="auto"/>
              <w:bottom w:val="single" w:sz="6" w:space="0" w:color="auto"/>
              <w:right w:val="single" w:sz="6" w:space="0" w:color="auto"/>
            </w:tcBorders>
          </w:tcPr>
          <w:p w14:paraId="3D7AE77A"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p>
        </w:tc>
        <w:tc>
          <w:tcPr>
            <w:tcW w:w="1708" w:type="dxa"/>
            <w:tcBorders>
              <w:top w:val="single" w:sz="6" w:space="0" w:color="auto"/>
              <w:left w:val="single" w:sz="6" w:space="0" w:color="auto"/>
              <w:bottom w:val="single" w:sz="6" w:space="0" w:color="auto"/>
              <w:right w:val="single" w:sz="6" w:space="0" w:color="auto"/>
            </w:tcBorders>
          </w:tcPr>
          <w:p w14:paraId="2F0EFED9"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p>
        </w:tc>
      </w:tr>
      <w:tr w:rsidR="008C10B0" w:rsidRPr="00450621" w14:paraId="2F14289D"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3D6B25F3"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Concepto</w:t>
            </w:r>
          </w:p>
        </w:tc>
        <w:tc>
          <w:tcPr>
            <w:tcW w:w="1393" w:type="dxa"/>
            <w:tcBorders>
              <w:top w:val="single" w:sz="6" w:space="0" w:color="auto"/>
              <w:left w:val="single" w:sz="6" w:space="0" w:color="auto"/>
              <w:bottom w:val="single" w:sz="6" w:space="0" w:color="auto"/>
              <w:right w:val="single" w:sz="6" w:space="0" w:color="auto"/>
            </w:tcBorders>
          </w:tcPr>
          <w:p w14:paraId="529BAED2" w14:textId="55B99C24" w:rsidR="008C10B0" w:rsidRPr="00DA460F" w:rsidRDefault="008C10B0" w:rsidP="009C5253">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202</w:t>
            </w:r>
            <w:r w:rsidR="009C5253">
              <w:rPr>
                <w:rFonts w:ascii="Arial" w:eastAsia="Times New Roman" w:hAnsi="Arial" w:cs="Arial"/>
                <w:b/>
                <w:sz w:val="18"/>
                <w:szCs w:val="18"/>
                <w:lang w:eastAsia="es-ES"/>
              </w:rPr>
              <w:t>5</w:t>
            </w:r>
          </w:p>
        </w:tc>
        <w:tc>
          <w:tcPr>
            <w:tcW w:w="1708" w:type="dxa"/>
            <w:tcBorders>
              <w:top w:val="single" w:sz="6" w:space="0" w:color="auto"/>
              <w:left w:val="single" w:sz="6" w:space="0" w:color="auto"/>
              <w:bottom w:val="single" w:sz="6" w:space="0" w:color="auto"/>
              <w:right w:val="single" w:sz="6" w:space="0" w:color="auto"/>
            </w:tcBorders>
          </w:tcPr>
          <w:p w14:paraId="398E9C6F" w14:textId="186A78B1" w:rsidR="008C10B0" w:rsidRPr="00DA460F" w:rsidRDefault="00341678" w:rsidP="008C10B0">
            <w:pPr>
              <w:spacing w:after="0" w:line="240" w:lineRule="exact"/>
              <w:mirrorIndents/>
              <w:jc w:val="center"/>
              <w:rPr>
                <w:rFonts w:ascii="Arial" w:eastAsia="Times New Roman" w:hAnsi="Arial" w:cs="Arial"/>
                <w:b/>
                <w:sz w:val="18"/>
                <w:szCs w:val="18"/>
                <w:lang w:eastAsia="es-ES"/>
              </w:rPr>
            </w:pPr>
            <w:r>
              <w:rPr>
                <w:rFonts w:ascii="Arial" w:eastAsia="Times New Roman" w:hAnsi="Arial" w:cs="Arial"/>
                <w:b/>
                <w:sz w:val="18"/>
                <w:szCs w:val="18"/>
                <w:lang w:eastAsia="es-ES"/>
              </w:rPr>
              <w:t>2024</w:t>
            </w:r>
          </w:p>
        </w:tc>
      </w:tr>
      <w:tr w:rsidR="008C10B0" w:rsidRPr="00450621" w14:paraId="5DF70B33"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3366E428"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Efectivo en Bancos –Tesorería</w:t>
            </w:r>
          </w:p>
        </w:tc>
        <w:tc>
          <w:tcPr>
            <w:tcW w:w="1393" w:type="dxa"/>
            <w:tcBorders>
              <w:top w:val="single" w:sz="6" w:space="0" w:color="auto"/>
              <w:left w:val="single" w:sz="6" w:space="0" w:color="auto"/>
              <w:bottom w:val="single" w:sz="6" w:space="0" w:color="auto"/>
              <w:right w:val="single" w:sz="6" w:space="0" w:color="auto"/>
            </w:tcBorders>
          </w:tcPr>
          <w:p w14:paraId="0D4B9333" w14:textId="075E4901" w:rsidR="008C10B0" w:rsidRPr="00450621" w:rsidRDefault="0067489E"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1,180,495,802</w:t>
            </w:r>
          </w:p>
        </w:tc>
        <w:tc>
          <w:tcPr>
            <w:tcW w:w="1708" w:type="dxa"/>
            <w:tcBorders>
              <w:top w:val="single" w:sz="6" w:space="0" w:color="auto"/>
              <w:left w:val="single" w:sz="6" w:space="0" w:color="auto"/>
              <w:bottom w:val="single" w:sz="6" w:space="0" w:color="auto"/>
              <w:right w:val="single" w:sz="6" w:space="0" w:color="auto"/>
            </w:tcBorders>
          </w:tcPr>
          <w:p w14:paraId="275AB5A4" w14:textId="6D4B7F1B" w:rsidR="008C10B0" w:rsidRPr="00450621" w:rsidRDefault="0034167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768,823,033</w:t>
            </w:r>
          </w:p>
        </w:tc>
      </w:tr>
      <w:tr w:rsidR="008C10B0" w:rsidRPr="00450621" w14:paraId="2A62D9A1"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69758D53"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Efectivo en Bancos- Dependencias</w:t>
            </w:r>
          </w:p>
        </w:tc>
        <w:tc>
          <w:tcPr>
            <w:tcW w:w="1393" w:type="dxa"/>
            <w:tcBorders>
              <w:top w:val="single" w:sz="6" w:space="0" w:color="auto"/>
              <w:left w:val="single" w:sz="6" w:space="0" w:color="auto"/>
              <w:bottom w:val="single" w:sz="6" w:space="0" w:color="auto"/>
              <w:right w:val="single" w:sz="6" w:space="0" w:color="auto"/>
            </w:tcBorders>
          </w:tcPr>
          <w:p w14:paraId="5DBB9546" w14:textId="77777777" w:rsidR="008C10B0" w:rsidRPr="00450621" w:rsidRDefault="008C10B0" w:rsidP="008C10B0">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c>
          <w:tcPr>
            <w:tcW w:w="1708" w:type="dxa"/>
            <w:tcBorders>
              <w:top w:val="single" w:sz="6" w:space="0" w:color="auto"/>
              <w:left w:val="single" w:sz="6" w:space="0" w:color="auto"/>
              <w:bottom w:val="single" w:sz="6" w:space="0" w:color="auto"/>
              <w:right w:val="single" w:sz="6" w:space="0" w:color="auto"/>
            </w:tcBorders>
          </w:tcPr>
          <w:p w14:paraId="005A7C65" w14:textId="77777777" w:rsidR="008C10B0" w:rsidRPr="00450621" w:rsidRDefault="008C10B0" w:rsidP="008C10B0">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r>
      <w:tr w:rsidR="008C10B0" w:rsidRPr="00450621" w14:paraId="281DC3BF"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2D43AC0A"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 xml:space="preserve">Inversiones temporales (hasta 3 meses) </w:t>
            </w:r>
          </w:p>
        </w:tc>
        <w:tc>
          <w:tcPr>
            <w:tcW w:w="1393" w:type="dxa"/>
            <w:tcBorders>
              <w:top w:val="single" w:sz="6" w:space="0" w:color="auto"/>
              <w:left w:val="single" w:sz="6" w:space="0" w:color="auto"/>
              <w:bottom w:val="single" w:sz="6" w:space="0" w:color="auto"/>
              <w:right w:val="single" w:sz="6" w:space="0" w:color="auto"/>
            </w:tcBorders>
          </w:tcPr>
          <w:p w14:paraId="182BC67D" w14:textId="25242826" w:rsidR="008C10B0" w:rsidRPr="00450621" w:rsidRDefault="0067489E"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3,587,494,108</w:t>
            </w:r>
          </w:p>
        </w:tc>
        <w:tc>
          <w:tcPr>
            <w:tcW w:w="1708" w:type="dxa"/>
            <w:tcBorders>
              <w:top w:val="single" w:sz="6" w:space="0" w:color="auto"/>
              <w:left w:val="single" w:sz="6" w:space="0" w:color="auto"/>
              <w:bottom w:val="single" w:sz="6" w:space="0" w:color="auto"/>
              <w:right w:val="single" w:sz="6" w:space="0" w:color="auto"/>
            </w:tcBorders>
          </w:tcPr>
          <w:p w14:paraId="626A6E7E" w14:textId="6829A38F" w:rsidR="008C10B0" w:rsidRPr="00450621" w:rsidRDefault="0034167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2,217,011,800</w:t>
            </w:r>
          </w:p>
        </w:tc>
      </w:tr>
      <w:tr w:rsidR="008C10B0" w:rsidRPr="00450621" w14:paraId="5134122B"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18EB466A"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Fondos con afectación específica</w:t>
            </w:r>
          </w:p>
        </w:tc>
        <w:tc>
          <w:tcPr>
            <w:tcW w:w="1393" w:type="dxa"/>
            <w:tcBorders>
              <w:top w:val="single" w:sz="6" w:space="0" w:color="auto"/>
              <w:left w:val="single" w:sz="6" w:space="0" w:color="auto"/>
              <w:bottom w:val="single" w:sz="6" w:space="0" w:color="auto"/>
              <w:right w:val="single" w:sz="6" w:space="0" w:color="auto"/>
            </w:tcBorders>
          </w:tcPr>
          <w:p w14:paraId="14F903B0" w14:textId="77777777" w:rsidR="008C10B0" w:rsidRPr="00450621" w:rsidRDefault="008C10B0" w:rsidP="008C10B0">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c>
          <w:tcPr>
            <w:tcW w:w="1708" w:type="dxa"/>
            <w:tcBorders>
              <w:top w:val="single" w:sz="6" w:space="0" w:color="auto"/>
              <w:left w:val="single" w:sz="6" w:space="0" w:color="auto"/>
              <w:bottom w:val="single" w:sz="6" w:space="0" w:color="auto"/>
              <w:right w:val="single" w:sz="6" w:space="0" w:color="auto"/>
            </w:tcBorders>
          </w:tcPr>
          <w:p w14:paraId="300F2CBD" w14:textId="77777777" w:rsidR="008C10B0" w:rsidRPr="00450621" w:rsidRDefault="008C10B0" w:rsidP="008C10B0">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r>
      <w:tr w:rsidR="008C10B0" w:rsidRPr="00450621" w14:paraId="00FA2B64"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55A9EEB6"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Depósitos de fondos de terceros y otros</w:t>
            </w:r>
          </w:p>
        </w:tc>
        <w:tc>
          <w:tcPr>
            <w:tcW w:w="1393" w:type="dxa"/>
            <w:tcBorders>
              <w:top w:val="single" w:sz="6" w:space="0" w:color="auto"/>
              <w:left w:val="single" w:sz="6" w:space="0" w:color="auto"/>
              <w:bottom w:val="single" w:sz="6" w:space="0" w:color="auto"/>
              <w:right w:val="single" w:sz="6" w:space="0" w:color="auto"/>
            </w:tcBorders>
          </w:tcPr>
          <w:p w14:paraId="733795F4" w14:textId="7E8A9439" w:rsidR="008C10B0" w:rsidRPr="00450621" w:rsidRDefault="0067489E"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118,880,596</w:t>
            </w:r>
          </w:p>
        </w:tc>
        <w:tc>
          <w:tcPr>
            <w:tcW w:w="1708" w:type="dxa"/>
            <w:tcBorders>
              <w:top w:val="single" w:sz="6" w:space="0" w:color="auto"/>
              <w:left w:val="single" w:sz="6" w:space="0" w:color="auto"/>
              <w:bottom w:val="single" w:sz="6" w:space="0" w:color="auto"/>
              <w:right w:val="single" w:sz="6" w:space="0" w:color="auto"/>
            </w:tcBorders>
          </w:tcPr>
          <w:p w14:paraId="3680A9AD" w14:textId="3A9651F6" w:rsidR="008C10B0" w:rsidRPr="00450621" w:rsidRDefault="0034167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151,707,171</w:t>
            </w:r>
          </w:p>
        </w:tc>
      </w:tr>
      <w:tr w:rsidR="008C10B0" w:rsidRPr="00450621" w14:paraId="495BA80F"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185F5121"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Total</w:t>
            </w:r>
          </w:p>
        </w:tc>
        <w:tc>
          <w:tcPr>
            <w:tcW w:w="1393" w:type="dxa"/>
            <w:tcBorders>
              <w:top w:val="single" w:sz="6" w:space="0" w:color="auto"/>
              <w:left w:val="single" w:sz="6" w:space="0" w:color="auto"/>
              <w:bottom w:val="single" w:sz="6" w:space="0" w:color="auto"/>
              <w:right w:val="single" w:sz="6" w:space="0" w:color="auto"/>
            </w:tcBorders>
          </w:tcPr>
          <w:p w14:paraId="1BB82281" w14:textId="6C20FFC8" w:rsidR="008C10B0" w:rsidRPr="009B66AA" w:rsidRDefault="00E72137" w:rsidP="009C5253">
            <w:pPr>
              <w:spacing w:after="0" w:line="240" w:lineRule="exact"/>
              <w:mirrorIndents/>
              <w:jc w:val="right"/>
              <w:rPr>
                <w:rFonts w:ascii="Arial" w:eastAsia="Times New Roman" w:hAnsi="Arial" w:cs="Arial"/>
                <w:b/>
                <w:sz w:val="18"/>
                <w:szCs w:val="18"/>
                <w:lang w:eastAsia="es-ES"/>
              </w:rPr>
            </w:pPr>
            <w:r>
              <w:rPr>
                <w:rFonts w:ascii="Arial" w:eastAsia="Times New Roman" w:hAnsi="Arial" w:cs="Arial"/>
                <w:b/>
                <w:sz w:val="18"/>
                <w:szCs w:val="18"/>
                <w:lang w:eastAsia="es-ES"/>
              </w:rPr>
              <w:t>4,</w:t>
            </w:r>
            <w:r w:rsidR="009C5253">
              <w:rPr>
                <w:rFonts w:ascii="Arial" w:eastAsia="Times New Roman" w:hAnsi="Arial" w:cs="Arial"/>
                <w:b/>
                <w:sz w:val="18"/>
                <w:szCs w:val="18"/>
                <w:lang w:eastAsia="es-ES"/>
              </w:rPr>
              <w:t>1</w:t>
            </w:r>
            <w:r>
              <w:rPr>
                <w:rFonts w:ascii="Arial" w:eastAsia="Times New Roman" w:hAnsi="Arial" w:cs="Arial"/>
                <w:b/>
                <w:sz w:val="18"/>
                <w:szCs w:val="18"/>
                <w:lang w:eastAsia="es-ES"/>
              </w:rPr>
              <w:t>07,3</w:t>
            </w:r>
            <w:r w:rsidR="009C5253">
              <w:rPr>
                <w:rFonts w:ascii="Arial" w:eastAsia="Times New Roman" w:hAnsi="Arial" w:cs="Arial"/>
                <w:b/>
                <w:sz w:val="18"/>
                <w:szCs w:val="18"/>
                <w:lang w:eastAsia="es-ES"/>
              </w:rPr>
              <w:t>76</w:t>
            </w:r>
            <w:r>
              <w:rPr>
                <w:rFonts w:ascii="Arial" w:eastAsia="Times New Roman" w:hAnsi="Arial" w:cs="Arial"/>
                <w:b/>
                <w:sz w:val="18"/>
                <w:szCs w:val="18"/>
                <w:lang w:eastAsia="es-ES"/>
              </w:rPr>
              <w:t>,</w:t>
            </w:r>
            <w:r w:rsidR="009C5253">
              <w:rPr>
                <w:rFonts w:ascii="Arial" w:eastAsia="Times New Roman" w:hAnsi="Arial" w:cs="Arial"/>
                <w:b/>
                <w:sz w:val="18"/>
                <w:szCs w:val="18"/>
                <w:lang w:eastAsia="es-ES"/>
              </w:rPr>
              <w:t>705</w:t>
            </w:r>
          </w:p>
        </w:tc>
        <w:tc>
          <w:tcPr>
            <w:tcW w:w="1708" w:type="dxa"/>
            <w:tcBorders>
              <w:top w:val="single" w:sz="6" w:space="0" w:color="auto"/>
              <w:left w:val="single" w:sz="6" w:space="0" w:color="auto"/>
              <w:bottom w:val="single" w:sz="6" w:space="0" w:color="auto"/>
              <w:right w:val="single" w:sz="6" w:space="0" w:color="auto"/>
            </w:tcBorders>
          </w:tcPr>
          <w:p w14:paraId="021060BB" w14:textId="07F9B4E4" w:rsidR="008C10B0" w:rsidRPr="009B66AA" w:rsidRDefault="00341678" w:rsidP="008C10B0">
            <w:pPr>
              <w:spacing w:after="0" w:line="240" w:lineRule="exact"/>
              <w:mirrorIndents/>
              <w:jc w:val="right"/>
              <w:rPr>
                <w:rFonts w:ascii="Arial" w:eastAsia="Times New Roman" w:hAnsi="Arial" w:cs="Arial"/>
                <w:b/>
                <w:sz w:val="18"/>
                <w:szCs w:val="18"/>
                <w:lang w:eastAsia="es-ES"/>
              </w:rPr>
            </w:pPr>
            <w:r>
              <w:rPr>
                <w:rFonts w:ascii="Arial" w:eastAsia="Times New Roman" w:hAnsi="Arial" w:cs="Arial"/>
                <w:b/>
                <w:sz w:val="18"/>
                <w:szCs w:val="18"/>
                <w:lang w:eastAsia="es-ES"/>
              </w:rPr>
              <w:t>3,137,542,0004</w:t>
            </w:r>
          </w:p>
        </w:tc>
      </w:tr>
    </w:tbl>
    <w:p w14:paraId="5C4B1989" w14:textId="77777777" w:rsidR="008C10B0" w:rsidRDefault="008C10B0" w:rsidP="008C10B0">
      <w:pPr>
        <w:pStyle w:val="INCISO"/>
        <w:tabs>
          <w:tab w:val="left" w:pos="284"/>
        </w:tabs>
        <w:spacing w:after="0" w:line="276" w:lineRule="auto"/>
        <w:ind w:left="284" w:firstLine="0"/>
        <w:rPr>
          <w:b/>
          <w:smallCaps/>
        </w:rPr>
      </w:pPr>
    </w:p>
    <w:p w14:paraId="481F79E8" w14:textId="77777777" w:rsidR="008C10B0" w:rsidRDefault="008C10B0" w:rsidP="008C10B0">
      <w:pPr>
        <w:pStyle w:val="INCISO"/>
        <w:numPr>
          <w:ilvl w:val="0"/>
          <w:numId w:val="9"/>
        </w:numPr>
        <w:tabs>
          <w:tab w:val="left" w:pos="284"/>
        </w:tabs>
        <w:spacing w:after="0" w:line="276" w:lineRule="auto"/>
        <w:rPr>
          <w:b/>
          <w:smallCaps/>
        </w:rPr>
      </w:pPr>
    </w:p>
    <w:p w14:paraId="7A948AA6" w14:textId="77777777" w:rsidR="008C10B0" w:rsidRDefault="008C10B0" w:rsidP="008C10B0">
      <w:pPr>
        <w:pStyle w:val="INCISO"/>
        <w:tabs>
          <w:tab w:val="left" w:pos="284"/>
        </w:tabs>
        <w:spacing w:after="0" w:line="276" w:lineRule="auto"/>
        <w:ind w:left="284" w:firstLine="0"/>
        <w:rPr>
          <w:b/>
          <w:smallCaps/>
        </w:rPr>
      </w:pPr>
    </w:p>
    <w:p w14:paraId="2F980C8C" w14:textId="77777777" w:rsidR="008C10B0" w:rsidRDefault="008C10B0" w:rsidP="008C10B0">
      <w:pPr>
        <w:spacing w:after="0" w:line="240" w:lineRule="exact"/>
        <w:mirrorIndents/>
        <w:jc w:val="both"/>
        <w:rPr>
          <w:rFonts w:ascii="Arial" w:eastAsia="Times New Roman" w:hAnsi="Arial" w:cs="Arial"/>
          <w:sz w:val="18"/>
          <w:szCs w:val="18"/>
          <w:lang w:eastAsia="es-ES"/>
        </w:rPr>
      </w:pPr>
      <w:r w:rsidRPr="002640DB">
        <w:rPr>
          <w:rFonts w:ascii="Arial" w:eastAsia="Times New Roman" w:hAnsi="Arial" w:cs="Arial"/>
          <w:sz w:val="18"/>
          <w:szCs w:val="18"/>
          <w:lang w:eastAsia="es-ES"/>
        </w:rPr>
        <w:t>2. Adquisiciones de las Actividades de Inversión efectivamente pagadas, respecto del apartado de aplicación.</w:t>
      </w:r>
    </w:p>
    <w:p w14:paraId="772635A4" w14:textId="77777777" w:rsidR="008C10B0" w:rsidRDefault="008C10B0" w:rsidP="008C10B0">
      <w:pPr>
        <w:spacing w:after="0" w:line="240" w:lineRule="exact"/>
        <w:mirrorIndents/>
        <w:jc w:val="both"/>
        <w:rPr>
          <w:rFonts w:ascii="Arial" w:eastAsia="Times New Roman" w:hAnsi="Arial" w:cs="Arial"/>
          <w:sz w:val="18"/>
          <w:szCs w:val="18"/>
          <w:lang w:eastAsia="es-ES"/>
        </w:rPr>
      </w:pPr>
    </w:p>
    <w:tbl>
      <w:tblPr>
        <w:tblW w:w="9350" w:type="dxa"/>
        <w:jc w:val="center"/>
        <w:tblCellMar>
          <w:left w:w="70" w:type="dxa"/>
          <w:right w:w="70" w:type="dxa"/>
        </w:tblCellMar>
        <w:tblLook w:val="04A0" w:firstRow="1" w:lastRow="0" w:firstColumn="1" w:lastColumn="0" w:noHBand="0" w:noVBand="1"/>
      </w:tblPr>
      <w:tblGrid>
        <w:gridCol w:w="6765"/>
        <w:gridCol w:w="1318"/>
        <w:gridCol w:w="1267"/>
      </w:tblGrid>
      <w:tr w:rsidR="008C10B0" w:rsidRPr="00450621" w14:paraId="31719C31" w14:textId="77777777" w:rsidTr="008C10B0">
        <w:trPr>
          <w:trHeight w:val="3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0FE4CC2B" w14:textId="77777777" w:rsidR="008C10B0" w:rsidRPr="00450621" w:rsidRDefault="008C10B0" w:rsidP="008C10B0">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Adquisiciones de Actividades de Inversión Efectivamente pagadas</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57793D33" w14:textId="77777777" w:rsidR="008C10B0" w:rsidRPr="00450621" w:rsidRDefault="008C10B0" w:rsidP="008C10B0">
            <w:pPr>
              <w:spacing w:after="0" w:line="240" w:lineRule="auto"/>
              <w:jc w:val="right"/>
              <w:rPr>
                <w:rFonts w:ascii="Arial" w:eastAsia="Times New Roman" w:hAnsi="Arial" w:cs="Arial"/>
                <w:b/>
                <w:bCs/>
                <w:color w:val="000000"/>
                <w:sz w:val="16"/>
                <w:szCs w:val="16"/>
                <w:lang w:eastAsia="es-MX"/>
              </w:rPr>
            </w:pPr>
          </w:p>
        </w:tc>
        <w:tc>
          <w:tcPr>
            <w:tcW w:w="1267" w:type="dxa"/>
            <w:tcBorders>
              <w:top w:val="single" w:sz="4" w:space="0" w:color="000000"/>
              <w:left w:val="nil"/>
              <w:bottom w:val="single" w:sz="4" w:space="0" w:color="000000"/>
              <w:right w:val="single" w:sz="4" w:space="0" w:color="000000"/>
            </w:tcBorders>
            <w:shd w:val="clear" w:color="000000" w:fill="D3D3D3"/>
          </w:tcPr>
          <w:p w14:paraId="612DB47A" w14:textId="77777777" w:rsidR="008C10B0" w:rsidRDefault="008C10B0" w:rsidP="008C10B0">
            <w:pPr>
              <w:spacing w:after="0" w:line="240" w:lineRule="auto"/>
              <w:jc w:val="right"/>
              <w:rPr>
                <w:rFonts w:ascii="Arial" w:eastAsia="Times New Roman" w:hAnsi="Arial" w:cs="Arial"/>
                <w:b/>
                <w:bCs/>
                <w:color w:val="000000"/>
                <w:sz w:val="16"/>
                <w:szCs w:val="16"/>
                <w:lang w:eastAsia="es-MX"/>
              </w:rPr>
            </w:pPr>
          </w:p>
        </w:tc>
      </w:tr>
      <w:tr w:rsidR="008C10B0" w:rsidRPr="00450621" w14:paraId="2E909C5A" w14:textId="77777777" w:rsidTr="008C10B0">
        <w:trPr>
          <w:trHeight w:val="274"/>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tcPr>
          <w:p w14:paraId="6E81BE8B" w14:textId="77777777" w:rsidR="008C10B0" w:rsidRPr="00450621" w:rsidRDefault="008C10B0" w:rsidP="008C10B0">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Concepto</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0277C3ED" w14:textId="7B867DA4" w:rsidR="008C10B0" w:rsidRDefault="00E72137" w:rsidP="008C10B0">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2025</w:t>
            </w:r>
          </w:p>
        </w:tc>
        <w:tc>
          <w:tcPr>
            <w:tcW w:w="1267" w:type="dxa"/>
            <w:tcBorders>
              <w:top w:val="single" w:sz="4" w:space="0" w:color="000000"/>
              <w:left w:val="nil"/>
              <w:bottom w:val="single" w:sz="4" w:space="0" w:color="000000"/>
              <w:right w:val="single" w:sz="4" w:space="0" w:color="000000"/>
            </w:tcBorders>
            <w:shd w:val="clear" w:color="000000" w:fill="D3D3D3"/>
          </w:tcPr>
          <w:p w14:paraId="47A3FE17" w14:textId="77777777" w:rsidR="008C10B0" w:rsidRDefault="008C10B0" w:rsidP="008C10B0">
            <w:pPr>
              <w:spacing w:after="0" w:line="240" w:lineRule="auto"/>
              <w:jc w:val="center"/>
              <w:rPr>
                <w:rFonts w:ascii="Arial" w:eastAsia="Times New Roman" w:hAnsi="Arial" w:cs="Arial"/>
                <w:b/>
                <w:bCs/>
                <w:color w:val="000000"/>
                <w:sz w:val="16"/>
                <w:szCs w:val="16"/>
                <w:lang w:eastAsia="es-MX"/>
              </w:rPr>
            </w:pPr>
          </w:p>
          <w:p w14:paraId="79578B86" w14:textId="3D9A913F" w:rsidR="008C10B0" w:rsidRDefault="00E72137" w:rsidP="008C10B0">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2024</w:t>
            </w:r>
          </w:p>
        </w:tc>
      </w:tr>
      <w:tr w:rsidR="008C10B0" w:rsidRPr="00450621" w14:paraId="5A21C8A4" w14:textId="77777777" w:rsidTr="008C10B0">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7CCAE828" w14:textId="77777777" w:rsidR="008C10B0" w:rsidRPr="00450621" w:rsidRDefault="008C10B0" w:rsidP="008C10B0">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Bienes Inmuebles, Infraestructura y Construcciones en Proceso</w:t>
            </w:r>
          </w:p>
        </w:tc>
        <w:tc>
          <w:tcPr>
            <w:tcW w:w="1318" w:type="dxa"/>
            <w:tcBorders>
              <w:top w:val="nil"/>
              <w:left w:val="nil"/>
              <w:bottom w:val="single" w:sz="4" w:space="0" w:color="000000"/>
              <w:right w:val="single" w:sz="4" w:space="0" w:color="000000"/>
            </w:tcBorders>
            <w:shd w:val="clear" w:color="000000" w:fill="FFFFFF"/>
            <w:vAlign w:val="bottom"/>
            <w:hideMark/>
          </w:tcPr>
          <w:p w14:paraId="0F3940F8" w14:textId="0091D4F2" w:rsidR="008C10B0" w:rsidRPr="00450621" w:rsidRDefault="00E72137"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0</w:t>
            </w:r>
          </w:p>
        </w:tc>
        <w:tc>
          <w:tcPr>
            <w:tcW w:w="1267" w:type="dxa"/>
            <w:tcBorders>
              <w:top w:val="nil"/>
              <w:left w:val="nil"/>
              <w:bottom w:val="single" w:sz="4" w:space="0" w:color="000000"/>
              <w:right w:val="single" w:sz="4" w:space="0" w:color="000000"/>
            </w:tcBorders>
            <w:shd w:val="clear" w:color="000000" w:fill="FFFFFF"/>
          </w:tcPr>
          <w:p w14:paraId="227E1614" w14:textId="56D5BCC8" w:rsidR="008C10B0" w:rsidRDefault="00E72137"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1,588,400,456</w:t>
            </w:r>
          </w:p>
        </w:tc>
      </w:tr>
      <w:tr w:rsidR="008C10B0" w:rsidRPr="00450621" w14:paraId="4D1E6A99"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D1B3170"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Terrenos</w:t>
            </w:r>
          </w:p>
        </w:tc>
        <w:tc>
          <w:tcPr>
            <w:tcW w:w="1318" w:type="dxa"/>
            <w:tcBorders>
              <w:top w:val="nil"/>
              <w:left w:val="nil"/>
              <w:bottom w:val="single" w:sz="4" w:space="0" w:color="000000"/>
              <w:right w:val="single" w:sz="4" w:space="0" w:color="000000"/>
            </w:tcBorders>
            <w:shd w:val="clear" w:color="000000" w:fill="FFFFFF"/>
            <w:hideMark/>
          </w:tcPr>
          <w:p w14:paraId="77448B2C" w14:textId="52BE65B2"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r w:rsidR="008C10B0"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1B9C0FFF" w14:textId="7A4D3CC3"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15,624,379</w:t>
            </w:r>
          </w:p>
        </w:tc>
      </w:tr>
      <w:tr w:rsidR="008C10B0" w:rsidRPr="00450621" w14:paraId="60CC6CCB"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2EC5BEE"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Viviendas</w:t>
            </w:r>
          </w:p>
        </w:tc>
        <w:tc>
          <w:tcPr>
            <w:tcW w:w="1318" w:type="dxa"/>
            <w:tcBorders>
              <w:top w:val="nil"/>
              <w:left w:val="nil"/>
              <w:bottom w:val="single" w:sz="4" w:space="0" w:color="000000"/>
              <w:right w:val="single" w:sz="4" w:space="0" w:color="000000"/>
            </w:tcBorders>
            <w:shd w:val="clear" w:color="000000" w:fill="FFFFFF"/>
            <w:hideMark/>
          </w:tcPr>
          <w:p w14:paraId="608F85F6"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7D1319A9"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8E3C48" w14:paraId="1366AF7A"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D768017"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Edificios no Habitaciones</w:t>
            </w:r>
          </w:p>
        </w:tc>
        <w:tc>
          <w:tcPr>
            <w:tcW w:w="1318" w:type="dxa"/>
            <w:tcBorders>
              <w:top w:val="nil"/>
              <w:left w:val="nil"/>
              <w:bottom w:val="single" w:sz="4" w:space="0" w:color="000000"/>
              <w:right w:val="single" w:sz="4" w:space="0" w:color="000000"/>
            </w:tcBorders>
            <w:shd w:val="clear" w:color="000000" w:fill="FFFFFF"/>
            <w:hideMark/>
          </w:tcPr>
          <w:p w14:paraId="661CABC0" w14:textId="77777777" w:rsidR="008C10B0" w:rsidRPr="008E3C48"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bCs/>
                <w:color w:val="000000"/>
                <w:sz w:val="16"/>
                <w:szCs w:val="16"/>
                <w:lang w:eastAsia="es-MX"/>
              </w:rPr>
              <w:t>0</w:t>
            </w:r>
          </w:p>
        </w:tc>
        <w:tc>
          <w:tcPr>
            <w:tcW w:w="1267" w:type="dxa"/>
            <w:tcBorders>
              <w:top w:val="nil"/>
              <w:left w:val="nil"/>
              <w:bottom w:val="single" w:sz="4" w:space="0" w:color="000000"/>
              <w:right w:val="single" w:sz="4" w:space="0" w:color="000000"/>
            </w:tcBorders>
            <w:shd w:val="clear" w:color="000000" w:fill="FFFFFF"/>
          </w:tcPr>
          <w:p w14:paraId="74F5C3D5" w14:textId="77777777" w:rsidR="008C10B0" w:rsidRPr="008E3C48" w:rsidRDefault="008C10B0" w:rsidP="008C10B0">
            <w:pPr>
              <w:spacing w:after="0" w:line="240" w:lineRule="auto"/>
              <w:jc w:val="right"/>
              <w:rPr>
                <w:rFonts w:ascii="Arial" w:eastAsia="Times New Roman" w:hAnsi="Arial" w:cs="Arial"/>
                <w:bCs/>
                <w:color w:val="000000"/>
                <w:sz w:val="16"/>
                <w:szCs w:val="16"/>
                <w:lang w:eastAsia="es-MX"/>
              </w:rPr>
            </w:pPr>
            <w:r>
              <w:rPr>
                <w:rFonts w:ascii="Arial" w:eastAsia="Times New Roman" w:hAnsi="Arial" w:cs="Arial"/>
                <w:bCs/>
                <w:color w:val="000000"/>
                <w:sz w:val="16"/>
                <w:szCs w:val="16"/>
                <w:lang w:eastAsia="es-MX"/>
              </w:rPr>
              <w:t>0</w:t>
            </w:r>
          </w:p>
        </w:tc>
      </w:tr>
      <w:tr w:rsidR="008C10B0" w:rsidRPr="00450621" w14:paraId="4A6C9640"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566A0C7"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Infraestructura</w:t>
            </w:r>
          </w:p>
        </w:tc>
        <w:tc>
          <w:tcPr>
            <w:tcW w:w="1318" w:type="dxa"/>
            <w:tcBorders>
              <w:top w:val="nil"/>
              <w:left w:val="nil"/>
              <w:bottom w:val="single" w:sz="4" w:space="0" w:color="000000"/>
              <w:right w:val="single" w:sz="4" w:space="0" w:color="000000"/>
            </w:tcBorders>
            <w:shd w:val="clear" w:color="000000" w:fill="FFFFFF"/>
            <w:hideMark/>
          </w:tcPr>
          <w:p w14:paraId="2D32DABF"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12FE8CCF" w14:textId="77777777" w:rsidR="008C10B0"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421CF5AF"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2CCDFCE"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Construcciones en Proceso en Bienes de Dominio Público</w:t>
            </w:r>
          </w:p>
        </w:tc>
        <w:tc>
          <w:tcPr>
            <w:tcW w:w="1318" w:type="dxa"/>
            <w:tcBorders>
              <w:top w:val="nil"/>
              <w:left w:val="nil"/>
              <w:bottom w:val="single" w:sz="4" w:space="0" w:color="000000"/>
              <w:right w:val="single" w:sz="4" w:space="0" w:color="000000"/>
            </w:tcBorders>
            <w:shd w:val="clear" w:color="000000" w:fill="FFFFFF"/>
            <w:hideMark/>
          </w:tcPr>
          <w:p w14:paraId="48B2B169" w14:textId="1BC4EA29"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r w:rsidR="008C10B0"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0A4CDF3E" w14:textId="39A881B4"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510,972,078</w:t>
            </w:r>
          </w:p>
        </w:tc>
      </w:tr>
      <w:tr w:rsidR="008C10B0" w:rsidRPr="00450621" w14:paraId="7C8FD6B8"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C0A2233"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Construcciones en Proceso en Bienes Propios</w:t>
            </w:r>
          </w:p>
        </w:tc>
        <w:tc>
          <w:tcPr>
            <w:tcW w:w="1318" w:type="dxa"/>
            <w:tcBorders>
              <w:top w:val="nil"/>
              <w:left w:val="nil"/>
              <w:bottom w:val="single" w:sz="4" w:space="0" w:color="000000"/>
              <w:right w:val="single" w:sz="4" w:space="0" w:color="000000"/>
            </w:tcBorders>
            <w:shd w:val="clear" w:color="000000" w:fill="FFFFFF"/>
            <w:hideMark/>
          </w:tcPr>
          <w:p w14:paraId="5BCEE062" w14:textId="72765212"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r w:rsidR="008C10B0"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2A82F222" w14:textId="5D9F0A16"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1,061,803,999</w:t>
            </w:r>
          </w:p>
        </w:tc>
      </w:tr>
      <w:tr w:rsidR="008C10B0" w:rsidRPr="00450621" w14:paraId="7467C9A7"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52D3EEA"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Otros Bienes Inmuebles</w:t>
            </w:r>
          </w:p>
        </w:tc>
        <w:tc>
          <w:tcPr>
            <w:tcW w:w="1318" w:type="dxa"/>
            <w:tcBorders>
              <w:top w:val="nil"/>
              <w:left w:val="nil"/>
              <w:bottom w:val="single" w:sz="4" w:space="0" w:color="000000"/>
              <w:right w:val="single" w:sz="4" w:space="0" w:color="000000"/>
            </w:tcBorders>
            <w:shd w:val="clear" w:color="000000" w:fill="FFFFFF"/>
            <w:hideMark/>
          </w:tcPr>
          <w:p w14:paraId="23D36A68"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00A5D1A1"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01498352"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CB00667"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b/>
                <w:bCs/>
                <w:color w:val="000000"/>
                <w:sz w:val="16"/>
                <w:szCs w:val="16"/>
                <w:lang w:eastAsia="es-MX"/>
              </w:rPr>
              <w:t>Bienes Muebles</w:t>
            </w:r>
          </w:p>
        </w:tc>
        <w:tc>
          <w:tcPr>
            <w:tcW w:w="1318" w:type="dxa"/>
            <w:tcBorders>
              <w:top w:val="nil"/>
              <w:left w:val="nil"/>
              <w:bottom w:val="single" w:sz="4" w:space="0" w:color="000000"/>
              <w:right w:val="single" w:sz="4" w:space="0" w:color="000000"/>
            </w:tcBorders>
            <w:shd w:val="clear" w:color="000000" w:fill="FFFFFF"/>
            <w:hideMark/>
          </w:tcPr>
          <w:p w14:paraId="17F270AB" w14:textId="3D9839FD" w:rsidR="008C10B0" w:rsidRPr="00FF5A7D" w:rsidRDefault="00903CC7" w:rsidP="008C10B0">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203,463</w:t>
            </w:r>
          </w:p>
        </w:tc>
        <w:tc>
          <w:tcPr>
            <w:tcW w:w="1267" w:type="dxa"/>
            <w:tcBorders>
              <w:top w:val="nil"/>
              <w:left w:val="nil"/>
              <w:bottom w:val="single" w:sz="4" w:space="0" w:color="000000"/>
              <w:right w:val="single" w:sz="4" w:space="0" w:color="000000"/>
            </w:tcBorders>
            <w:shd w:val="clear" w:color="000000" w:fill="FFFFFF"/>
          </w:tcPr>
          <w:p w14:paraId="4AD8FC07" w14:textId="0834A79D" w:rsidR="008C10B0" w:rsidRPr="00FF5A7D" w:rsidRDefault="00E72137" w:rsidP="008C10B0">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529,041,562</w:t>
            </w:r>
          </w:p>
        </w:tc>
      </w:tr>
      <w:tr w:rsidR="008C10B0" w:rsidRPr="00450621" w14:paraId="434BCC0E"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C3F8E0B"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Mobiliario y Equipo de Administración</w:t>
            </w:r>
          </w:p>
        </w:tc>
        <w:tc>
          <w:tcPr>
            <w:tcW w:w="1318" w:type="dxa"/>
            <w:tcBorders>
              <w:top w:val="nil"/>
              <w:left w:val="nil"/>
              <w:bottom w:val="single" w:sz="4" w:space="0" w:color="000000"/>
              <w:right w:val="single" w:sz="4" w:space="0" w:color="000000"/>
            </w:tcBorders>
            <w:shd w:val="clear" w:color="000000" w:fill="FFFFFF"/>
            <w:hideMark/>
          </w:tcPr>
          <w:p w14:paraId="2D39311D" w14:textId="142856F1" w:rsidR="008C10B0" w:rsidRPr="00450621" w:rsidRDefault="00903CC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203,463</w:t>
            </w:r>
          </w:p>
        </w:tc>
        <w:tc>
          <w:tcPr>
            <w:tcW w:w="1267" w:type="dxa"/>
            <w:tcBorders>
              <w:top w:val="nil"/>
              <w:left w:val="nil"/>
              <w:bottom w:val="single" w:sz="4" w:space="0" w:color="000000"/>
              <w:right w:val="single" w:sz="4" w:space="0" w:color="000000"/>
            </w:tcBorders>
            <w:shd w:val="clear" w:color="000000" w:fill="FFFFFF"/>
          </w:tcPr>
          <w:p w14:paraId="061DE0F5" w14:textId="25B270BD"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68,843,939</w:t>
            </w:r>
          </w:p>
        </w:tc>
      </w:tr>
      <w:tr w:rsidR="008C10B0" w:rsidRPr="00450621" w14:paraId="1E3639EA"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DDFFFA4"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Mobiliario y Equipo Educacional y Recreativ</w:t>
            </w:r>
            <w:r>
              <w:rPr>
                <w:rFonts w:ascii="Arial" w:eastAsia="Times New Roman" w:hAnsi="Arial" w:cs="Arial"/>
                <w:color w:val="000000"/>
                <w:sz w:val="14"/>
                <w:szCs w:val="14"/>
                <w:lang w:eastAsia="es-MX"/>
              </w:rPr>
              <w:t>o</w:t>
            </w:r>
          </w:p>
        </w:tc>
        <w:tc>
          <w:tcPr>
            <w:tcW w:w="1318" w:type="dxa"/>
            <w:tcBorders>
              <w:top w:val="nil"/>
              <w:left w:val="nil"/>
              <w:bottom w:val="single" w:sz="4" w:space="0" w:color="000000"/>
              <w:right w:val="single" w:sz="4" w:space="0" w:color="000000"/>
            </w:tcBorders>
            <w:shd w:val="clear" w:color="000000" w:fill="FFFFFF"/>
            <w:hideMark/>
          </w:tcPr>
          <w:p w14:paraId="255F0627" w14:textId="006AA563" w:rsidR="008C10B0"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p w14:paraId="497BDC43"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2FBDC4DE" w14:textId="5C306B5E"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37,483,870</w:t>
            </w:r>
          </w:p>
        </w:tc>
      </w:tr>
      <w:tr w:rsidR="008C10B0" w:rsidRPr="00450621" w14:paraId="6DEA00B7"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1588181"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Equipo e Instrumental Médico y de Laboratorio</w:t>
            </w:r>
          </w:p>
        </w:tc>
        <w:tc>
          <w:tcPr>
            <w:tcW w:w="1318" w:type="dxa"/>
            <w:tcBorders>
              <w:top w:val="nil"/>
              <w:left w:val="nil"/>
              <w:bottom w:val="single" w:sz="4" w:space="0" w:color="000000"/>
              <w:right w:val="single" w:sz="4" w:space="0" w:color="000000"/>
            </w:tcBorders>
            <w:shd w:val="clear" w:color="000000" w:fill="FFFFFF"/>
            <w:hideMark/>
          </w:tcPr>
          <w:p w14:paraId="5B6CEDE1" w14:textId="3B98FB33"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7CEEBD88" w14:textId="433D254F"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28,626,603</w:t>
            </w:r>
          </w:p>
        </w:tc>
      </w:tr>
      <w:tr w:rsidR="008C10B0" w:rsidRPr="00450621" w14:paraId="4ECF6971"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52A657D"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Vehículos y Equipo de Transporte</w:t>
            </w:r>
          </w:p>
        </w:tc>
        <w:tc>
          <w:tcPr>
            <w:tcW w:w="1318" w:type="dxa"/>
            <w:tcBorders>
              <w:top w:val="nil"/>
              <w:left w:val="nil"/>
              <w:bottom w:val="single" w:sz="4" w:space="0" w:color="000000"/>
              <w:right w:val="single" w:sz="4" w:space="0" w:color="000000"/>
            </w:tcBorders>
            <w:shd w:val="clear" w:color="000000" w:fill="FFFFFF"/>
            <w:hideMark/>
          </w:tcPr>
          <w:p w14:paraId="068453BD" w14:textId="28BC394B"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r w:rsidR="008C10B0"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1D8D3FA5" w14:textId="36893EED"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127,242,603</w:t>
            </w:r>
          </w:p>
        </w:tc>
      </w:tr>
      <w:tr w:rsidR="008C10B0" w:rsidRPr="00450621" w14:paraId="51A9004C"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60CFF5A"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Equipo de Defensa y Seguridad</w:t>
            </w:r>
          </w:p>
        </w:tc>
        <w:tc>
          <w:tcPr>
            <w:tcW w:w="1318" w:type="dxa"/>
            <w:tcBorders>
              <w:top w:val="nil"/>
              <w:left w:val="nil"/>
              <w:bottom w:val="single" w:sz="4" w:space="0" w:color="000000"/>
              <w:right w:val="single" w:sz="4" w:space="0" w:color="000000"/>
            </w:tcBorders>
            <w:shd w:val="clear" w:color="000000" w:fill="FFFFFF"/>
            <w:hideMark/>
          </w:tcPr>
          <w:p w14:paraId="3BACD75E" w14:textId="24345834"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70CF0969" w14:textId="4FE4D9A6"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3,629,837</w:t>
            </w:r>
          </w:p>
        </w:tc>
      </w:tr>
      <w:tr w:rsidR="008C10B0" w:rsidRPr="00450621" w14:paraId="20F9C079"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B7D46E3"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Maquinaria, Otros Equipos y Herramientas</w:t>
            </w:r>
          </w:p>
        </w:tc>
        <w:tc>
          <w:tcPr>
            <w:tcW w:w="1318" w:type="dxa"/>
            <w:tcBorders>
              <w:top w:val="nil"/>
              <w:left w:val="nil"/>
              <w:bottom w:val="single" w:sz="4" w:space="0" w:color="000000"/>
              <w:right w:val="single" w:sz="4" w:space="0" w:color="000000"/>
            </w:tcBorders>
            <w:shd w:val="clear" w:color="000000" w:fill="FFFFFF"/>
            <w:hideMark/>
          </w:tcPr>
          <w:p w14:paraId="70156627" w14:textId="04757164"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7FFCD163" w14:textId="3B69CF37"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263,214,710</w:t>
            </w:r>
          </w:p>
        </w:tc>
      </w:tr>
      <w:tr w:rsidR="008C10B0" w:rsidRPr="00450621" w14:paraId="2150F8B9"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8599F06"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Colecciones, Obras de Arte y Objetos Valiosos</w:t>
            </w:r>
          </w:p>
        </w:tc>
        <w:tc>
          <w:tcPr>
            <w:tcW w:w="1318" w:type="dxa"/>
            <w:tcBorders>
              <w:top w:val="nil"/>
              <w:left w:val="nil"/>
              <w:bottom w:val="single" w:sz="4" w:space="0" w:color="000000"/>
              <w:right w:val="single" w:sz="4" w:space="0" w:color="000000"/>
            </w:tcBorders>
            <w:shd w:val="clear" w:color="000000" w:fill="FFFFFF"/>
            <w:hideMark/>
          </w:tcPr>
          <w:p w14:paraId="11368472"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7383C607"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54BD26BE"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A62A68D"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Activos Biológicos</w:t>
            </w:r>
          </w:p>
        </w:tc>
        <w:tc>
          <w:tcPr>
            <w:tcW w:w="1318" w:type="dxa"/>
            <w:tcBorders>
              <w:top w:val="nil"/>
              <w:left w:val="nil"/>
              <w:bottom w:val="single" w:sz="4" w:space="0" w:color="000000"/>
              <w:right w:val="single" w:sz="4" w:space="0" w:color="000000"/>
            </w:tcBorders>
            <w:shd w:val="clear" w:color="000000" w:fill="FFFFFF"/>
            <w:hideMark/>
          </w:tcPr>
          <w:p w14:paraId="759C44CA"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0707E3DC"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77C8193E"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7842D39" w14:textId="77777777" w:rsidR="008C10B0" w:rsidRPr="00F8171F" w:rsidRDefault="008C10B0" w:rsidP="008C10B0">
            <w:pPr>
              <w:spacing w:after="0" w:line="240" w:lineRule="auto"/>
              <w:rPr>
                <w:rFonts w:ascii="Arial" w:eastAsia="Times New Roman" w:hAnsi="Arial" w:cs="Arial"/>
                <w:b/>
                <w:color w:val="000000"/>
                <w:sz w:val="14"/>
                <w:szCs w:val="14"/>
                <w:lang w:eastAsia="es-MX"/>
              </w:rPr>
            </w:pPr>
            <w:r w:rsidRPr="00F8171F">
              <w:rPr>
                <w:rFonts w:ascii="Arial" w:eastAsia="Times New Roman" w:hAnsi="Arial" w:cs="Arial"/>
                <w:b/>
                <w:color w:val="000000"/>
                <w:sz w:val="14"/>
                <w:szCs w:val="14"/>
                <w:lang w:eastAsia="es-MX"/>
              </w:rPr>
              <w:t>Otras Inversiones</w:t>
            </w:r>
          </w:p>
        </w:tc>
        <w:tc>
          <w:tcPr>
            <w:tcW w:w="1318" w:type="dxa"/>
            <w:tcBorders>
              <w:top w:val="nil"/>
              <w:left w:val="nil"/>
              <w:bottom w:val="single" w:sz="4" w:space="0" w:color="000000"/>
              <w:right w:val="single" w:sz="4" w:space="0" w:color="000000"/>
            </w:tcBorders>
            <w:shd w:val="clear" w:color="000000" w:fill="FFFFFF"/>
            <w:hideMark/>
          </w:tcPr>
          <w:p w14:paraId="24C7DA9F" w14:textId="737AEEF8" w:rsidR="008C10B0" w:rsidRPr="00F8171F" w:rsidRDefault="00903CC7" w:rsidP="008C10B0">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97,497,600</w:t>
            </w:r>
          </w:p>
        </w:tc>
        <w:tc>
          <w:tcPr>
            <w:tcW w:w="1267" w:type="dxa"/>
            <w:tcBorders>
              <w:top w:val="nil"/>
              <w:left w:val="nil"/>
              <w:bottom w:val="single" w:sz="4" w:space="0" w:color="000000"/>
              <w:right w:val="single" w:sz="4" w:space="0" w:color="000000"/>
            </w:tcBorders>
            <w:shd w:val="clear" w:color="000000" w:fill="FFFFFF"/>
          </w:tcPr>
          <w:p w14:paraId="221AC36E" w14:textId="279D92DA" w:rsidR="008C10B0" w:rsidRPr="00F8171F" w:rsidRDefault="00E72137" w:rsidP="008C10B0">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62,677,733</w:t>
            </w:r>
          </w:p>
        </w:tc>
      </w:tr>
      <w:tr w:rsidR="008C10B0" w:rsidRPr="00450621" w14:paraId="75F41469" w14:textId="77777777" w:rsidTr="008C10B0">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527D47E6" w14:textId="77777777" w:rsidR="008C10B0" w:rsidRPr="00450621" w:rsidRDefault="008C10B0" w:rsidP="008C10B0">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TOTAL</w:t>
            </w:r>
          </w:p>
        </w:tc>
        <w:tc>
          <w:tcPr>
            <w:tcW w:w="1318" w:type="dxa"/>
            <w:tcBorders>
              <w:top w:val="nil"/>
              <w:left w:val="nil"/>
              <w:bottom w:val="single" w:sz="4" w:space="0" w:color="000000"/>
              <w:right w:val="single" w:sz="4" w:space="0" w:color="000000"/>
            </w:tcBorders>
            <w:shd w:val="clear" w:color="000000" w:fill="D3D3D3"/>
            <w:vAlign w:val="bottom"/>
            <w:hideMark/>
          </w:tcPr>
          <w:p w14:paraId="2B3C1D72" w14:textId="62219491" w:rsidR="008C10B0" w:rsidRPr="00450621" w:rsidRDefault="00903CC7"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97,701,063</w:t>
            </w:r>
          </w:p>
        </w:tc>
        <w:tc>
          <w:tcPr>
            <w:tcW w:w="1267" w:type="dxa"/>
            <w:tcBorders>
              <w:top w:val="nil"/>
              <w:left w:val="nil"/>
              <w:bottom w:val="single" w:sz="4" w:space="0" w:color="000000"/>
              <w:right w:val="single" w:sz="4" w:space="0" w:color="000000"/>
            </w:tcBorders>
            <w:shd w:val="clear" w:color="000000" w:fill="D3D3D3"/>
          </w:tcPr>
          <w:p w14:paraId="3C425E8E" w14:textId="77777777" w:rsidR="008C10B0" w:rsidRDefault="008C10B0" w:rsidP="008C10B0">
            <w:pPr>
              <w:spacing w:after="0" w:line="240" w:lineRule="auto"/>
              <w:jc w:val="right"/>
              <w:rPr>
                <w:rFonts w:ascii="Arial" w:eastAsia="Times New Roman" w:hAnsi="Arial" w:cs="Arial"/>
                <w:b/>
                <w:bCs/>
                <w:color w:val="000000"/>
                <w:sz w:val="16"/>
                <w:szCs w:val="16"/>
                <w:lang w:eastAsia="es-MX"/>
              </w:rPr>
            </w:pPr>
          </w:p>
          <w:p w14:paraId="593233A5" w14:textId="00F138F9" w:rsidR="008C10B0" w:rsidRDefault="00E72137"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2,180,119,751</w:t>
            </w:r>
          </w:p>
        </w:tc>
      </w:tr>
    </w:tbl>
    <w:p w14:paraId="2FBFE752" w14:textId="77777777" w:rsidR="008C10B0" w:rsidRDefault="008C10B0" w:rsidP="008C10B0">
      <w:pPr>
        <w:pStyle w:val="INCISO"/>
        <w:tabs>
          <w:tab w:val="left" w:pos="284"/>
        </w:tabs>
        <w:spacing w:after="0" w:line="276" w:lineRule="auto"/>
        <w:ind w:left="284" w:firstLine="0"/>
        <w:rPr>
          <w:b/>
          <w:smallCaps/>
        </w:rPr>
      </w:pPr>
    </w:p>
    <w:p w14:paraId="701A1345" w14:textId="77777777" w:rsidR="008C10B0" w:rsidRDefault="008C10B0" w:rsidP="008C10B0">
      <w:pPr>
        <w:spacing w:after="0" w:line="240" w:lineRule="exact"/>
        <w:mirrorIndents/>
        <w:jc w:val="both"/>
        <w:rPr>
          <w:rFonts w:ascii="Arial" w:eastAsia="Times New Roman" w:hAnsi="Arial" w:cs="Arial"/>
          <w:sz w:val="18"/>
          <w:szCs w:val="18"/>
          <w:lang w:eastAsia="es-ES"/>
        </w:rPr>
      </w:pPr>
      <w:r w:rsidRPr="002640DB">
        <w:rPr>
          <w:rFonts w:ascii="Arial" w:eastAsia="Times New Roman" w:hAnsi="Arial" w:cs="Arial"/>
          <w:sz w:val="18"/>
          <w:szCs w:val="18"/>
          <w:lang w:eastAsia="es-ES"/>
        </w:rPr>
        <w:t>3. Conciliación de los Flujos de Efectivo Netos de las Actividades de Operación y los saldos de Resultados del Ejercicio (Ahorro/Desahorro).</w:t>
      </w:r>
    </w:p>
    <w:p w14:paraId="33624025" w14:textId="77777777" w:rsidR="008C10B0" w:rsidRDefault="008C10B0" w:rsidP="008C10B0">
      <w:pPr>
        <w:spacing w:after="0" w:line="240" w:lineRule="exact"/>
        <w:mirrorIndents/>
        <w:jc w:val="both"/>
        <w:rPr>
          <w:rFonts w:ascii="Arial" w:eastAsia="Times New Roman" w:hAnsi="Arial" w:cs="Arial"/>
          <w:b/>
          <w:smallCaps/>
          <w:sz w:val="18"/>
          <w:szCs w:val="18"/>
          <w:lang w:val="es-ES" w:eastAsia="es-ES"/>
        </w:rPr>
      </w:pPr>
    </w:p>
    <w:tbl>
      <w:tblPr>
        <w:tblW w:w="9350" w:type="dxa"/>
        <w:jc w:val="center"/>
        <w:tblCellMar>
          <w:left w:w="70" w:type="dxa"/>
          <w:right w:w="70" w:type="dxa"/>
        </w:tblCellMar>
        <w:tblLook w:val="04A0" w:firstRow="1" w:lastRow="0" w:firstColumn="1" w:lastColumn="0" w:noHBand="0" w:noVBand="1"/>
      </w:tblPr>
      <w:tblGrid>
        <w:gridCol w:w="6765"/>
        <w:gridCol w:w="1318"/>
        <w:gridCol w:w="1267"/>
      </w:tblGrid>
      <w:tr w:rsidR="008C10B0" w:rsidRPr="00450621" w14:paraId="236BF042" w14:textId="77777777" w:rsidTr="008C10B0">
        <w:trPr>
          <w:trHeight w:val="3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5B438B81" w14:textId="77777777" w:rsidR="008C10B0" w:rsidRPr="00450621" w:rsidRDefault="008C10B0" w:rsidP="008C10B0">
            <w:pPr>
              <w:spacing w:after="0" w:line="240" w:lineRule="auto"/>
              <w:jc w:val="center"/>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CONCILIACION DE FLUJOS DE EFECTIVO NETOS</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494BB951" w14:textId="77777777" w:rsidR="008C10B0" w:rsidRPr="00450621" w:rsidRDefault="008C10B0" w:rsidP="008C10B0">
            <w:pPr>
              <w:spacing w:after="0" w:line="240" w:lineRule="auto"/>
              <w:jc w:val="right"/>
              <w:rPr>
                <w:rFonts w:ascii="Arial" w:eastAsia="Times New Roman" w:hAnsi="Arial" w:cs="Arial"/>
                <w:b/>
                <w:bCs/>
                <w:color w:val="000000"/>
                <w:sz w:val="16"/>
                <w:szCs w:val="16"/>
                <w:lang w:eastAsia="es-MX"/>
              </w:rPr>
            </w:pPr>
          </w:p>
        </w:tc>
        <w:tc>
          <w:tcPr>
            <w:tcW w:w="1267" w:type="dxa"/>
            <w:tcBorders>
              <w:top w:val="single" w:sz="4" w:space="0" w:color="000000"/>
              <w:left w:val="nil"/>
              <w:bottom w:val="single" w:sz="4" w:space="0" w:color="000000"/>
              <w:right w:val="single" w:sz="4" w:space="0" w:color="000000"/>
            </w:tcBorders>
            <w:shd w:val="clear" w:color="000000" w:fill="D3D3D3"/>
          </w:tcPr>
          <w:p w14:paraId="79113004" w14:textId="77777777" w:rsidR="008C10B0" w:rsidRDefault="008C10B0" w:rsidP="008C10B0">
            <w:pPr>
              <w:spacing w:after="0" w:line="240" w:lineRule="auto"/>
              <w:jc w:val="right"/>
              <w:rPr>
                <w:rFonts w:ascii="Arial" w:eastAsia="Times New Roman" w:hAnsi="Arial" w:cs="Arial"/>
                <w:b/>
                <w:bCs/>
                <w:color w:val="000000"/>
                <w:sz w:val="16"/>
                <w:szCs w:val="16"/>
                <w:lang w:eastAsia="es-MX"/>
              </w:rPr>
            </w:pPr>
          </w:p>
        </w:tc>
      </w:tr>
      <w:tr w:rsidR="008C10B0" w:rsidRPr="00450621" w14:paraId="34CA8009" w14:textId="77777777" w:rsidTr="008C10B0">
        <w:trPr>
          <w:trHeight w:val="274"/>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tcPr>
          <w:p w14:paraId="7EECCF8B" w14:textId="77777777" w:rsidR="008C10B0" w:rsidRPr="00450621" w:rsidRDefault="008C10B0" w:rsidP="008C10B0">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Concepto</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5DE2F0D8" w14:textId="4C247B72" w:rsidR="008C10B0" w:rsidRDefault="005B3AB4" w:rsidP="008C10B0">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2025</w:t>
            </w:r>
          </w:p>
        </w:tc>
        <w:tc>
          <w:tcPr>
            <w:tcW w:w="1267" w:type="dxa"/>
            <w:tcBorders>
              <w:top w:val="single" w:sz="4" w:space="0" w:color="000000"/>
              <w:left w:val="nil"/>
              <w:bottom w:val="single" w:sz="4" w:space="0" w:color="000000"/>
              <w:right w:val="single" w:sz="4" w:space="0" w:color="000000"/>
            </w:tcBorders>
            <w:shd w:val="clear" w:color="000000" w:fill="D3D3D3"/>
          </w:tcPr>
          <w:p w14:paraId="663E774B" w14:textId="77777777" w:rsidR="008C10B0" w:rsidRDefault="008C10B0" w:rsidP="008C10B0">
            <w:pPr>
              <w:spacing w:after="0" w:line="240" w:lineRule="auto"/>
              <w:jc w:val="center"/>
              <w:rPr>
                <w:rFonts w:ascii="Arial" w:eastAsia="Times New Roman" w:hAnsi="Arial" w:cs="Arial"/>
                <w:b/>
                <w:bCs/>
                <w:color w:val="000000"/>
                <w:sz w:val="16"/>
                <w:szCs w:val="16"/>
                <w:lang w:eastAsia="es-MX"/>
              </w:rPr>
            </w:pPr>
          </w:p>
          <w:p w14:paraId="05735683" w14:textId="645104DC" w:rsidR="008C10B0" w:rsidRDefault="00903CC7" w:rsidP="008C10B0">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w:t>
            </w:r>
            <w:r w:rsidR="005B3AB4">
              <w:rPr>
                <w:rFonts w:ascii="Arial" w:eastAsia="Times New Roman" w:hAnsi="Arial" w:cs="Arial"/>
                <w:b/>
                <w:bCs/>
                <w:color w:val="000000"/>
                <w:sz w:val="16"/>
                <w:szCs w:val="16"/>
                <w:lang w:eastAsia="es-MX"/>
              </w:rPr>
              <w:t>4</w:t>
            </w:r>
          </w:p>
        </w:tc>
      </w:tr>
      <w:tr w:rsidR="008C10B0" w:rsidRPr="00450621" w14:paraId="29EC8701" w14:textId="77777777" w:rsidTr="008C10B0">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579EA5B2" w14:textId="77777777" w:rsidR="008C10B0" w:rsidRPr="00450621" w:rsidRDefault="008C10B0" w:rsidP="008C10B0">
            <w:pPr>
              <w:spacing w:after="0" w:line="240" w:lineRule="auto"/>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Resultados del Ejercicio Ahorro/Desahorro</w:t>
            </w:r>
          </w:p>
        </w:tc>
        <w:tc>
          <w:tcPr>
            <w:tcW w:w="1318" w:type="dxa"/>
            <w:tcBorders>
              <w:top w:val="nil"/>
              <w:left w:val="nil"/>
              <w:bottom w:val="single" w:sz="4" w:space="0" w:color="000000"/>
              <w:right w:val="single" w:sz="4" w:space="0" w:color="000000"/>
            </w:tcBorders>
            <w:shd w:val="clear" w:color="000000" w:fill="FFFFFF"/>
            <w:vAlign w:val="bottom"/>
            <w:hideMark/>
          </w:tcPr>
          <w:p w14:paraId="7C4781FD" w14:textId="6221FB7B" w:rsidR="008C10B0" w:rsidRPr="00450621" w:rsidRDefault="005B3AB4"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2,897,916,808</w:t>
            </w:r>
          </w:p>
        </w:tc>
        <w:tc>
          <w:tcPr>
            <w:tcW w:w="1267" w:type="dxa"/>
            <w:tcBorders>
              <w:top w:val="nil"/>
              <w:left w:val="nil"/>
              <w:bottom w:val="single" w:sz="4" w:space="0" w:color="000000"/>
              <w:right w:val="single" w:sz="4" w:space="0" w:color="000000"/>
            </w:tcBorders>
            <w:shd w:val="clear" w:color="000000" w:fill="FFFFFF"/>
          </w:tcPr>
          <w:p w14:paraId="5E52CF6E" w14:textId="5458EAF5" w:rsidR="008C10B0" w:rsidRDefault="008A338A"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2,202,659,488</w:t>
            </w:r>
          </w:p>
        </w:tc>
      </w:tr>
      <w:tr w:rsidR="008C10B0" w:rsidRPr="00450621" w14:paraId="1E892814"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203F53F"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Movimientos de partidas (o rubros) que no afectan al efectivo</w:t>
            </w:r>
          </w:p>
        </w:tc>
        <w:tc>
          <w:tcPr>
            <w:tcW w:w="1318" w:type="dxa"/>
            <w:tcBorders>
              <w:top w:val="nil"/>
              <w:left w:val="nil"/>
              <w:bottom w:val="single" w:sz="4" w:space="0" w:color="000000"/>
              <w:right w:val="single" w:sz="4" w:space="0" w:color="000000"/>
            </w:tcBorders>
            <w:shd w:val="clear" w:color="000000" w:fill="FFFFFF"/>
            <w:hideMark/>
          </w:tcPr>
          <w:p w14:paraId="1CE46175"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007B8AD1"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6067FB5C"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ED34AEE"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Depreciación</w:t>
            </w:r>
          </w:p>
        </w:tc>
        <w:tc>
          <w:tcPr>
            <w:tcW w:w="1318" w:type="dxa"/>
            <w:tcBorders>
              <w:top w:val="nil"/>
              <w:left w:val="nil"/>
              <w:bottom w:val="single" w:sz="4" w:space="0" w:color="000000"/>
              <w:right w:val="single" w:sz="4" w:space="0" w:color="000000"/>
            </w:tcBorders>
            <w:shd w:val="clear" w:color="000000" w:fill="FFFFFF"/>
            <w:hideMark/>
          </w:tcPr>
          <w:p w14:paraId="5AEE4C43"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02F08697"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8E3C48" w14:paraId="71512835"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022F495"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Amortización</w:t>
            </w:r>
          </w:p>
        </w:tc>
        <w:tc>
          <w:tcPr>
            <w:tcW w:w="1318" w:type="dxa"/>
            <w:tcBorders>
              <w:top w:val="nil"/>
              <w:left w:val="nil"/>
              <w:bottom w:val="single" w:sz="4" w:space="0" w:color="000000"/>
              <w:right w:val="single" w:sz="4" w:space="0" w:color="000000"/>
            </w:tcBorders>
            <w:shd w:val="clear" w:color="000000" w:fill="FFFFFF"/>
            <w:hideMark/>
          </w:tcPr>
          <w:p w14:paraId="280DC1C9" w14:textId="77777777" w:rsidR="008C10B0" w:rsidRPr="008E3C48"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bCs/>
                <w:color w:val="000000"/>
                <w:sz w:val="16"/>
                <w:szCs w:val="16"/>
                <w:lang w:eastAsia="es-MX"/>
              </w:rPr>
              <w:t>0</w:t>
            </w:r>
          </w:p>
        </w:tc>
        <w:tc>
          <w:tcPr>
            <w:tcW w:w="1267" w:type="dxa"/>
            <w:tcBorders>
              <w:top w:val="nil"/>
              <w:left w:val="nil"/>
              <w:bottom w:val="single" w:sz="4" w:space="0" w:color="000000"/>
              <w:right w:val="single" w:sz="4" w:space="0" w:color="000000"/>
            </w:tcBorders>
            <w:shd w:val="clear" w:color="000000" w:fill="FFFFFF"/>
          </w:tcPr>
          <w:p w14:paraId="32D004B3" w14:textId="77777777" w:rsidR="008C10B0" w:rsidRPr="008E3C48" w:rsidRDefault="008C10B0" w:rsidP="008C10B0">
            <w:pPr>
              <w:spacing w:after="0" w:line="240" w:lineRule="auto"/>
              <w:jc w:val="right"/>
              <w:rPr>
                <w:rFonts w:ascii="Arial" w:eastAsia="Times New Roman" w:hAnsi="Arial" w:cs="Arial"/>
                <w:bCs/>
                <w:color w:val="000000"/>
                <w:sz w:val="16"/>
                <w:szCs w:val="16"/>
                <w:lang w:eastAsia="es-MX"/>
              </w:rPr>
            </w:pPr>
            <w:r>
              <w:rPr>
                <w:rFonts w:ascii="Arial" w:eastAsia="Times New Roman" w:hAnsi="Arial" w:cs="Arial"/>
                <w:bCs/>
                <w:color w:val="000000"/>
                <w:sz w:val="16"/>
                <w:szCs w:val="16"/>
                <w:lang w:eastAsia="es-MX"/>
              </w:rPr>
              <w:t>0</w:t>
            </w:r>
          </w:p>
        </w:tc>
      </w:tr>
      <w:tr w:rsidR="008C10B0" w:rsidRPr="00450621" w14:paraId="2C1BE81A"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18069A5"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Incrementos en las provisiones</w:t>
            </w:r>
          </w:p>
        </w:tc>
        <w:tc>
          <w:tcPr>
            <w:tcW w:w="1318" w:type="dxa"/>
            <w:tcBorders>
              <w:top w:val="nil"/>
              <w:left w:val="nil"/>
              <w:bottom w:val="single" w:sz="4" w:space="0" w:color="000000"/>
              <w:right w:val="single" w:sz="4" w:space="0" w:color="000000"/>
            </w:tcBorders>
            <w:shd w:val="clear" w:color="000000" w:fill="FFFFFF"/>
            <w:hideMark/>
          </w:tcPr>
          <w:p w14:paraId="4661CA77"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30A103CF" w14:textId="77777777" w:rsidR="008C10B0"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4889B83A"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5A4075C"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Incremento en inversiones producido por revaluación</w:t>
            </w:r>
          </w:p>
        </w:tc>
        <w:tc>
          <w:tcPr>
            <w:tcW w:w="1318" w:type="dxa"/>
            <w:tcBorders>
              <w:top w:val="nil"/>
              <w:left w:val="nil"/>
              <w:bottom w:val="single" w:sz="4" w:space="0" w:color="000000"/>
              <w:right w:val="single" w:sz="4" w:space="0" w:color="000000"/>
            </w:tcBorders>
            <w:shd w:val="clear" w:color="000000" w:fill="FFFFFF"/>
            <w:hideMark/>
          </w:tcPr>
          <w:p w14:paraId="40BB2D10"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67BC9414"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4F33FA51"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66D77AA"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lastRenderedPageBreak/>
              <w:t>Ganancia/pérdida en venta de bienes muebles, inmuebles e intangibles</w:t>
            </w:r>
          </w:p>
        </w:tc>
        <w:tc>
          <w:tcPr>
            <w:tcW w:w="1318" w:type="dxa"/>
            <w:tcBorders>
              <w:top w:val="nil"/>
              <w:left w:val="nil"/>
              <w:bottom w:val="single" w:sz="4" w:space="0" w:color="000000"/>
              <w:right w:val="single" w:sz="4" w:space="0" w:color="000000"/>
            </w:tcBorders>
            <w:shd w:val="clear" w:color="000000" w:fill="FFFFFF"/>
            <w:hideMark/>
          </w:tcPr>
          <w:p w14:paraId="1094927F"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2EC4CE88"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7FE54D37"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816D723"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Incremento en cuentas por cobrar</w:t>
            </w:r>
          </w:p>
        </w:tc>
        <w:tc>
          <w:tcPr>
            <w:tcW w:w="1318" w:type="dxa"/>
            <w:tcBorders>
              <w:top w:val="nil"/>
              <w:left w:val="nil"/>
              <w:bottom w:val="single" w:sz="4" w:space="0" w:color="000000"/>
              <w:right w:val="single" w:sz="4" w:space="0" w:color="000000"/>
            </w:tcBorders>
            <w:shd w:val="clear" w:color="000000" w:fill="FFFFFF"/>
            <w:hideMark/>
          </w:tcPr>
          <w:p w14:paraId="3F4807CC"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495FEBC9"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2D3316E9" w14:textId="77777777" w:rsidTr="008C10B0">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1AD036F6" w14:textId="77777777" w:rsidR="008C10B0" w:rsidRPr="00450621" w:rsidRDefault="008C10B0" w:rsidP="008C10B0">
            <w:pPr>
              <w:spacing w:after="0" w:line="240" w:lineRule="auto"/>
              <w:jc w:val="center"/>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Flujos de Efectivo Netos de las Actividades de Operación</w:t>
            </w:r>
          </w:p>
        </w:tc>
        <w:tc>
          <w:tcPr>
            <w:tcW w:w="1318" w:type="dxa"/>
            <w:tcBorders>
              <w:top w:val="nil"/>
              <w:left w:val="nil"/>
              <w:bottom w:val="single" w:sz="4" w:space="0" w:color="000000"/>
              <w:right w:val="single" w:sz="4" w:space="0" w:color="000000"/>
            </w:tcBorders>
            <w:shd w:val="clear" w:color="000000" w:fill="D3D3D3"/>
            <w:vAlign w:val="bottom"/>
            <w:hideMark/>
          </w:tcPr>
          <w:p w14:paraId="40D93822" w14:textId="09CAD65D" w:rsidR="008C10B0" w:rsidRPr="00450621" w:rsidRDefault="005B3AB4"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2,897,916,808</w:t>
            </w:r>
          </w:p>
        </w:tc>
        <w:tc>
          <w:tcPr>
            <w:tcW w:w="1267" w:type="dxa"/>
            <w:tcBorders>
              <w:top w:val="nil"/>
              <w:left w:val="nil"/>
              <w:bottom w:val="single" w:sz="4" w:space="0" w:color="000000"/>
              <w:right w:val="single" w:sz="4" w:space="0" w:color="000000"/>
            </w:tcBorders>
            <w:shd w:val="clear" w:color="000000" w:fill="D3D3D3"/>
          </w:tcPr>
          <w:p w14:paraId="684B561A" w14:textId="48393685" w:rsidR="008C10B0" w:rsidRDefault="008A338A"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2,202,659,488</w:t>
            </w:r>
          </w:p>
        </w:tc>
      </w:tr>
    </w:tbl>
    <w:p w14:paraId="1C02BEF7" w14:textId="77777777" w:rsidR="008C10B0" w:rsidRDefault="008C10B0" w:rsidP="008C10B0">
      <w:pPr>
        <w:pStyle w:val="INCISO"/>
        <w:tabs>
          <w:tab w:val="left" w:pos="284"/>
        </w:tabs>
        <w:spacing w:after="0" w:line="276" w:lineRule="auto"/>
        <w:ind w:left="284" w:firstLine="0"/>
        <w:rPr>
          <w:b/>
          <w:smallCaps/>
        </w:rPr>
      </w:pPr>
    </w:p>
    <w:p w14:paraId="3064C6CC" w14:textId="77777777" w:rsidR="008C10B0" w:rsidRDefault="008C10B0" w:rsidP="008C10B0">
      <w:pPr>
        <w:pStyle w:val="INCISO"/>
        <w:tabs>
          <w:tab w:val="left" w:pos="284"/>
        </w:tabs>
        <w:spacing w:after="0" w:line="276" w:lineRule="auto"/>
        <w:ind w:left="284" w:firstLine="0"/>
        <w:rPr>
          <w:b/>
          <w:smallCaps/>
        </w:rPr>
      </w:pPr>
    </w:p>
    <w:p w14:paraId="252B5B60" w14:textId="77777777" w:rsidR="008C10B0" w:rsidRPr="0073056A" w:rsidRDefault="008C10B0" w:rsidP="008C10B0">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14:paraId="0B5D2E7F" w14:textId="77777777" w:rsidR="008C10B0" w:rsidRPr="0073056A" w:rsidRDefault="008C10B0" w:rsidP="008C10B0">
      <w:pPr>
        <w:pStyle w:val="Texto"/>
        <w:tabs>
          <w:tab w:val="left" w:pos="284"/>
        </w:tabs>
        <w:spacing w:after="0" w:line="276" w:lineRule="auto"/>
        <w:ind w:left="284" w:firstLine="0"/>
        <w:jc w:val="center"/>
        <w:rPr>
          <w:b/>
          <w:smallCaps/>
          <w:szCs w:val="18"/>
          <w:lang w:val="es-MX"/>
        </w:rPr>
      </w:pPr>
    </w:p>
    <w:p w14:paraId="10CD6F98" w14:textId="77777777" w:rsidR="008C10B0" w:rsidRPr="0073056A" w:rsidRDefault="008C10B0" w:rsidP="008C10B0">
      <w:pPr>
        <w:pStyle w:val="Texto"/>
        <w:tabs>
          <w:tab w:val="left" w:pos="284"/>
        </w:tabs>
        <w:spacing w:after="0" w:line="276" w:lineRule="auto"/>
        <w:ind w:left="284" w:firstLine="0"/>
        <w:rPr>
          <w:szCs w:val="18"/>
          <w:lang w:val="es-MX"/>
        </w:rPr>
      </w:pPr>
      <w:r w:rsidRPr="0073056A">
        <w:rPr>
          <w:szCs w:val="18"/>
          <w:lang w:val="es-MX"/>
        </w:rPr>
        <w:t xml:space="preserve">La conciliación se presentará atendiendo a lo dispuesto por </w:t>
      </w:r>
      <w:r>
        <w:rPr>
          <w:szCs w:val="18"/>
          <w:lang w:val="es-MX"/>
        </w:rPr>
        <w:t>el</w:t>
      </w:r>
      <w:r w:rsidRPr="0073056A">
        <w:rPr>
          <w:szCs w:val="18"/>
          <w:lang w:val="es-MX"/>
        </w:rPr>
        <w:t xml:space="preserve"> Acuerdo por el que se emite el formato de conciliación entre los ingresos presupuestarios y contables, así como entre los egresos presupuestarios y los gastos contables.</w:t>
      </w:r>
    </w:p>
    <w:p w14:paraId="343EC933" w14:textId="77777777" w:rsidR="008C10B0" w:rsidRDefault="008C10B0" w:rsidP="008C10B0">
      <w:pPr>
        <w:rPr>
          <w:lang w:eastAsia="es-ES"/>
        </w:rPr>
      </w:pPr>
    </w:p>
    <w:p w14:paraId="67B97F18" w14:textId="77777777" w:rsidR="008C10B0" w:rsidRPr="006942ED" w:rsidRDefault="003066A1" w:rsidP="008C10B0">
      <w:pPr>
        <w:rPr>
          <w:lang w:eastAsia="es-ES"/>
        </w:rPr>
      </w:pPr>
      <w:r>
        <w:rPr>
          <w:noProof/>
          <w:szCs w:val="18"/>
          <w:lang w:val="es-ES" w:eastAsia="es-MX"/>
        </w:rPr>
        <w:object w:dxaOrig="1440" w:dyaOrig="1440" w14:anchorId="08E2FB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5" type="#_x0000_t75" style="position:absolute;margin-left:-58.4pt;margin-top:25.4pt;width:585.5pt;height:351pt;z-index:251669504">
            <v:imagedata r:id="rId12" o:title=""/>
            <w10:wrap type="topAndBottom"/>
          </v:shape>
          <o:OLEObject Type="Embed" ProgID="Excel.Sheet.12" ShapeID="_x0000_s2105" DrawAspect="Content" ObjectID="_1815315441" r:id="rId13"/>
        </w:object>
      </w:r>
    </w:p>
    <w:p w14:paraId="524DA631" w14:textId="77777777" w:rsidR="008C10B0" w:rsidRDefault="008C10B0" w:rsidP="008C10B0">
      <w:pPr>
        <w:ind w:firstLine="708"/>
        <w:rPr>
          <w:lang w:eastAsia="es-ES"/>
        </w:rPr>
      </w:pPr>
    </w:p>
    <w:p w14:paraId="07ED83EA" w14:textId="77777777" w:rsidR="008C10B0" w:rsidRDefault="003066A1" w:rsidP="008C10B0">
      <w:pPr>
        <w:ind w:firstLine="708"/>
        <w:rPr>
          <w:lang w:eastAsia="es-ES"/>
        </w:rPr>
      </w:pPr>
      <w:r>
        <w:rPr>
          <w:b/>
          <w:smallCaps/>
          <w:noProof/>
          <w:szCs w:val="18"/>
          <w:lang w:eastAsia="es-MX"/>
        </w:rPr>
        <w:lastRenderedPageBreak/>
        <w:object w:dxaOrig="1440" w:dyaOrig="1440" w14:anchorId="06C5EE27">
          <v:shape id="_x0000_s2106" type="#_x0000_t75" style="position:absolute;left:0;text-align:left;margin-left:-11.7pt;margin-top:12.75pt;width:501pt;height:524.95pt;z-index:251670528">
            <v:imagedata r:id="rId14" o:title=""/>
            <w10:wrap type="topAndBottom"/>
          </v:shape>
          <o:OLEObject Type="Embed" ProgID="Excel.Sheet.12" ShapeID="_x0000_s2106" DrawAspect="Content" ObjectID="_1815315442" r:id="rId15"/>
        </w:object>
      </w:r>
    </w:p>
    <w:p w14:paraId="3DEA60E1" w14:textId="77777777" w:rsidR="008C10B0" w:rsidRPr="006942ED" w:rsidRDefault="008C10B0" w:rsidP="008C10B0">
      <w:pPr>
        <w:ind w:firstLine="708"/>
        <w:rPr>
          <w:lang w:eastAsia="es-ES"/>
        </w:rPr>
      </w:pPr>
    </w:p>
    <w:p w14:paraId="63936C68" w14:textId="77777777" w:rsidR="008C10B0" w:rsidRDefault="008C10B0" w:rsidP="008C10B0">
      <w:pPr>
        <w:pStyle w:val="Texto"/>
        <w:tabs>
          <w:tab w:val="left" w:pos="284"/>
        </w:tabs>
        <w:spacing w:after="0" w:line="276" w:lineRule="auto"/>
        <w:ind w:left="284" w:firstLine="0"/>
        <w:jc w:val="center"/>
        <w:rPr>
          <w:b/>
          <w:szCs w:val="18"/>
        </w:rPr>
      </w:pPr>
    </w:p>
    <w:p w14:paraId="29B2B55D" w14:textId="77777777" w:rsidR="008C10B0" w:rsidRDefault="008C10B0" w:rsidP="008C10B0">
      <w:pPr>
        <w:pStyle w:val="Texto"/>
        <w:tabs>
          <w:tab w:val="left" w:pos="284"/>
        </w:tabs>
        <w:spacing w:after="0" w:line="276" w:lineRule="auto"/>
        <w:ind w:left="284" w:firstLine="0"/>
        <w:jc w:val="center"/>
        <w:rPr>
          <w:b/>
          <w:szCs w:val="18"/>
        </w:rPr>
      </w:pPr>
    </w:p>
    <w:p w14:paraId="47E4739F" w14:textId="77777777" w:rsidR="008C10B0" w:rsidRDefault="008C10B0" w:rsidP="008C10B0">
      <w:pPr>
        <w:pStyle w:val="Texto"/>
        <w:tabs>
          <w:tab w:val="left" w:pos="284"/>
        </w:tabs>
        <w:spacing w:after="0" w:line="276" w:lineRule="auto"/>
        <w:ind w:left="284" w:firstLine="0"/>
        <w:jc w:val="center"/>
        <w:rPr>
          <w:b/>
          <w:szCs w:val="18"/>
        </w:rPr>
      </w:pPr>
    </w:p>
    <w:p w14:paraId="22347581" w14:textId="77777777" w:rsidR="008C10B0" w:rsidRDefault="008C10B0" w:rsidP="008C10B0">
      <w:pPr>
        <w:pStyle w:val="Texto"/>
        <w:tabs>
          <w:tab w:val="left" w:pos="284"/>
        </w:tabs>
        <w:spacing w:after="0" w:line="276" w:lineRule="auto"/>
        <w:ind w:left="284" w:firstLine="0"/>
        <w:jc w:val="center"/>
        <w:rPr>
          <w:b/>
          <w:szCs w:val="18"/>
        </w:rPr>
      </w:pPr>
    </w:p>
    <w:p w14:paraId="1C37382A" w14:textId="77777777" w:rsidR="00A6465D" w:rsidRDefault="00A6465D" w:rsidP="008C10B0">
      <w:pPr>
        <w:pStyle w:val="Texto"/>
        <w:tabs>
          <w:tab w:val="left" w:pos="284"/>
        </w:tabs>
        <w:spacing w:after="0" w:line="276" w:lineRule="auto"/>
        <w:ind w:left="284" w:firstLine="0"/>
        <w:jc w:val="center"/>
        <w:rPr>
          <w:b/>
          <w:szCs w:val="18"/>
        </w:rPr>
      </w:pPr>
    </w:p>
    <w:p w14:paraId="752996B3" w14:textId="77777777" w:rsidR="00A031F9" w:rsidRDefault="00A031F9" w:rsidP="008C10B0">
      <w:pPr>
        <w:pStyle w:val="Texto"/>
        <w:tabs>
          <w:tab w:val="left" w:pos="284"/>
        </w:tabs>
        <w:spacing w:after="0" w:line="276" w:lineRule="auto"/>
        <w:ind w:left="284" w:firstLine="0"/>
        <w:jc w:val="center"/>
        <w:rPr>
          <w:b/>
          <w:szCs w:val="18"/>
        </w:rPr>
      </w:pPr>
    </w:p>
    <w:p w14:paraId="518C8811" w14:textId="77777777" w:rsidR="008C10B0" w:rsidRDefault="008C10B0" w:rsidP="008C10B0">
      <w:pPr>
        <w:pStyle w:val="Texto"/>
        <w:tabs>
          <w:tab w:val="left" w:pos="284"/>
        </w:tabs>
        <w:spacing w:after="0" w:line="276" w:lineRule="auto"/>
        <w:ind w:left="284" w:firstLine="0"/>
        <w:jc w:val="center"/>
        <w:rPr>
          <w:b/>
          <w:szCs w:val="18"/>
        </w:rPr>
      </w:pPr>
    </w:p>
    <w:p w14:paraId="174CC27B" w14:textId="77777777" w:rsidR="008C10B0" w:rsidRDefault="008C10B0" w:rsidP="008C10B0">
      <w:pPr>
        <w:pStyle w:val="Texto"/>
        <w:tabs>
          <w:tab w:val="left" w:pos="284"/>
        </w:tabs>
        <w:spacing w:after="0" w:line="276" w:lineRule="auto"/>
        <w:ind w:left="284" w:firstLine="0"/>
        <w:jc w:val="center"/>
        <w:rPr>
          <w:b/>
          <w:szCs w:val="18"/>
        </w:rPr>
      </w:pPr>
    </w:p>
    <w:p w14:paraId="76CD950A" w14:textId="77777777" w:rsidR="008C10B0" w:rsidRPr="0073056A" w:rsidRDefault="008C10B0" w:rsidP="008C10B0">
      <w:pPr>
        <w:pStyle w:val="Texto"/>
        <w:tabs>
          <w:tab w:val="left" w:pos="284"/>
        </w:tabs>
        <w:spacing w:after="0" w:line="276" w:lineRule="auto"/>
        <w:ind w:left="284" w:firstLine="0"/>
        <w:jc w:val="center"/>
        <w:rPr>
          <w:b/>
          <w:szCs w:val="18"/>
          <w:lang w:val="es-MX"/>
        </w:rPr>
      </w:pPr>
      <w:r w:rsidRPr="0073056A">
        <w:rPr>
          <w:b/>
          <w:szCs w:val="18"/>
        </w:rPr>
        <w:lastRenderedPageBreak/>
        <w:t>b)</w:t>
      </w:r>
      <w:r w:rsidRPr="0073056A">
        <w:rPr>
          <w:szCs w:val="18"/>
        </w:rPr>
        <w:t xml:space="preserve"> </w:t>
      </w:r>
      <w:r w:rsidRPr="0073056A">
        <w:rPr>
          <w:b/>
          <w:szCs w:val="18"/>
          <w:lang w:val="es-MX"/>
        </w:rPr>
        <w:t>NOTAS DE MEMORIA (CUENTAS DE ORDEN)</w:t>
      </w:r>
    </w:p>
    <w:p w14:paraId="47DB8EDA" w14:textId="77777777" w:rsidR="008C10B0" w:rsidRPr="0073056A" w:rsidRDefault="008C10B0" w:rsidP="008C10B0">
      <w:pPr>
        <w:pStyle w:val="Texto"/>
        <w:tabs>
          <w:tab w:val="left" w:pos="284"/>
        </w:tabs>
        <w:spacing w:after="0" w:line="276" w:lineRule="auto"/>
        <w:ind w:left="284" w:firstLine="0"/>
        <w:rPr>
          <w:b/>
          <w:szCs w:val="18"/>
          <w:lang w:val="es-MX"/>
        </w:rPr>
      </w:pPr>
    </w:p>
    <w:p w14:paraId="4D042287" w14:textId="77777777" w:rsidR="008C10B0" w:rsidRPr="0073056A" w:rsidRDefault="008C10B0" w:rsidP="008C10B0">
      <w:pPr>
        <w:pStyle w:val="Texto"/>
        <w:tabs>
          <w:tab w:val="left" w:pos="284"/>
        </w:tabs>
        <w:spacing w:after="0" w:line="276" w:lineRule="auto"/>
        <w:ind w:left="284" w:firstLine="0"/>
        <w:rPr>
          <w:b/>
          <w:szCs w:val="18"/>
          <w:lang w:val="es-MX"/>
        </w:rPr>
      </w:pPr>
    </w:p>
    <w:p w14:paraId="32AD6D03" w14:textId="77777777" w:rsidR="008C10B0" w:rsidRPr="0073056A" w:rsidRDefault="008C10B0" w:rsidP="008C10B0">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14:paraId="423BC902" w14:textId="77777777" w:rsidR="008C10B0" w:rsidRDefault="008C10B0" w:rsidP="008C10B0">
      <w:pPr>
        <w:tabs>
          <w:tab w:val="left" w:pos="284"/>
        </w:tabs>
        <w:ind w:left="284"/>
        <w:jc w:val="both"/>
        <w:rPr>
          <w:rFonts w:ascii="Arial" w:hAnsi="Arial" w:cs="Arial"/>
          <w:b/>
          <w:sz w:val="18"/>
          <w:szCs w:val="18"/>
        </w:rPr>
      </w:pPr>
    </w:p>
    <w:p w14:paraId="0A9B1F0E" w14:textId="77777777" w:rsidR="008C10B0" w:rsidRPr="0073056A" w:rsidRDefault="008C10B0" w:rsidP="008C10B0">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14:paraId="7C0320F1" w14:textId="219366D7" w:rsidR="008C10B0" w:rsidRDefault="0078137F" w:rsidP="008C10B0">
      <w:pPr>
        <w:tabs>
          <w:tab w:val="left" w:pos="284"/>
        </w:tabs>
        <w:ind w:left="284"/>
        <w:jc w:val="both"/>
        <w:rPr>
          <w:rFonts w:ascii="Arial" w:hAnsi="Arial" w:cs="Arial"/>
          <w:sz w:val="18"/>
          <w:szCs w:val="18"/>
        </w:rPr>
      </w:pPr>
      <w:r>
        <w:rPr>
          <w:rFonts w:ascii="Arial" w:hAnsi="Arial" w:cs="Arial"/>
          <w:sz w:val="18"/>
          <w:szCs w:val="18"/>
        </w:rPr>
        <w:t xml:space="preserve">Al mes de </w:t>
      </w:r>
      <w:r w:rsidR="00A6465D">
        <w:rPr>
          <w:rFonts w:ascii="Arial" w:hAnsi="Arial" w:cs="Arial"/>
          <w:sz w:val="18"/>
          <w:szCs w:val="18"/>
        </w:rPr>
        <w:t>juni</w:t>
      </w:r>
      <w:r>
        <w:rPr>
          <w:rFonts w:ascii="Arial" w:hAnsi="Arial" w:cs="Arial"/>
          <w:sz w:val="18"/>
          <w:szCs w:val="18"/>
        </w:rPr>
        <w:t>o</w:t>
      </w:r>
      <w:r w:rsidR="008C10B0">
        <w:rPr>
          <w:rFonts w:ascii="Arial" w:hAnsi="Arial" w:cs="Arial"/>
          <w:sz w:val="18"/>
          <w:szCs w:val="18"/>
        </w:rPr>
        <w:t xml:space="preserve"> del</w:t>
      </w:r>
      <w:r>
        <w:rPr>
          <w:rFonts w:ascii="Arial" w:hAnsi="Arial" w:cs="Arial"/>
          <w:sz w:val="18"/>
          <w:szCs w:val="18"/>
        </w:rPr>
        <w:t xml:space="preserve"> 2025</w:t>
      </w:r>
      <w:r w:rsidR="008C10B0">
        <w:rPr>
          <w:rFonts w:ascii="Arial" w:hAnsi="Arial" w:cs="Arial"/>
          <w:sz w:val="18"/>
          <w:szCs w:val="18"/>
        </w:rPr>
        <w:t xml:space="preserve"> el Poder Ejecutivo no cuenta con Cuentas de Orden Contables.</w:t>
      </w:r>
    </w:p>
    <w:p w14:paraId="1F13BAFC" w14:textId="77777777" w:rsidR="008C10B0" w:rsidRPr="0073056A" w:rsidRDefault="008C10B0" w:rsidP="008C10B0">
      <w:pPr>
        <w:tabs>
          <w:tab w:val="left" w:pos="284"/>
        </w:tabs>
        <w:ind w:left="284"/>
        <w:jc w:val="both"/>
        <w:rPr>
          <w:rFonts w:ascii="Arial" w:hAnsi="Arial" w:cs="Arial"/>
          <w:sz w:val="18"/>
          <w:szCs w:val="18"/>
        </w:rPr>
      </w:pPr>
    </w:p>
    <w:p w14:paraId="52F90BB8" w14:textId="77777777" w:rsidR="008C10B0" w:rsidRPr="0073056A" w:rsidRDefault="008C10B0" w:rsidP="008C10B0">
      <w:pPr>
        <w:tabs>
          <w:tab w:val="left" w:pos="284"/>
        </w:tabs>
        <w:ind w:left="284"/>
        <w:jc w:val="both"/>
        <w:rPr>
          <w:rFonts w:ascii="Arial" w:hAnsi="Arial" w:cs="Arial"/>
          <w:b/>
          <w:sz w:val="18"/>
          <w:szCs w:val="18"/>
        </w:rPr>
      </w:pPr>
      <w:r w:rsidRPr="002640DB">
        <w:rPr>
          <w:rFonts w:ascii="Arial" w:hAnsi="Arial" w:cs="Arial"/>
          <w:b/>
          <w:sz w:val="18"/>
          <w:szCs w:val="18"/>
        </w:rPr>
        <w:t>Cuentas de Orden Presupuestales</w:t>
      </w:r>
    </w:p>
    <w:p w14:paraId="37437832"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el Estado de Actividades del Gobierno del Estado presenta el Saldo del periodo de las Cuentas Presupuestales del Ingreso y del Egreso.</w:t>
      </w:r>
    </w:p>
    <w:p w14:paraId="3266F4A6" w14:textId="77777777" w:rsidR="008C10B0" w:rsidRDefault="008C10B0" w:rsidP="008C10B0">
      <w:pPr>
        <w:spacing w:after="0"/>
        <w:jc w:val="center"/>
        <w:rPr>
          <w:rFonts w:ascii="Arial" w:hAnsi="Arial" w:cs="Arial"/>
          <w:sz w:val="18"/>
          <w:szCs w:val="18"/>
        </w:rPr>
      </w:pPr>
    </w:p>
    <w:p w14:paraId="32C46005" w14:textId="77777777" w:rsidR="008C10B0" w:rsidRDefault="008C10B0" w:rsidP="008C10B0">
      <w:pPr>
        <w:spacing w:after="0"/>
        <w:jc w:val="center"/>
        <w:rPr>
          <w:rFonts w:ascii="Arial" w:hAnsi="Arial" w:cs="Arial"/>
          <w:sz w:val="18"/>
          <w:szCs w:val="18"/>
        </w:rPr>
      </w:pPr>
    </w:p>
    <w:tbl>
      <w:tblPr>
        <w:tblW w:w="0" w:type="auto"/>
        <w:jc w:val="center"/>
        <w:tblLayout w:type="fixed"/>
        <w:tblLook w:val="0000" w:firstRow="0" w:lastRow="0" w:firstColumn="0" w:lastColumn="0" w:noHBand="0" w:noVBand="0"/>
      </w:tblPr>
      <w:tblGrid>
        <w:gridCol w:w="5570"/>
        <w:gridCol w:w="1743"/>
      </w:tblGrid>
      <w:tr w:rsidR="008C10B0" w:rsidRPr="00450621" w14:paraId="6482CF64"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32A45FE2"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r>
              <w:rPr>
                <w:rFonts w:ascii="Arial" w:eastAsia="Times New Roman" w:hAnsi="Arial" w:cs="Arial"/>
                <w:b/>
                <w:sz w:val="18"/>
                <w:szCs w:val="18"/>
                <w:lang w:eastAsia="es-ES"/>
              </w:rPr>
              <w:t>Cuentas de Orden Presupuestarias de Ingresos</w:t>
            </w:r>
          </w:p>
        </w:tc>
        <w:tc>
          <w:tcPr>
            <w:tcW w:w="1743" w:type="dxa"/>
            <w:tcBorders>
              <w:top w:val="single" w:sz="6" w:space="0" w:color="auto"/>
              <w:left w:val="single" w:sz="6" w:space="0" w:color="auto"/>
              <w:bottom w:val="single" w:sz="6" w:space="0" w:color="auto"/>
              <w:right w:val="single" w:sz="6" w:space="0" w:color="auto"/>
            </w:tcBorders>
          </w:tcPr>
          <w:p w14:paraId="66FF2030"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p>
        </w:tc>
      </w:tr>
      <w:tr w:rsidR="008C10B0" w:rsidRPr="00450621" w14:paraId="17BE0DB9"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095B1622"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Concepto</w:t>
            </w:r>
          </w:p>
        </w:tc>
        <w:tc>
          <w:tcPr>
            <w:tcW w:w="1743" w:type="dxa"/>
            <w:tcBorders>
              <w:top w:val="single" w:sz="6" w:space="0" w:color="auto"/>
              <w:left w:val="single" w:sz="6" w:space="0" w:color="auto"/>
              <w:bottom w:val="single" w:sz="6" w:space="0" w:color="auto"/>
              <w:right w:val="single" w:sz="6" w:space="0" w:color="auto"/>
            </w:tcBorders>
          </w:tcPr>
          <w:p w14:paraId="066CD1EC" w14:textId="4BCB5BF2" w:rsidR="008C10B0" w:rsidRPr="00DA460F" w:rsidRDefault="0078137F" w:rsidP="008C10B0">
            <w:pPr>
              <w:spacing w:after="0" w:line="240" w:lineRule="exact"/>
              <w:mirrorIndents/>
              <w:jc w:val="center"/>
              <w:rPr>
                <w:rFonts w:ascii="Arial" w:eastAsia="Times New Roman" w:hAnsi="Arial" w:cs="Arial"/>
                <w:b/>
                <w:sz w:val="18"/>
                <w:szCs w:val="18"/>
                <w:lang w:eastAsia="es-ES"/>
              </w:rPr>
            </w:pPr>
            <w:r>
              <w:rPr>
                <w:rFonts w:ascii="Arial" w:eastAsia="Times New Roman" w:hAnsi="Arial" w:cs="Arial"/>
                <w:b/>
                <w:sz w:val="18"/>
                <w:szCs w:val="18"/>
                <w:lang w:eastAsia="es-ES"/>
              </w:rPr>
              <w:t>2025</w:t>
            </w:r>
          </w:p>
        </w:tc>
      </w:tr>
      <w:tr w:rsidR="008C10B0" w:rsidRPr="00450621" w14:paraId="74B43CA0"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71213484"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Estimada</w:t>
            </w:r>
          </w:p>
        </w:tc>
        <w:tc>
          <w:tcPr>
            <w:tcW w:w="1743" w:type="dxa"/>
            <w:tcBorders>
              <w:top w:val="single" w:sz="6" w:space="0" w:color="auto"/>
              <w:left w:val="single" w:sz="6" w:space="0" w:color="auto"/>
              <w:bottom w:val="single" w:sz="6" w:space="0" w:color="auto"/>
              <w:right w:val="single" w:sz="6" w:space="0" w:color="auto"/>
            </w:tcBorders>
          </w:tcPr>
          <w:p w14:paraId="21E8A2A4" w14:textId="7CB8DC83" w:rsidR="008C10B0" w:rsidRPr="00450621" w:rsidRDefault="00752AC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14,124,555,774</w:t>
            </w:r>
          </w:p>
        </w:tc>
      </w:tr>
      <w:tr w:rsidR="008C10B0" w:rsidRPr="00450621" w14:paraId="7BC7DB3B"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4186B82B"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por Ejecutar</w:t>
            </w:r>
          </w:p>
        </w:tc>
        <w:tc>
          <w:tcPr>
            <w:tcW w:w="1743" w:type="dxa"/>
            <w:tcBorders>
              <w:top w:val="single" w:sz="6" w:space="0" w:color="auto"/>
              <w:left w:val="single" w:sz="6" w:space="0" w:color="auto"/>
              <w:bottom w:val="single" w:sz="6" w:space="0" w:color="auto"/>
              <w:right w:val="single" w:sz="6" w:space="0" w:color="auto"/>
            </w:tcBorders>
          </w:tcPr>
          <w:p w14:paraId="68540EC7" w14:textId="77777777" w:rsidR="008C10B0" w:rsidRPr="00450621" w:rsidRDefault="008C10B0"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0</w:t>
            </w:r>
          </w:p>
        </w:tc>
      </w:tr>
      <w:tr w:rsidR="008C10B0" w:rsidRPr="00450621" w14:paraId="3BA46A10"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3D3258B3"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Modificaciones a la Ley de Ingresos Estimada</w:t>
            </w:r>
            <w:r w:rsidRPr="00450621">
              <w:rPr>
                <w:rFonts w:ascii="Arial" w:eastAsia="Times New Roman" w:hAnsi="Arial" w:cs="Arial"/>
                <w:sz w:val="18"/>
                <w:szCs w:val="18"/>
                <w:lang w:eastAsia="es-ES"/>
              </w:rPr>
              <w:t xml:space="preserve"> </w:t>
            </w:r>
          </w:p>
        </w:tc>
        <w:tc>
          <w:tcPr>
            <w:tcW w:w="1743" w:type="dxa"/>
            <w:tcBorders>
              <w:top w:val="single" w:sz="6" w:space="0" w:color="auto"/>
              <w:left w:val="single" w:sz="6" w:space="0" w:color="auto"/>
              <w:bottom w:val="single" w:sz="6" w:space="0" w:color="auto"/>
              <w:right w:val="single" w:sz="6" w:space="0" w:color="auto"/>
            </w:tcBorders>
          </w:tcPr>
          <w:p w14:paraId="4F81A504" w14:textId="011A880F" w:rsidR="008C10B0" w:rsidRPr="00450621" w:rsidRDefault="00752AC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1,795,146,680</w:t>
            </w:r>
          </w:p>
        </w:tc>
      </w:tr>
      <w:tr w:rsidR="008C10B0" w:rsidRPr="00450621" w14:paraId="1A82E8AE"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2D85B8F6"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Devengada</w:t>
            </w:r>
          </w:p>
        </w:tc>
        <w:tc>
          <w:tcPr>
            <w:tcW w:w="1743" w:type="dxa"/>
            <w:tcBorders>
              <w:top w:val="single" w:sz="6" w:space="0" w:color="auto"/>
              <w:left w:val="single" w:sz="6" w:space="0" w:color="auto"/>
              <w:bottom w:val="single" w:sz="6" w:space="0" w:color="auto"/>
              <w:right w:val="single" w:sz="6" w:space="0" w:color="auto"/>
            </w:tcBorders>
          </w:tcPr>
          <w:p w14:paraId="7E158457" w14:textId="77777777" w:rsidR="008C10B0" w:rsidRPr="00450621" w:rsidRDefault="008C10B0"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0</w:t>
            </w:r>
          </w:p>
        </w:tc>
      </w:tr>
      <w:tr w:rsidR="008C10B0" w:rsidRPr="00450621" w14:paraId="62D8F95A"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2B25246B"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Recaudada</w:t>
            </w:r>
          </w:p>
        </w:tc>
        <w:tc>
          <w:tcPr>
            <w:tcW w:w="1743" w:type="dxa"/>
            <w:tcBorders>
              <w:top w:val="single" w:sz="6" w:space="0" w:color="auto"/>
              <w:left w:val="single" w:sz="6" w:space="0" w:color="auto"/>
              <w:bottom w:val="single" w:sz="6" w:space="0" w:color="auto"/>
              <w:right w:val="single" w:sz="6" w:space="0" w:color="auto"/>
            </w:tcBorders>
          </w:tcPr>
          <w:p w14:paraId="4AF2E21B" w14:textId="4699000E" w:rsidR="008C10B0" w:rsidRPr="00450621" w:rsidRDefault="00752AC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15,919,702,454</w:t>
            </w:r>
          </w:p>
        </w:tc>
      </w:tr>
    </w:tbl>
    <w:p w14:paraId="38E2DFD7" w14:textId="77777777" w:rsidR="008C10B0" w:rsidRDefault="008C10B0" w:rsidP="008C10B0">
      <w:pPr>
        <w:spacing w:after="0"/>
        <w:jc w:val="center"/>
        <w:rPr>
          <w:rFonts w:ascii="Arial" w:hAnsi="Arial" w:cs="Arial"/>
          <w:sz w:val="18"/>
          <w:szCs w:val="18"/>
        </w:rPr>
      </w:pPr>
    </w:p>
    <w:p w14:paraId="72B21564" w14:textId="77777777" w:rsidR="008C10B0" w:rsidRDefault="008C10B0" w:rsidP="008C10B0">
      <w:pPr>
        <w:spacing w:after="0"/>
        <w:jc w:val="center"/>
        <w:rPr>
          <w:rFonts w:ascii="Arial" w:hAnsi="Arial" w:cs="Arial"/>
          <w:sz w:val="18"/>
          <w:szCs w:val="18"/>
        </w:rPr>
      </w:pPr>
    </w:p>
    <w:p w14:paraId="34EB98D0" w14:textId="77777777" w:rsidR="008C10B0" w:rsidRDefault="008C10B0" w:rsidP="008C10B0">
      <w:pPr>
        <w:spacing w:after="0"/>
        <w:jc w:val="center"/>
        <w:rPr>
          <w:rFonts w:ascii="Arial" w:hAnsi="Arial" w:cs="Arial"/>
          <w:sz w:val="18"/>
          <w:szCs w:val="18"/>
        </w:rPr>
      </w:pPr>
    </w:p>
    <w:tbl>
      <w:tblPr>
        <w:tblW w:w="0" w:type="auto"/>
        <w:jc w:val="center"/>
        <w:tblLayout w:type="fixed"/>
        <w:tblLook w:val="0000" w:firstRow="0" w:lastRow="0" w:firstColumn="0" w:lastColumn="0" w:noHBand="0" w:noVBand="0"/>
      </w:tblPr>
      <w:tblGrid>
        <w:gridCol w:w="5570"/>
        <w:gridCol w:w="1743"/>
      </w:tblGrid>
      <w:tr w:rsidR="008C10B0" w:rsidRPr="00450621" w14:paraId="5929D27B"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4D52243A"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r>
              <w:rPr>
                <w:rFonts w:ascii="Arial" w:eastAsia="Times New Roman" w:hAnsi="Arial" w:cs="Arial"/>
                <w:b/>
                <w:sz w:val="18"/>
                <w:szCs w:val="18"/>
                <w:lang w:eastAsia="es-ES"/>
              </w:rPr>
              <w:t>Cuentas de Orden Presupuestarias de Egresos</w:t>
            </w:r>
          </w:p>
        </w:tc>
        <w:tc>
          <w:tcPr>
            <w:tcW w:w="1743" w:type="dxa"/>
            <w:tcBorders>
              <w:top w:val="single" w:sz="6" w:space="0" w:color="auto"/>
              <w:left w:val="single" w:sz="6" w:space="0" w:color="auto"/>
              <w:bottom w:val="single" w:sz="6" w:space="0" w:color="auto"/>
              <w:right w:val="single" w:sz="6" w:space="0" w:color="auto"/>
            </w:tcBorders>
          </w:tcPr>
          <w:p w14:paraId="6344958B"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p>
        </w:tc>
      </w:tr>
      <w:tr w:rsidR="008C10B0" w:rsidRPr="00450621" w14:paraId="3460A0CC"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347CA27C"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Concepto</w:t>
            </w:r>
          </w:p>
        </w:tc>
        <w:tc>
          <w:tcPr>
            <w:tcW w:w="1743" w:type="dxa"/>
            <w:tcBorders>
              <w:top w:val="single" w:sz="6" w:space="0" w:color="auto"/>
              <w:left w:val="single" w:sz="6" w:space="0" w:color="auto"/>
              <w:bottom w:val="single" w:sz="6" w:space="0" w:color="auto"/>
              <w:right w:val="single" w:sz="6" w:space="0" w:color="auto"/>
            </w:tcBorders>
          </w:tcPr>
          <w:p w14:paraId="2C7234CE" w14:textId="2759147C" w:rsidR="008C10B0" w:rsidRPr="00DA460F" w:rsidRDefault="008C10B0" w:rsidP="00F33647">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202</w:t>
            </w:r>
            <w:r w:rsidR="00F33647">
              <w:rPr>
                <w:rFonts w:ascii="Arial" w:eastAsia="Times New Roman" w:hAnsi="Arial" w:cs="Arial"/>
                <w:b/>
                <w:sz w:val="18"/>
                <w:szCs w:val="18"/>
                <w:lang w:eastAsia="es-ES"/>
              </w:rPr>
              <w:t>5</w:t>
            </w:r>
          </w:p>
        </w:tc>
      </w:tr>
      <w:tr w:rsidR="008C10B0" w:rsidRPr="00450621" w14:paraId="4A73AE22"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7A058367"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Aprobado</w:t>
            </w:r>
          </w:p>
        </w:tc>
        <w:tc>
          <w:tcPr>
            <w:tcW w:w="1743" w:type="dxa"/>
            <w:tcBorders>
              <w:top w:val="single" w:sz="6" w:space="0" w:color="auto"/>
              <w:left w:val="single" w:sz="6" w:space="0" w:color="auto"/>
              <w:bottom w:val="single" w:sz="6" w:space="0" w:color="auto"/>
              <w:right w:val="single" w:sz="6" w:space="0" w:color="auto"/>
            </w:tcBorders>
          </w:tcPr>
          <w:p w14:paraId="408F09B1" w14:textId="49F21517" w:rsidR="008C10B0" w:rsidRPr="00450621" w:rsidRDefault="00752AC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14,124,555,774</w:t>
            </w:r>
          </w:p>
        </w:tc>
      </w:tr>
      <w:tr w:rsidR="008C10B0" w:rsidRPr="00450621" w14:paraId="7BE52DA2"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52EC183B"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por Ejercer</w:t>
            </w:r>
          </w:p>
        </w:tc>
        <w:tc>
          <w:tcPr>
            <w:tcW w:w="1743" w:type="dxa"/>
            <w:tcBorders>
              <w:top w:val="single" w:sz="6" w:space="0" w:color="auto"/>
              <w:left w:val="single" w:sz="6" w:space="0" w:color="auto"/>
              <w:bottom w:val="single" w:sz="6" w:space="0" w:color="auto"/>
              <w:right w:val="single" w:sz="6" w:space="0" w:color="auto"/>
            </w:tcBorders>
          </w:tcPr>
          <w:p w14:paraId="466A6D05" w14:textId="72B26994" w:rsidR="008C10B0" w:rsidRPr="00450621" w:rsidRDefault="00752AC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2,059,865,359</w:t>
            </w:r>
          </w:p>
        </w:tc>
      </w:tr>
      <w:tr w:rsidR="008C10B0" w:rsidRPr="00450621" w14:paraId="14BC5B2B"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2214915F"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Modificaciones al Presupuesto de Egresos Aprobado</w:t>
            </w:r>
            <w:r w:rsidRPr="00450621">
              <w:rPr>
                <w:rFonts w:ascii="Arial" w:eastAsia="Times New Roman" w:hAnsi="Arial" w:cs="Arial"/>
                <w:sz w:val="18"/>
                <w:szCs w:val="18"/>
                <w:lang w:eastAsia="es-ES"/>
              </w:rPr>
              <w:t xml:space="preserve"> </w:t>
            </w:r>
          </w:p>
        </w:tc>
        <w:tc>
          <w:tcPr>
            <w:tcW w:w="1743" w:type="dxa"/>
            <w:tcBorders>
              <w:top w:val="single" w:sz="6" w:space="0" w:color="auto"/>
              <w:left w:val="single" w:sz="6" w:space="0" w:color="auto"/>
              <w:bottom w:val="single" w:sz="6" w:space="0" w:color="auto"/>
              <w:right w:val="single" w:sz="6" w:space="0" w:color="auto"/>
            </w:tcBorders>
          </w:tcPr>
          <w:p w14:paraId="0A19A42F" w14:textId="34FDA393" w:rsidR="008C10B0" w:rsidRPr="00450621" w:rsidRDefault="00752AC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1,795,146,680</w:t>
            </w:r>
          </w:p>
        </w:tc>
      </w:tr>
      <w:tr w:rsidR="008C10B0" w:rsidRPr="00450621" w14:paraId="7FD807AB"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19024E06"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Comprometido</w:t>
            </w:r>
          </w:p>
        </w:tc>
        <w:tc>
          <w:tcPr>
            <w:tcW w:w="1743" w:type="dxa"/>
            <w:tcBorders>
              <w:top w:val="single" w:sz="6" w:space="0" w:color="auto"/>
              <w:left w:val="single" w:sz="6" w:space="0" w:color="auto"/>
              <w:bottom w:val="single" w:sz="6" w:space="0" w:color="auto"/>
              <w:right w:val="single" w:sz="6" w:space="0" w:color="auto"/>
            </w:tcBorders>
          </w:tcPr>
          <w:p w14:paraId="08780803" w14:textId="6E91791C" w:rsidR="008C10B0" w:rsidRPr="00450621" w:rsidRDefault="00752AC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706,858,714</w:t>
            </w:r>
          </w:p>
        </w:tc>
      </w:tr>
      <w:tr w:rsidR="008C10B0" w:rsidRPr="00450621" w14:paraId="3EE2B985"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1DAB2E3F"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Devengado</w:t>
            </w:r>
          </w:p>
        </w:tc>
        <w:tc>
          <w:tcPr>
            <w:tcW w:w="1743" w:type="dxa"/>
            <w:tcBorders>
              <w:top w:val="single" w:sz="6" w:space="0" w:color="auto"/>
              <w:left w:val="single" w:sz="6" w:space="0" w:color="auto"/>
              <w:bottom w:val="single" w:sz="6" w:space="0" w:color="auto"/>
              <w:right w:val="single" w:sz="6" w:space="0" w:color="auto"/>
            </w:tcBorders>
          </w:tcPr>
          <w:p w14:paraId="4B19FBEE" w14:textId="77777777" w:rsidR="008C10B0" w:rsidRPr="00450621" w:rsidRDefault="008C10B0"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0</w:t>
            </w:r>
          </w:p>
        </w:tc>
      </w:tr>
      <w:tr w:rsidR="008C10B0" w:rsidRPr="00AD5155" w14:paraId="22E3E4F0"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1AF3F7EA" w14:textId="77777777" w:rsidR="008C10B0" w:rsidRPr="00FF3187" w:rsidRDefault="008C10B0" w:rsidP="008C10B0">
            <w:pPr>
              <w:spacing w:after="0" w:line="240" w:lineRule="exact"/>
              <w:mirrorIndents/>
              <w:rPr>
                <w:rFonts w:ascii="Arial" w:eastAsia="Times New Roman" w:hAnsi="Arial" w:cs="Arial"/>
                <w:sz w:val="18"/>
                <w:szCs w:val="18"/>
                <w:lang w:eastAsia="es-ES"/>
              </w:rPr>
            </w:pPr>
            <w:r w:rsidRPr="00FF3187">
              <w:rPr>
                <w:rFonts w:ascii="Arial" w:eastAsia="Times New Roman" w:hAnsi="Arial" w:cs="Arial"/>
                <w:sz w:val="18"/>
                <w:szCs w:val="18"/>
                <w:lang w:eastAsia="es-ES"/>
              </w:rPr>
              <w:t>Presupuesto de Egresos Ejercido</w:t>
            </w:r>
          </w:p>
        </w:tc>
        <w:tc>
          <w:tcPr>
            <w:tcW w:w="1743" w:type="dxa"/>
            <w:tcBorders>
              <w:top w:val="single" w:sz="6" w:space="0" w:color="auto"/>
              <w:left w:val="single" w:sz="6" w:space="0" w:color="auto"/>
              <w:bottom w:val="single" w:sz="6" w:space="0" w:color="auto"/>
              <w:right w:val="single" w:sz="6" w:space="0" w:color="auto"/>
            </w:tcBorders>
          </w:tcPr>
          <w:p w14:paraId="1C7A8242" w14:textId="07284C10" w:rsidR="008C10B0" w:rsidRPr="00AD5155" w:rsidRDefault="00752AC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1,076,648</w:t>
            </w:r>
          </w:p>
        </w:tc>
      </w:tr>
      <w:tr w:rsidR="008C10B0" w:rsidRPr="00450621" w14:paraId="6C606795"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1BD27F31" w14:textId="77777777" w:rsidR="008C10B0" w:rsidRPr="00FF3187" w:rsidRDefault="008C10B0" w:rsidP="008C10B0">
            <w:pPr>
              <w:spacing w:after="0" w:line="240" w:lineRule="exact"/>
              <w:mirrorIndents/>
              <w:rPr>
                <w:rFonts w:ascii="Arial" w:eastAsia="Times New Roman" w:hAnsi="Arial" w:cs="Arial"/>
                <w:sz w:val="18"/>
                <w:szCs w:val="18"/>
                <w:lang w:eastAsia="es-ES"/>
              </w:rPr>
            </w:pPr>
            <w:r>
              <w:rPr>
                <w:rFonts w:ascii="Arial" w:eastAsia="Times New Roman" w:hAnsi="Arial" w:cs="Arial"/>
                <w:sz w:val="18"/>
                <w:szCs w:val="18"/>
                <w:lang w:eastAsia="es-ES"/>
              </w:rPr>
              <w:t>Presupuesto de Egresos Pagado</w:t>
            </w:r>
          </w:p>
        </w:tc>
        <w:tc>
          <w:tcPr>
            <w:tcW w:w="1743" w:type="dxa"/>
            <w:tcBorders>
              <w:top w:val="single" w:sz="6" w:space="0" w:color="auto"/>
              <w:left w:val="single" w:sz="6" w:space="0" w:color="auto"/>
              <w:bottom w:val="single" w:sz="6" w:space="0" w:color="auto"/>
              <w:right w:val="single" w:sz="6" w:space="0" w:color="auto"/>
            </w:tcBorders>
          </w:tcPr>
          <w:p w14:paraId="75663085" w14:textId="2E7DDCFB" w:rsidR="008C10B0" w:rsidRPr="00AD5155" w:rsidRDefault="00CF76DB"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13,151,901,733</w:t>
            </w:r>
          </w:p>
        </w:tc>
      </w:tr>
    </w:tbl>
    <w:p w14:paraId="4972B657" w14:textId="77777777" w:rsidR="008C10B0" w:rsidRDefault="008C10B0" w:rsidP="008C10B0">
      <w:pPr>
        <w:spacing w:after="0"/>
        <w:jc w:val="center"/>
        <w:rPr>
          <w:rFonts w:ascii="Arial" w:hAnsi="Arial" w:cs="Arial"/>
          <w:sz w:val="18"/>
          <w:szCs w:val="18"/>
        </w:rPr>
      </w:pPr>
    </w:p>
    <w:p w14:paraId="361D8C8C" w14:textId="77777777" w:rsidR="00C06ABE" w:rsidRDefault="00C06ABE" w:rsidP="008C10B0">
      <w:pPr>
        <w:spacing w:after="0"/>
        <w:jc w:val="center"/>
        <w:rPr>
          <w:rFonts w:ascii="Arial" w:hAnsi="Arial" w:cs="Arial"/>
          <w:sz w:val="18"/>
          <w:szCs w:val="18"/>
        </w:rPr>
      </w:pPr>
    </w:p>
    <w:sectPr w:rsidR="00C06ABE" w:rsidSect="000209E1">
      <w:headerReference w:type="even" r:id="rId16"/>
      <w:headerReference w:type="default" r:id="rId17"/>
      <w:footerReference w:type="even" r:id="rId18"/>
      <w:footerReference w:type="default" r:id="rId19"/>
      <w:pgSz w:w="12240" w:h="15840" w:code="1"/>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88D756" w14:textId="77777777" w:rsidR="00C42A2D" w:rsidRDefault="00C42A2D" w:rsidP="00EA5418">
      <w:pPr>
        <w:spacing w:after="0" w:line="240" w:lineRule="auto"/>
      </w:pPr>
      <w:r>
        <w:separator/>
      </w:r>
    </w:p>
  </w:endnote>
  <w:endnote w:type="continuationSeparator" w:id="0">
    <w:p w14:paraId="6FA6662C" w14:textId="77777777" w:rsidR="00C42A2D" w:rsidRDefault="00C42A2D"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DE62F" w14:textId="6A54ED55" w:rsidR="008736CF" w:rsidRPr="004E3EA4" w:rsidRDefault="008736CF"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0288" behindDoc="0" locked="0" layoutInCell="1" allowOverlap="1" wp14:anchorId="37C911D3" wp14:editId="37BD90F6">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359E933" id="12 Conector recto"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F33647" w:rsidRPr="00F33647">
          <w:rPr>
            <w:rFonts w:ascii="Arial" w:hAnsi="Arial" w:cs="Arial"/>
            <w:noProof/>
            <w:sz w:val="20"/>
            <w:lang w:val="es-ES"/>
          </w:rPr>
          <w:t>42</w:t>
        </w:r>
        <w:r w:rsidRPr="004E3EA4">
          <w:rPr>
            <w:rFonts w:ascii="Arial" w:hAnsi="Arial" w:cs="Arial"/>
            <w:sz w:val="20"/>
          </w:rPr>
          <w:fldChar w:fldCharType="end"/>
        </w:r>
      </w:sdtContent>
    </w:sdt>
  </w:p>
  <w:p w14:paraId="62447935" w14:textId="77777777" w:rsidR="008736CF" w:rsidRDefault="008736C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A476C" w14:textId="6CA8CB72" w:rsidR="008736CF" w:rsidRPr="003527CD" w:rsidRDefault="008736CF"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4144" behindDoc="0" locked="0" layoutInCell="1" allowOverlap="1" wp14:anchorId="7E6F07E1" wp14:editId="048E2CC4">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C85C0A1" id="3 Conector recto"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F33647" w:rsidRPr="00F33647">
          <w:rPr>
            <w:rFonts w:ascii="Arial" w:hAnsi="Arial" w:cs="Arial"/>
            <w:noProof/>
            <w:lang w:val="es-ES"/>
          </w:rPr>
          <w:t>43</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90EEB2" w14:textId="77777777" w:rsidR="00C42A2D" w:rsidRDefault="00C42A2D" w:rsidP="00EA5418">
      <w:pPr>
        <w:spacing w:after="0" w:line="240" w:lineRule="auto"/>
      </w:pPr>
      <w:r>
        <w:separator/>
      </w:r>
    </w:p>
  </w:footnote>
  <w:footnote w:type="continuationSeparator" w:id="0">
    <w:p w14:paraId="29822DD3" w14:textId="77777777" w:rsidR="00C42A2D" w:rsidRDefault="00C42A2D"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078E5" w14:textId="77777777" w:rsidR="008736CF" w:rsidRDefault="008736CF"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4FFE8DAB" wp14:editId="738DBE45">
              <wp:simplePos x="0" y="0"/>
              <wp:positionH relativeFrom="margin">
                <wp:posOffset>0</wp:posOffset>
              </wp:positionH>
              <wp:positionV relativeFrom="paragraph">
                <wp:posOffset>-344170</wp:posOffset>
              </wp:positionV>
              <wp:extent cx="4781550" cy="476250"/>
              <wp:effectExtent l="0" t="0" r="0" b="0"/>
              <wp:wrapNone/>
              <wp:docPr id="19" name="Grupo 19"/>
              <wp:cNvGraphicFramePr/>
              <a:graphic xmlns:a="http://schemas.openxmlformats.org/drawingml/2006/main">
                <a:graphicData uri="http://schemas.microsoft.com/office/word/2010/wordprocessingGroup">
                  <wpg:wgp>
                    <wpg:cNvGrpSpPr/>
                    <wpg:grpSpPr>
                      <a:xfrm>
                        <a:off x="0" y="0"/>
                        <a:ext cx="4781550" cy="476250"/>
                        <a:chOff x="0" y="0"/>
                        <a:chExt cx="4756506" cy="793750"/>
                      </a:xfrm>
                    </wpg:grpSpPr>
                    <wps:wsp>
                      <wps:cNvPr id="2" name="Cuadro de texto 5"/>
                      <wps:cNvSpPr txBox="1">
                        <a:spLocks noChangeArrowheads="1"/>
                      </wps:cNvSpPr>
                      <wps:spPr bwMode="auto">
                        <a:xfrm>
                          <a:off x="0" y="1905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4AC06" w14:textId="77777777" w:rsidR="008736CF" w:rsidRDefault="008736CF"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8736CF" w:rsidRDefault="008736C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3648075" y="0"/>
                          <a:ext cx="118745" cy="68072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3705225" y="38100"/>
                          <a:ext cx="1051281" cy="635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35C92" w14:textId="7E4CFA91" w:rsidR="008736CF" w:rsidRPr="00DE4269" w:rsidRDefault="008736CF"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2025</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FE8DAB" id="Grupo 19" o:spid="_x0000_s1026" style="position:absolute;left:0;text-align:left;margin-left:0;margin-top:-27.1pt;width:376.5pt;height:37.5pt;z-index:251669504;mso-position-horizontal-relative:margin;mso-width-relative:margin;mso-height-relative:margin" coordsize="47565,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o7q5W0t3kb7qAsceg5rgf2Yf2mfDf7W3wf07xx4TGof2HqkkscH2&#10;2HyZsxuUbK5OPmU96nmV+XqZSrU1UVJv3mm0urStd/K6+89CoooqjU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Q39sbyyliVtpkQrk9sjFeL/APBPT9kq6/Yl/Zb0P4d3&#10;2tW/iC40ea5lN7Dbm3STzZmkxsLMRjdjrXt1FHmd1PMsRTwdTARf7upKEpKy1lBTUXfdWU5aLR31&#10;2QUUUUHC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fixvb+9R&#10;vb+9SY9qMe1Bm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B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">
              <v:shapetype id="_x0000_t202" coordsize="21600,21600" o:spt="202" path="m,l,21600r21600,l21600,xe">
                <v:stroke joinstyle="miter"/>
                <v:path gradientshapeok="t" o:connecttype="rect"/>
              </v:shapetype>
              <v:shape id="Cuadro de texto 5" o:spid="_x0000_s1027" type="#_x0000_t202" style="position:absolute;top:190;width:36480;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5714AC06" w14:textId="77777777" w:rsidR="008736CF" w:rsidRDefault="008736CF"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8736CF" w:rsidRDefault="008736C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36480;width:1188;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029" type="#_x0000_t202" style="position:absolute;left:37052;top:381;width:10513;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7635C92" w14:textId="7E4CFA91" w:rsidR="008736CF" w:rsidRPr="00DE4269" w:rsidRDefault="008736CF"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2025</w:t>
                      </w:r>
                    </w:p>
                  </w:txbxContent>
                </v:textbox>
              </v:shape>
              <w10:wrap anchorx="margin"/>
            </v:group>
          </w:pict>
        </mc:Fallback>
      </mc:AlternateContent>
    </w:r>
    <w:r>
      <w:rPr>
        <w:noProof/>
        <w:lang w:eastAsia="es-MX"/>
      </w:rPr>
      <mc:AlternateContent>
        <mc:Choice Requires="wps">
          <w:drawing>
            <wp:anchor distT="0" distB="0" distL="114300" distR="114300" simplePos="0" relativeHeight="251664384" behindDoc="0" locked="0" layoutInCell="1" allowOverlap="1" wp14:anchorId="1FC96583" wp14:editId="0C482397">
              <wp:simplePos x="0" y="0"/>
              <wp:positionH relativeFrom="column">
                <wp:posOffset>-885825</wp:posOffset>
              </wp:positionH>
              <wp:positionV relativeFrom="paragraph">
                <wp:posOffset>235585</wp:posOffset>
              </wp:positionV>
              <wp:extent cx="7648575" cy="9525"/>
              <wp:effectExtent l="0" t="0" r="2857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485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48242A" id="4 Conector recto"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8.55pt" to="53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71BBA" w14:textId="77777777" w:rsidR="008736CF" w:rsidRPr="003527CD" w:rsidRDefault="008736CF"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2096" behindDoc="0" locked="0" layoutInCell="1" allowOverlap="1" wp14:anchorId="468A18E5" wp14:editId="3AE9D625">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C2BF727" id="1 Conector recto"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40B7A"/>
    <w:multiLevelType w:val="hybridMultilevel"/>
    <w:tmpl w:val="C15C92AA"/>
    <w:lvl w:ilvl="0" w:tplc="D03410B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486F73"/>
    <w:multiLevelType w:val="hybridMultilevel"/>
    <w:tmpl w:val="9ECA56B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 w15:restartNumberingAfterBreak="0">
    <w:nsid w:val="1D481B71"/>
    <w:multiLevelType w:val="singleLevel"/>
    <w:tmpl w:val="C6D685E8"/>
    <w:lvl w:ilvl="0">
      <w:start w:val="1"/>
      <w:numFmt w:val="bullet"/>
      <w:pStyle w:val="bullet"/>
      <w:lvlText w:val=""/>
      <w:lvlJc w:val="left"/>
      <w:pPr>
        <w:tabs>
          <w:tab w:val="num" w:pos="360"/>
        </w:tabs>
        <w:ind w:left="360" w:hanging="360"/>
      </w:pPr>
      <w:rPr>
        <w:rFonts w:ascii="Symbol" w:hAnsi="Symbol" w:hint="default"/>
      </w:rPr>
    </w:lvl>
  </w:abstractNum>
  <w:abstractNum w:abstractNumId="3" w15:restartNumberingAfterBreak="0">
    <w:nsid w:val="1ED63995"/>
    <w:multiLevelType w:val="hybridMultilevel"/>
    <w:tmpl w:val="A0628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0EB177B"/>
    <w:multiLevelType w:val="hybridMultilevel"/>
    <w:tmpl w:val="E716BD6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 w15:restartNumberingAfterBreak="0">
    <w:nsid w:val="23104E84"/>
    <w:multiLevelType w:val="hybridMultilevel"/>
    <w:tmpl w:val="26BA2848"/>
    <w:lvl w:ilvl="0" w:tplc="FA344E96">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4461C3"/>
    <w:multiLevelType w:val="hybridMultilevel"/>
    <w:tmpl w:val="4C46A19E"/>
    <w:lvl w:ilvl="0" w:tplc="9984C976">
      <w:start w:val="1"/>
      <w:numFmt w:val="low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372E3181"/>
    <w:multiLevelType w:val="hybridMultilevel"/>
    <w:tmpl w:val="CD2A64F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 w15:restartNumberingAfterBreak="0">
    <w:nsid w:val="67F73CFA"/>
    <w:multiLevelType w:val="hybridMultilevel"/>
    <w:tmpl w:val="7776821C"/>
    <w:lvl w:ilvl="0" w:tplc="4CBADEDE">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0" w15:restartNumberingAfterBreak="0">
    <w:nsid w:val="6F461939"/>
    <w:multiLevelType w:val="hybridMultilevel"/>
    <w:tmpl w:val="46E07CB6"/>
    <w:lvl w:ilvl="0" w:tplc="C96A7B30">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15:restartNumberingAfterBreak="0">
    <w:nsid w:val="711B6A8A"/>
    <w:multiLevelType w:val="hybridMultilevel"/>
    <w:tmpl w:val="21806CEE"/>
    <w:lvl w:ilvl="0" w:tplc="E2C42D0A">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2" w15:restartNumberingAfterBreak="0">
    <w:nsid w:val="7BE0120A"/>
    <w:multiLevelType w:val="hybridMultilevel"/>
    <w:tmpl w:val="116E003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F8C6E12"/>
    <w:multiLevelType w:val="hybridMultilevel"/>
    <w:tmpl w:val="6D82A80A"/>
    <w:lvl w:ilvl="0" w:tplc="6EAE94C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1486619">
    <w:abstractNumId w:val="13"/>
  </w:num>
  <w:num w:numId="2" w16cid:durableId="1710297815">
    <w:abstractNumId w:val="2"/>
  </w:num>
  <w:num w:numId="3" w16cid:durableId="1173034807">
    <w:abstractNumId w:val="6"/>
  </w:num>
  <w:num w:numId="4" w16cid:durableId="13338028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46423500">
    <w:abstractNumId w:val="9"/>
  </w:num>
  <w:num w:numId="6" w16cid:durableId="1815832550">
    <w:abstractNumId w:val="5"/>
  </w:num>
  <w:num w:numId="7" w16cid:durableId="45301386">
    <w:abstractNumId w:val="12"/>
  </w:num>
  <w:num w:numId="8" w16cid:durableId="6012584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96153295">
    <w:abstractNumId w:val="11"/>
  </w:num>
  <w:num w:numId="10" w16cid:durableId="164176641">
    <w:abstractNumId w:val="3"/>
  </w:num>
  <w:num w:numId="11" w16cid:durableId="1293288286">
    <w:abstractNumId w:val="0"/>
  </w:num>
  <w:num w:numId="12" w16cid:durableId="1529295193">
    <w:abstractNumId w:val="14"/>
  </w:num>
  <w:num w:numId="13" w16cid:durableId="1607078597">
    <w:abstractNumId w:val="4"/>
  </w:num>
  <w:num w:numId="14" w16cid:durableId="176576630">
    <w:abstractNumId w:val="1"/>
  </w:num>
  <w:num w:numId="15" w16cid:durableId="2140419225">
    <w:abstractNumId w:val="8"/>
  </w:num>
  <w:num w:numId="16" w16cid:durableId="1121076654">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evenAndOddHeaders/>
  <w:characterSpacingControl w:val="doNotCompress"/>
  <w:hdrShapeDefaults>
    <o:shapedefaults v:ext="edit" spidmax="210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1A15"/>
    <w:rsid w:val="000024D1"/>
    <w:rsid w:val="000040CE"/>
    <w:rsid w:val="000053D1"/>
    <w:rsid w:val="00005FA8"/>
    <w:rsid w:val="00006217"/>
    <w:rsid w:val="0000712A"/>
    <w:rsid w:val="0001342E"/>
    <w:rsid w:val="00013AA1"/>
    <w:rsid w:val="000155BC"/>
    <w:rsid w:val="000164D8"/>
    <w:rsid w:val="000202A5"/>
    <w:rsid w:val="000209E1"/>
    <w:rsid w:val="00021787"/>
    <w:rsid w:val="000243C9"/>
    <w:rsid w:val="00026C0E"/>
    <w:rsid w:val="00026DF6"/>
    <w:rsid w:val="000271C8"/>
    <w:rsid w:val="00031160"/>
    <w:rsid w:val="00031DC4"/>
    <w:rsid w:val="00032921"/>
    <w:rsid w:val="00037045"/>
    <w:rsid w:val="00037A4C"/>
    <w:rsid w:val="00037E57"/>
    <w:rsid w:val="000401B4"/>
    <w:rsid w:val="00040466"/>
    <w:rsid w:val="00041356"/>
    <w:rsid w:val="0004135F"/>
    <w:rsid w:val="000417DA"/>
    <w:rsid w:val="000438F0"/>
    <w:rsid w:val="00043D1E"/>
    <w:rsid w:val="00043F64"/>
    <w:rsid w:val="0004567A"/>
    <w:rsid w:val="00045A10"/>
    <w:rsid w:val="0004641E"/>
    <w:rsid w:val="0004695D"/>
    <w:rsid w:val="00046A62"/>
    <w:rsid w:val="00046F70"/>
    <w:rsid w:val="000534C6"/>
    <w:rsid w:val="00053994"/>
    <w:rsid w:val="00054C4D"/>
    <w:rsid w:val="00056EDF"/>
    <w:rsid w:val="000574E6"/>
    <w:rsid w:val="00057C1C"/>
    <w:rsid w:val="0006024D"/>
    <w:rsid w:val="00062509"/>
    <w:rsid w:val="00063159"/>
    <w:rsid w:val="000655E4"/>
    <w:rsid w:val="0006610A"/>
    <w:rsid w:val="00066115"/>
    <w:rsid w:val="0006650D"/>
    <w:rsid w:val="0006668A"/>
    <w:rsid w:val="000674ED"/>
    <w:rsid w:val="0006755E"/>
    <w:rsid w:val="00071309"/>
    <w:rsid w:val="00072BA1"/>
    <w:rsid w:val="00072C3F"/>
    <w:rsid w:val="00074247"/>
    <w:rsid w:val="00074536"/>
    <w:rsid w:val="0007519E"/>
    <w:rsid w:val="00075588"/>
    <w:rsid w:val="00076E1D"/>
    <w:rsid w:val="00077A1F"/>
    <w:rsid w:val="0008099F"/>
    <w:rsid w:val="00080D6B"/>
    <w:rsid w:val="00083D85"/>
    <w:rsid w:val="00084D46"/>
    <w:rsid w:val="000872D9"/>
    <w:rsid w:val="00090FD9"/>
    <w:rsid w:val="00091435"/>
    <w:rsid w:val="000932FE"/>
    <w:rsid w:val="0009604B"/>
    <w:rsid w:val="00097255"/>
    <w:rsid w:val="000A00F8"/>
    <w:rsid w:val="000A1DD4"/>
    <w:rsid w:val="000A30D1"/>
    <w:rsid w:val="000A4867"/>
    <w:rsid w:val="000A56CB"/>
    <w:rsid w:val="000A5776"/>
    <w:rsid w:val="000A58AB"/>
    <w:rsid w:val="000A7734"/>
    <w:rsid w:val="000A7AB8"/>
    <w:rsid w:val="000B0542"/>
    <w:rsid w:val="000B0742"/>
    <w:rsid w:val="000B32C6"/>
    <w:rsid w:val="000B3A2D"/>
    <w:rsid w:val="000B54AD"/>
    <w:rsid w:val="000B552D"/>
    <w:rsid w:val="000B5932"/>
    <w:rsid w:val="000B62E8"/>
    <w:rsid w:val="000B6DEA"/>
    <w:rsid w:val="000B6E5A"/>
    <w:rsid w:val="000C024C"/>
    <w:rsid w:val="000C11AF"/>
    <w:rsid w:val="000C3AF6"/>
    <w:rsid w:val="000C6BA6"/>
    <w:rsid w:val="000C6E95"/>
    <w:rsid w:val="000C7FBB"/>
    <w:rsid w:val="000D01E9"/>
    <w:rsid w:val="000D0EE3"/>
    <w:rsid w:val="000D2C1A"/>
    <w:rsid w:val="000D4D45"/>
    <w:rsid w:val="000D553D"/>
    <w:rsid w:val="000D76D8"/>
    <w:rsid w:val="000E029D"/>
    <w:rsid w:val="000E0A96"/>
    <w:rsid w:val="000E10A7"/>
    <w:rsid w:val="000E4072"/>
    <w:rsid w:val="000E5C7A"/>
    <w:rsid w:val="000E5D7B"/>
    <w:rsid w:val="000E6692"/>
    <w:rsid w:val="000F0E08"/>
    <w:rsid w:val="000F1B18"/>
    <w:rsid w:val="000F29BF"/>
    <w:rsid w:val="000F3BF5"/>
    <w:rsid w:val="000F5D5C"/>
    <w:rsid w:val="000F7AB4"/>
    <w:rsid w:val="00100FD7"/>
    <w:rsid w:val="0010182C"/>
    <w:rsid w:val="001022A3"/>
    <w:rsid w:val="001049BA"/>
    <w:rsid w:val="00105410"/>
    <w:rsid w:val="001054F7"/>
    <w:rsid w:val="00111884"/>
    <w:rsid w:val="00112770"/>
    <w:rsid w:val="001130E9"/>
    <w:rsid w:val="001144E5"/>
    <w:rsid w:val="00114FC2"/>
    <w:rsid w:val="001156F5"/>
    <w:rsid w:val="00115921"/>
    <w:rsid w:val="00115CB7"/>
    <w:rsid w:val="00115E5C"/>
    <w:rsid w:val="00115FAF"/>
    <w:rsid w:val="00117011"/>
    <w:rsid w:val="001177F7"/>
    <w:rsid w:val="00117F03"/>
    <w:rsid w:val="001203B5"/>
    <w:rsid w:val="00120A86"/>
    <w:rsid w:val="00120F4C"/>
    <w:rsid w:val="001210DD"/>
    <w:rsid w:val="00121842"/>
    <w:rsid w:val="00121982"/>
    <w:rsid w:val="00122C6A"/>
    <w:rsid w:val="00123461"/>
    <w:rsid w:val="001234D1"/>
    <w:rsid w:val="00125004"/>
    <w:rsid w:val="0013011C"/>
    <w:rsid w:val="001330F9"/>
    <w:rsid w:val="001340E0"/>
    <w:rsid w:val="00134F21"/>
    <w:rsid w:val="00136E7D"/>
    <w:rsid w:val="001412D7"/>
    <w:rsid w:val="00142035"/>
    <w:rsid w:val="001435CE"/>
    <w:rsid w:val="0014373E"/>
    <w:rsid w:val="001443EA"/>
    <w:rsid w:val="00144A5D"/>
    <w:rsid w:val="0014540D"/>
    <w:rsid w:val="00147A3D"/>
    <w:rsid w:val="001528B7"/>
    <w:rsid w:val="001547B6"/>
    <w:rsid w:val="00155BEA"/>
    <w:rsid w:val="00155DFE"/>
    <w:rsid w:val="001562E4"/>
    <w:rsid w:val="00160E16"/>
    <w:rsid w:val="00161865"/>
    <w:rsid w:val="0016242F"/>
    <w:rsid w:val="001635E1"/>
    <w:rsid w:val="00165BB4"/>
    <w:rsid w:val="00165E86"/>
    <w:rsid w:val="001660FE"/>
    <w:rsid w:val="00167E33"/>
    <w:rsid w:val="00171788"/>
    <w:rsid w:val="00172B7D"/>
    <w:rsid w:val="00174EA9"/>
    <w:rsid w:val="00174F47"/>
    <w:rsid w:val="001769D8"/>
    <w:rsid w:val="001778B1"/>
    <w:rsid w:val="0018009C"/>
    <w:rsid w:val="0018055B"/>
    <w:rsid w:val="001837A5"/>
    <w:rsid w:val="001854C3"/>
    <w:rsid w:val="00185609"/>
    <w:rsid w:val="0018603D"/>
    <w:rsid w:val="0018652F"/>
    <w:rsid w:val="001872A3"/>
    <w:rsid w:val="00191085"/>
    <w:rsid w:val="00191FC5"/>
    <w:rsid w:val="00192770"/>
    <w:rsid w:val="00192B86"/>
    <w:rsid w:val="00193B2D"/>
    <w:rsid w:val="001951AF"/>
    <w:rsid w:val="001A26CD"/>
    <w:rsid w:val="001A3F6A"/>
    <w:rsid w:val="001A4DF9"/>
    <w:rsid w:val="001A575F"/>
    <w:rsid w:val="001A78A4"/>
    <w:rsid w:val="001B011B"/>
    <w:rsid w:val="001B0197"/>
    <w:rsid w:val="001B0C81"/>
    <w:rsid w:val="001B13BF"/>
    <w:rsid w:val="001B1478"/>
    <w:rsid w:val="001B1579"/>
    <w:rsid w:val="001B1B72"/>
    <w:rsid w:val="001B1BBF"/>
    <w:rsid w:val="001B2632"/>
    <w:rsid w:val="001B267D"/>
    <w:rsid w:val="001B378A"/>
    <w:rsid w:val="001B4EE5"/>
    <w:rsid w:val="001B51F1"/>
    <w:rsid w:val="001B6F95"/>
    <w:rsid w:val="001B7DDA"/>
    <w:rsid w:val="001C219E"/>
    <w:rsid w:val="001C2435"/>
    <w:rsid w:val="001C37DA"/>
    <w:rsid w:val="001C47EF"/>
    <w:rsid w:val="001C4842"/>
    <w:rsid w:val="001C48E8"/>
    <w:rsid w:val="001C4CB9"/>
    <w:rsid w:val="001C584E"/>
    <w:rsid w:val="001C654F"/>
    <w:rsid w:val="001C66C1"/>
    <w:rsid w:val="001C6C21"/>
    <w:rsid w:val="001C6FD8"/>
    <w:rsid w:val="001D0747"/>
    <w:rsid w:val="001D1569"/>
    <w:rsid w:val="001D163C"/>
    <w:rsid w:val="001D3572"/>
    <w:rsid w:val="001E2A65"/>
    <w:rsid w:val="001E3216"/>
    <w:rsid w:val="001E327A"/>
    <w:rsid w:val="001E46CF"/>
    <w:rsid w:val="001E62F4"/>
    <w:rsid w:val="001E6E42"/>
    <w:rsid w:val="001E7072"/>
    <w:rsid w:val="001F0A5E"/>
    <w:rsid w:val="001F0C04"/>
    <w:rsid w:val="001F18C1"/>
    <w:rsid w:val="001F2E68"/>
    <w:rsid w:val="001F3D67"/>
    <w:rsid w:val="001F4B7F"/>
    <w:rsid w:val="00200469"/>
    <w:rsid w:val="00201919"/>
    <w:rsid w:val="002023F6"/>
    <w:rsid w:val="002029FE"/>
    <w:rsid w:val="00202B11"/>
    <w:rsid w:val="00202C27"/>
    <w:rsid w:val="00203AC0"/>
    <w:rsid w:val="00203F37"/>
    <w:rsid w:val="00204C86"/>
    <w:rsid w:val="00204F06"/>
    <w:rsid w:val="0020657A"/>
    <w:rsid w:val="00206E09"/>
    <w:rsid w:val="00212203"/>
    <w:rsid w:val="00214F74"/>
    <w:rsid w:val="00215B92"/>
    <w:rsid w:val="0021687B"/>
    <w:rsid w:val="00221C53"/>
    <w:rsid w:val="00221DB1"/>
    <w:rsid w:val="0022227A"/>
    <w:rsid w:val="00222D09"/>
    <w:rsid w:val="00223CE1"/>
    <w:rsid w:val="0022440F"/>
    <w:rsid w:val="002253A0"/>
    <w:rsid w:val="00227B93"/>
    <w:rsid w:val="00230B71"/>
    <w:rsid w:val="00236748"/>
    <w:rsid w:val="002372CE"/>
    <w:rsid w:val="00241DE4"/>
    <w:rsid w:val="002431DD"/>
    <w:rsid w:val="00243D91"/>
    <w:rsid w:val="002440E9"/>
    <w:rsid w:val="00244989"/>
    <w:rsid w:val="00244D40"/>
    <w:rsid w:val="00245E54"/>
    <w:rsid w:val="00247A5F"/>
    <w:rsid w:val="00247AD7"/>
    <w:rsid w:val="00251F0D"/>
    <w:rsid w:val="00255476"/>
    <w:rsid w:val="0025548F"/>
    <w:rsid w:val="0025735F"/>
    <w:rsid w:val="002615F9"/>
    <w:rsid w:val="00261B45"/>
    <w:rsid w:val="0026333F"/>
    <w:rsid w:val="002640DB"/>
    <w:rsid w:val="00264426"/>
    <w:rsid w:val="002705C0"/>
    <w:rsid w:val="00270EC8"/>
    <w:rsid w:val="002714C7"/>
    <w:rsid w:val="00272E20"/>
    <w:rsid w:val="00274353"/>
    <w:rsid w:val="002748C9"/>
    <w:rsid w:val="0027627B"/>
    <w:rsid w:val="002762F9"/>
    <w:rsid w:val="00276EE2"/>
    <w:rsid w:val="00280CD3"/>
    <w:rsid w:val="00280CDA"/>
    <w:rsid w:val="00282A5A"/>
    <w:rsid w:val="002858C7"/>
    <w:rsid w:val="00287C7B"/>
    <w:rsid w:val="00287D90"/>
    <w:rsid w:val="00290A24"/>
    <w:rsid w:val="00295D09"/>
    <w:rsid w:val="00295FCC"/>
    <w:rsid w:val="00297031"/>
    <w:rsid w:val="00297D52"/>
    <w:rsid w:val="002A15A9"/>
    <w:rsid w:val="002A1E5B"/>
    <w:rsid w:val="002A2013"/>
    <w:rsid w:val="002A379D"/>
    <w:rsid w:val="002A62AF"/>
    <w:rsid w:val="002A659C"/>
    <w:rsid w:val="002A70B3"/>
    <w:rsid w:val="002A728F"/>
    <w:rsid w:val="002A7396"/>
    <w:rsid w:val="002A7C42"/>
    <w:rsid w:val="002B0770"/>
    <w:rsid w:val="002B3186"/>
    <w:rsid w:val="002B32BF"/>
    <w:rsid w:val="002B44E6"/>
    <w:rsid w:val="002B4828"/>
    <w:rsid w:val="002B547F"/>
    <w:rsid w:val="002B7C62"/>
    <w:rsid w:val="002C060D"/>
    <w:rsid w:val="002C0A9F"/>
    <w:rsid w:val="002C416F"/>
    <w:rsid w:val="002C479E"/>
    <w:rsid w:val="002C4A76"/>
    <w:rsid w:val="002C4C3C"/>
    <w:rsid w:val="002C4E19"/>
    <w:rsid w:val="002C55F6"/>
    <w:rsid w:val="002C5ACA"/>
    <w:rsid w:val="002D0278"/>
    <w:rsid w:val="002D22E8"/>
    <w:rsid w:val="002D2813"/>
    <w:rsid w:val="002D2BEE"/>
    <w:rsid w:val="002D3E68"/>
    <w:rsid w:val="002D48B0"/>
    <w:rsid w:val="002E1B6E"/>
    <w:rsid w:val="002E1F2D"/>
    <w:rsid w:val="002E3C2E"/>
    <w:rsid w:val="002E4A3B"/>
    <w:rsid w:val="002E52F9"/>
    <w:rsid w:val="002F3005"/>
    <w:rsid w:val="002F502D"/>
    <w:rsid w:val="002F546C"/>
    <w:rsid w:val="002F769E"/>
    <w:rsid w:val="00300EF3"/>
    <w:rsid w:val="00300F57"/>
    <w:rsid w:val="0030292A"/>
    <w:rsid w:val="00302E39"/>
    <w:rsid w:val="00303EA9"/>
    <w:rsid w:val="00304672"/>
    <w:rsid w:val="003066A1"/>
    <w:rsid w:val="00310A44"/>
    <w:rsid w:val="00311228"/>
    <w:rsid w:val="00311255"/>
    <w:rsid w:val="00312040"/>
    <w:rsid w:val="003121C3"/>
    <w:rsid w:val="003147DC"/>
    <w:rsid w:val="003156F1"/>
    <w:rsid w:val="003171B4"/>
    <w:rsid w:val="0032152C"/>
    <w:rsid w:val="0032384C"/>
    <w:rsid w:val="00323D16"/>
    <w:rsid w:val="00324311"/>
    <w:rsid w:val="00327048"/>
    <w:rsid w:val="00327701"/>
    <w:rsid w:val="00327740"/>
    <w:rsid w:val="00331185"/>
    <w:rsid w:val="00332091"/>
    <w:rsid w:val="0033398C"/>
    <w:rsid w:val="00333EF7"/>
    <w:rsid w:val="00334098"/>
    <w:rsid w:val="00336B8F"/>
    <w:rsid w:val="0033784D"/>
    <w:rsid w:val="00337CFD"/>
    <w:rsid w:val="00341678"/>
    <w:rsid w:val="00346328"/>
    <w:rsid w:val="003478FA"/>
    <w:rsid w:val="00347BC6"/>
    <w:rsid w:val="00351921"/>
    <w:rsid w:val="003527CD"/>
    <w:rsid w:val="003530FB"/>
    <w:rsid w:val="00354047"/>
    <w:rsid w:val="0035405F"/>
    <w:rsid w:val="0035468F"/>
    <w:rsid w:val="00355DA8"/>
    <w:rsid w:val="00355E3E"/>
    <w:rsid w:val="00356170"/>
    <w:rsid w:val="00357A70"/>
    <w:rsid w:val="003612CA"/>
    <w:rsid w:val="00361477"/>
    <w:rsid w:val="00363494"/>
    <w:rsid w:val="00365BA0"/>
    <w:rsid w:val="00370A73"/>
    <w:rsid w:val="00370FF6"/>
    <w:rsid w:val="00371E98"/>
    <w:rsid w:val="00372F40"/>
    <w:rsid w:val="00374952"/>
    <w:rsid w:val="00374E36"/>
    <w:rsid w:val="00375F89"/>
    <w:rsid w:val="00380E8C"/>
    <w:rsid w:val="00380EE2"/>
    <w:rsid w:val="003811EC"/>
    <w:rsid w:val="00382E8F"/>
    <w:rsid w:val="00383BCB"/>
    <w:rsid w:val="0038423D"/>
    <w:rsid w:val="0038695F"/>
    <w:rsid w:val="00386D06"/>
    <w:rsid w:val="00386D2B"/>
    <w:rsid w:val="00386DD7"/>
    <w:rsid w:val="00386E53"/>
    <w:rsid w:val="003900E3"/>
    <w:rsid w:val="00390936"/>
    <w:rsid w:val="00390A9A"/>
    <w:rsid w:val="003926A7"/>
    <w:rsid w:val="00392742"/>
    <w:rsid w:val="00393281"/>
    <w:rsid w:val="00393659"/>
    <w:rsid w:val="00393A48"/>
    <w:rsid w:val="00394541"/>
    <w:rsid w:val="003951A0"/>
    <w:rsid w:val="00396C2B"/>
    <w:rsid w:val="00397076"/>
    <w:rsid w:val="003A0303"/>
    <w:rsid w:val="003A0641"/>
    <w:rsid w:val="003A072B"/>
    <w:rsid w:val="003A3004"/>
    <w:rsid w:val="003A3013"/>
    <w:rsid w:val="003A4518"/>
    <w:rsid w:val="003A698E"/>
    <w:rsid w:val="003A6C39"/>
    <w:rsid w:val="003A731F"/>
    <w:rsid w:val="003A7ADE"/>
    <w:rsid w:val="003B1B0C"/>
    <w:rsid w:val="003B55DA"/>
    <w:rsid w:val="003B710A"/>
    <w:rsid w:val="003C0B34"/>
    <w:rsid w:val="003C2589"/>
    <w:rsid w:val="003C35FE"/>
    <w:rsid w:val="003C3AC9"/>
    <w:rsid w:val="003C3B3A"/>
    <w:rsid w:val="003C3F52"/>
    <w:rsid w:val="003C422B"/>
    <w:rsid w:val="003C4805"/>
    <w:rsid w:val="003C5841"/>
    <w:rsid w:val="003C5C30"/>
    <w:rsid w:val="003C7A1D"/>
    <w:rsid w:val="003D0221"/>
    <w:rsid w:val="003D0E2B"/>
    <w:rsid w:val="003D1331"/>
    <w:rsid w:val="003D1D42"/>
    <w:rsid w:val="003D2E3D"/>
    <w:rsid w:val="003D56C9"/>
    <w:rsid w:val="003D5DBF"/>
    <w:rsid w:val="003D6079"/>
    <w:rsid w:val="003E33EF"/>
    <w:rsid w:val="003E3D38"/>
    <w:rsid w:val="003E4FE7"/>
    <w:rsid w:val="003E63CA"/>
    <w:rsid w:val="003E667E"/>
    <w:rsid w:val="003E6BD8"/>
    <w:rsid w:val="003E7FD0"/>
    <w:rsid w:val="003F0340"/>
    <w:rsid w:val="003F0EA4"/>
    <w:rsid w:val="003F16E6"/>
    <w:rsid w:val="003F2A03"/>
    <w:rsid w:val="003F3486"/>
    <w:rsid w:val="003F4574"/>
    <w:rsid w:val="003F5C80"/>
    <w:rsid w:val="003F6942"/>
    <w:rsid w:val="003F6B56"/>
    <w:rsid w:val="003F7393"/>
    <w:rsid w:val="0040161A"/>
    <w:rsid w:val="00401774"/>
    <w:rsid w:val="00401A74"/>
    <w:rsid w:val="0040301B"/>
    <w:rsid w:val="00403B4B"/>
    <w:rsid w:val="00405D09"/>
    <w:rsid w:val="0040746E"/>
    <w:rsid w:val="004076AC"/>
    <w:rsid w:val="0041065F"/>
    <w:rsid w:val="00411B83"/>
    <w:rsid w:val="004123CA"/>
    <w:rsid w:val="00412CB0"/>
    <w:rsid w:val="00412D28"/>
    <w:rsid w:val="00415099"/>
    <w:rsid w:val="00417051"/>
    <w:rsid w:val="00420208"/>
    <w:rsid w:val="00420656"/>
    <w:rsid w:val="004213BC"/>
    <w:rsid w:val="00423F99"/>
    <w:rsid w:val="00424251"/>
    <w:rsid w:val="004306DA"/>
    <w:rsid w:val="004311BE"/>
    <w:rsid w:val="00435556"/>
    <w:rsid w:val="00435A64"/>
    <w:rsid w:val="004373B9"/>
    <w:rsid w:val="00437809"/>
    <w:rsid w:val="00441829"/>
    <w:rsid w:val="00441E7C"/>
    <w:rsid w:val="0044253C"/>
    <w:rsid w:val="00443925"/>
    <w:rsid w:val="004466A7"/>
    <w:rsid w:val="00447FD2"/>
    <w:rsid w:val="00451963"/>
    <w:rsid w:val="00451C8F"/>
    <w:rsid w:val="00454129"/>
    <w:rsid w:val="00454250"/>
    <w:rsid w:val="00454926"/>
    <w:rsid w:val="00454AE1"/>
    <w:rsid w:val="0046161E"/>
    <w:rsid w:val="00461C30"/>
    <w:rsid w:val="00462592"/>
    <w:rsid w:val="00463411"/>
    <w:rsid w:val="00463B0D"/>
    <w:rsid w:val="0046425D"/>
    <w:rsid w:val="00464409"/>
    <w:rsid w:val="004644D4"/>
    <w:rsid w:val="004649FD"/>
    <w:rsid w:val="00466C1E"/>
    <w:rsid w:val="0047083F"/>
    <w:rsid w:val="004709E4"/>
    <w:rsid w:val="004714CF"/>
    <w:rsid w:val="00471984"/>
    <w:rsid w:val="004730F8"/>
    <w:rsid w:val="00474420"/>
    <w:rsid w:val="00480484"/>
    <w:rsid w:val="00480F7F"/>
    <w:rsid w:val="00482D09"/>
    <w:rsid w:val="00482E20"/>
    <w:rsid w:val="004833FD"/>
    <w:rsid w:val="0048365A"/>
    <w:rsid w:val="004842C3"/>
    <w:rsid w:val="00484C0D"/>
    <w:rsid w:val="00484E35"/>
    <w:rsid w:val="00487AC2"/>
    <w:rsid w:val="0049279C"/>
    <w:rsid w:val="00493E27"/>
    <w:rsid w:val="00494605"/>
    <w:rsid w:val="00496633"/>
    <w:rsid w:val="00497566"/>
    <w:rsid w:val="00497D8B"/>
    <w:rsid w:val="004A07A5"/>
    <w:rsid w:val="004A47F5"/>
    <w:rsid w:val="004A56B0"/>
    <w:rsid w:val="004A5D92"/>
    <w:rsid w:val="004A67F1"/>
    <w:rsid w:val="004A6987"/>
    <w:rsid w:val="004A7484"/>
    <w:rsid w:val="004B04CF"/>
    <w:rsid w:val="004B1994"/>
    <w:rsid w:val="004B1F00"/>
    <w:rsid w:val="004B2344"/>
    <w:rsid w:val="004B263B"/>
    <w:rsid w:val="004B2861"/>
    <w:rsid w:val="004B35C6"/>
    <w:rsid w:val="004B5686"/>
    <w:rsid w:val="004C041A"/>
    <w:rsid w:val="004C0ECA"/>
    <w:rsid w:val="004C1616"/>
    <w:rsid w:val="004C187E"/>
    <w:rsid w:val="004C293C"/>
    <w:rsid w:val="004C3F0D"/>
    <w:rsid w:val="004C4F16"/>
    <w:rsid w:val="004C5223"/>
    <w:rsid w:val="004C5E7B"/>
    <w:rsid w:val="004D30E1"/>
    <w:rsid w:val="004D3E91"/>
    <w:rsid w:val="004D41B8"/>
    <w:rsid w:val="004D47D0"/>
    <w:rsid w:val="004D5BEA"/>
    <w:rsid w:val="004D6FA0"/>
    <w:rsid w:val="004E0191"/>
    <w:rsid w:val="004E1598"/>
    <w:rsid w:val="004E283B"/>
    <w:rsid w:val="004E2DD2"/>
    <w:rsid w:val="004E3EA4"/>
    <w:rsid w:val="004E4A13"/>
    <w:rsid w:val="004E6076"/>
    <w:rsid w:val="004F4FB2"/>
    <w:rsid w:val="004F53E3"/>
    <w:rsid w:val="004F542A"/>
    <w:rsid w:val="004F5641"/>
    <w:rsid w:val="004F5A19"/>
    <w:rsid w:val="004F5AA8"/>
    <w:rsid w:val="004F6EBD"/>
    <w:rsid w:val="005008D3"/>
    <w:rsid w:val="0050183B"/>
    <w:rsid w:val="00502DDD"/>
    <w:rsid w:val="00503454"/>
    <w:rsid w:val="005111D4"/>
    <w:rsid w:val="00513054"/>
    <w:rsid w:val="00513508"/>
    <w:rsid w:val="00513E7E"/>
    <w:rsid w:val="00514E3F"/>
    <w:rsid w:val="00514F2B"/>
    <w:rsid w:val="00516599"/>
    <w:rsid w:val="00516B8D"/>
    <w:rsid w:val="0052034A"/>
    <w:rsid w:val="00520EA4"/>
    <w:rsid w:val="00521715"/>
    <w:rsid w:val="00521728"/>
    <w:rsid w:val="00521938"/>
    <w:rsid w:val="00522632"/>
    <w:rsid w:val="00522815"/>
    <w:rsid w:val="00522EF3"/>
    <w:rsid w:val="005243D9"/>
    <w:rsid w:val="0052562F"/>
    <w:rsid w:val="0052637F"/>
    <w:rsid w:val="00530DED"/>
    <w:rsid w:val="00531D66"/>
    <w:rsid w:val="0053277D"/>
    <w:rsid w:val="005327CE"/>
    <w:rsid w:val="0053400D"/>
    <w:rsid w:val="00534F38"/>
    <w:rsid w:val="00537139"/>
    <w:rsid w:val="00540418"/>
    <w:rsid w:val="0054218C"/>
    <w:rsid w:val="00543F6D"/>
    <w:rsid w:val="00543F97"/>
    <w:rsid w:val="00545527"/>
    <w:rsid w:val="00545F75"/>
    <w:rsid w:val="00545F9F"/>
    <w:rsid w:val="00550363"/>
    <w:rsid w:val="00551999"/>
    <w:rsid w:val="0055233A"/>
    <w:rsid w:val="005536C2"/>
    <w:rsid w:val="00553CB3"/>
    <w:rsid w:val="0055463A"/>
    <w:rsid w:val="00556D2F"/>
    <w:rsid w:val="00556DC7"/>
    <w:rsid w:val="0056081A"/>
    <w:rsid w:val="005620D4"/>
    <w:rsid w:val="005626DE"/>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26C"/>
    <w:rsid w:val="005774CE"/>
    <w:rsid w:val="00577617"/>
    <w:rsid w:val="0058098D"/>
    <w:rsid w:val="0058137B"/>
    <w:rsid w:val="00582B71"/>
    <w:rsid w:val="00583AEB"/>
    <w:rsid w:val="00584F08"/>
    <w:rsid w:val="0058542E"/>
    <w:rsid w:val="00585D38"/>
    <w:rsid w:val="00587618"/>
    <w:rsid w:val="005876AE"/>
    <w:rsid w:val="005907A0"/>
    <w:rsid w:val="0059084C"/>
    <w:rsid w:val="00590C01"/>
    <w:rsid w:val="005910A7"/>
    <w:rsid w:val="005929BB"/>
    <w:rsid w:val="00592B24"/>
    <w:rsid w:val="005A3CCB"/>
    <w:rsid w:val="005A53BA"/>
    <w:rsid w:val="005A57AD"/>
    <w:rsid w:val="005B048C"/>
    <w:rsid w:val="005B0F75"/>
    <w:rsid w:val="005B1C69"/>
    <w:rsid w:val="005B33F8"/>
    <w:rsid w:val="005B3728"/>
    <w:rsid w:val="005B3AB4"/>
    <w:rsid w:val="005C02A4"/>
    <w:rsid w:val="005C0524"/>
    <w:rsid w:val="005C0DBF"/>
    <w:rsid w:val="005C0F25"/>
    <w:rsid w:val="005C1613"/>
    <w:rsid w:val="005C1E73"/>
    <w:rsid w:val="005C2562"/>
    <w:rsid w:val="005C36E3"/>
    <w:rsid w:val="005C4BC3"/>
    <w:rsid w:val="005C58B3"/>
    <w:rsid w:val="005D0D10"/>
    <w:rsid w:val="005D1457"/>
    <w:rsid w:val="005D296A"/>
    <w:rsid w:val="005D2D11"/>
    <w:rsid w:val="005D2EA7"/>
    <w:rsid w:val="005D3D25"/>
    <w:rsid w:val="005D413E"/>
    <w:rsid w:val="005D5223"/>
    <w:rsid w:val="005D568E"/>
    <w:rsid w:val="005D67E1"/>
    <w:rsid w:val="005E07B4"/>
    <w:rsid w:val="005E162B"/>
    <w:rsid w:val="005E39FD"/>
    <w:rsid w:val="005E68A5"/>
    <w:rsid w:val="005E7914"/>
    <w:rsid w:val="005E7AE6"/>
    <w:rsid w:val="005F0A69"/>
    <w:rsid w:val="005F253A"/>
    <w:rsid w:val="005F3B9E"/>
    <w:rsid w:val="005F4F77"/>
    <w:rsid w:val="005F52B3"/>
    <w:rsid w:val="005F5707"/>
    <w:rsid w:val="005F7D1B"/>
    <w:rsid w:val="00600110"/>
    <w:rsid w:val="00600878"/>
    <w:rsid w:val="00601D73"/>
    <w:rsid w:val="006026CF"/>
    <w:rsid w:val="00602CD5"/>
    <w:rsid w:val="00602E51"/>
    <w:rsid w:val="00603BFE"/>
    <w:rsid w:val="006049C8"/>
    <w:rsid w:val="00604EB6"/>
    <w:rsid w:val="00605027"/>
    <w:rsid w:val="0060512E"/>
    <w:rsid w:val="0060657D"/>
    <w:rsid w:val="006071BA"/>
    <w:rsid w:val="00611984"/>
    <w:rsid w:val="00612203"/>
    <w:rsid w:val="00612216"/>
    <w:rsid w:val="006132FB"/>
    <w:rsid w:val="006141F9"/>
    <w:rsid w:val="006145BC"/>
    <w:rsid w:val="0061493C"/>
    <w:rsid w:val="00617C78"/>
    <w:rsid w:val="00622823"/>
    <w:rsid w:val="00623ACB"/>
    <w:rsid w:val="006247D5"/>
    <w:rsid w:val="006253D1"/>
    <w:rsid w:val="006258DA"/>
    <w:rsid w:val="0063046D"/>
    <w:rsid w:val="00631AAA"/>
    <w:rsid w:val="00632109"/>
    <w:rsid w:val="00632BBE"/>
    <w:rsid w:val="00632C87"/>
    <w:rsid w:val="006331B3"/>
    <w:rsid w:val="0063488B"/>
    <w:rsid w:val="006356AA"/>
    <w:rsid w:val="00637A48"/>
    <w:rsid w:val="00637C9C"/>
    <w:rsid w:val="006429DB"/>
    <w:rsid w:val="0064409F"/>
    <w:rsid w:val="006441E4"/>
    <w:rsid w:val="006443DF"/>
    <w:rsid w:val="00645997"/>
    <w:rsid w:val="00646603"/>
    <w:rsid w:val="00650760"/>
    <w:rsid w:val="006519BC"/>
    <w:rsid w:val="00651FB7"/>
    <w:rsid w:val="00652A10"/>
    <w:rsid w:val="006537A5"/>
    <w:rsid w:val="00653A66"/>
    <w:rsid w:val="0065446E"/>
    <w:rsid w:val="00654B92"/>
    <w:rsid w:val="0065525F"/>
    <w:rsid w:val="00655EB2"/>
    <w:rsid w:val="0065683D"/>
    <w:rsid w:val="00660015"/>
    <w:rsid w:val="00661352"/>
    <w:rsid w:val="006619E0"/>
    <w:rsid w:val="00661A17"/>
    <w:rsid w:val="0066322D"/>
    <w:rsid w:val="00663540"/>
    <w:rsid w:val="006653EB"/>
    <w:rsid w:val="00667535"/>
    <w:rsid w:val="00672D27"/>
    <w:rsid w:val="00673C62"/>
    <w:rsid w:val="0067443A"/>
    <w:rsid w:val="0067489E"/>
    <w:rsid w:val="00675B86"/>
    <w:rsid w:val="00676142"/>
    <w:rsid w:val="00677384"/>
    <w:rsid w:val="006774BF"/>
    <w:rsid w:val="006822AA"/>
    <w:rsid w:val="006900AA"/>
    <w:rsid w:val="0069052B"/>
    <w:rsid w:val="00693B49"/>
    <w:rsid w:val="006942ED"/>
    <w:rsid w:val="006944EF"/>
    <w:rsid w:val="006952D9"/>
    <w:rsid w:val="006966D2"/>
    <w:rsid w:val="00696722"/>
    <w:rsid w:val="00696AA9"/>
    <w:rsid w:val="006A04E9"/>
    <w:rsid w:val="006A289F"/>
    <w:rsid w:val="006A291D"/>
    <w:rsid w:val="006A33FB"/>
    <w:rsid w:val="006A7D6D"/>
    <w:rsid w:val="006B1FE7"/>
    <w:rsid w:val="006B4558"/>
    <w:rsid w:val="006B4727"/>
    <w:rsid w:val="006B48DC"/>
    <w:rsid w:val="006B72E6"/>
    <w:rsid w:val="006C1B54"/>
    <w:rsid w:val="006C2C92"/>
    <w:rsid w:val="006C3CF4"/>
    <w:rsid w:val="006C4213"/>
    <w:rsid w:val="006C54B8"/>
    <w:rsid w:val="006C5BA2"/>
    <w:rsid w:val="006C7E6F"/>
    <w:rsid w:val="006D1933"/>
    <w:rsid w:val="006D1AE9"/>
    <w:rsid w:val="006D2166"/>
    <w:rsid w:val="006D3DF1"/>
    <w:rsid w:val="006D5097"/>
    <w:rsid w:val="006D5AC5"/>
    <w:rsid w:val="006E02F0"/>
    <w:rsid w:val="006E2D9E"/>
    <w:rsid w:val="006E6103"/>
    <w:rsid w:val="006E77DD"/>
    <w:rsid w:val="006E78A6"/>
    <w:rsid w:val="006E7F02"/>
    <w:rsid w:val="006F0A08"/>
    <w:rsid w:val="006F0CCF"/>
    <w:rsid w:val="006F2058"/>
    <w:rsid w:val="006F23B1"/>
    <w:rsid w:val="006F276A"/>
    <w:rsid w:val="006F288E"/>
    <w:rsid w:val="006F2F5C"/>
    <w:rsid w:val="006F4379"/>
    <w:rsid w:val="006F4C3C"/>
    <w:rsid w:val="006F5412"/>
    <w:rsid w:val="006F6AC2"/>
    <w:rsid w:val="006F74DC"/>
    <w:rsid w:val="007004C7"/>
    <w:rsid w:val="0070074D"/>
    <w:rsid w:val="00702079"/>
    <w:rsid w:val="007025F4"/>
    <w:rsid w:val="00703446"/>
    <w:rsid w:val="0070431B"/>
    <w:rsid w:val="007058F3"/>
    <w:rsid w:val="00707693"/>
    <w:rsid w:val="007103D4"/>
    <w:rsid w:val="0071190A"/>
    <w:rsid w:val="007149DA"/>
    <w:rsid w:val="007156AF"/>
    <w:rsid w:val="00720256"/>
    <w:rsid w:val="00721EA3"/>
    <w:rsid w:val="0072758C"/>
    <w:rsid w:val="007277F5"/>
    <w:rsid w:val="0073056A"/>
    <w:rsid w:val="00730FA6"/>
    <w:rsid w:val="00731480"/>
    <w:rsid w:val="00731487"/>
    <w:rsid w:val="007314A9"/>
    <w:rsid w:val="00731CA2"/>
    <w:rsid w:val="00732B8A"/>
    <w:rsid w:val="00732D19"/>
    <w:rsid w:val="00734272"/>
    <w:rsid w:val="0073556E"/>
    <w:rsid w:val="0073581C"/>
    <w:rsid w:val="00736F40"/>
    <w:rsid w:val="007375D6"/>
    <w:rsid w:val="007420CD"/>
    <w:rsid w:val="00742C34"/>
    <w:rsid w:val="007439D3"/>
    <w:rsid w:val="00743BF7"/>
    <w:rsid w:val="0074488D"/>
    <w:rsid w:val="0075037E"/>
    <w:rsid w:val="00750AF2"/>
    <w:rsid w:val="00751158"/>
    <w:rsid w:val="00752AC8"/>
    <w:rsid w:val="00753BE8"/>
    <w:rsid w:val="00754388"/>
    <w:rsid w:val="00755CE2"/>
    <w:rsid w:val="00757C3E"/>
    <w:rsid w:val="00757C47"/>
    <w:rsid w:val="007615D9"/>
    <w:rsid w:val="00762268"/>
    <w:rsid w:val="00762F48"/>
    <w:rsid w:val="00764D64"/>
    <w:rsid w:val="007655CF"/>
    <w:rsid w:val="00770054"/>
    <w:rsid w:val="007723AF"/>
    <w:rsid w:val="00773003"/>
    <w:rsid w:val="00773067"/>
    <w:rsid w:val="00773A43"/>
    <w:rsid w:val="00773EBC"/>
    <w:rsid w:val="00774FD3"/>
    <w:rsid w:val="007769DF"/>
    <w:rsid w:val="00776BBF"/>
    <w:rsid w:val="00777069"/>
    <w:rsid w:val="00777439"/>
    <w:rsid w:val="00777526"/>
    <w:rsid w:val="0078137F"/>
    <w:rsid w:val="007818C3"/>
    <w:rsid w:val="00782722"/>
    <w:rsid w:val="00782910"/>
    <w:rsid w:val="00786193"/>
    <w:rsid w:val="007909DA"/>
    <w:rsid w:val="00790B78"/>
    <w:rsid w:val="0079158C"/>
    <w:rsid w:val="00794967"/>
    <w:rsid w:val="0079582C"/>
    <w:rsid w:val="00796CB0"/>
    <w:rsid w:val="007972C6"/>
    <w:rsid w:val="007A1F12"/>
    <w:rsid w:val="007A327C"/>
    <w:rsid w:val="007A3544"/>
    <w:rsid w:val="007A40B0"/>
    <w:rsid w:val="007A799B"/>
    <w:rsid w:val="007B2FE4"/>
    <w:rsid w:val="007B36E3"/>
    <w:rsid w:val="007B3E3B"/>
    <w:rsid w:val="007B4793"/>
    <w:rsid w:val="007B6BF7"/>
    <w:rsid w:val="007B72F6"/>
    <w:rsid w:val="007B7847"/>
    <w:rsid w:val="007C12A7"/>
    <w:rsid w:val="007C1CF4"/>
    <w:rsid w:val="007C50FB"/>
    <w:rsid w:val="007C5324"/>
    <w:rsid w:val="007C590E"/>
    <w:rsid w:val="007C7BD7"/>
    <w:rsid w:val="007D1332"/>
    <w:rsid w:val="007D1805"/>
    <w:rsid w:val="007D3166"/>
    <w:rsid w:val="007D4702"/>
    <w:rsid w:val="007D59DE"/>
    <w:rsid w:val="007D6C18"/>
    <w:rsid w:val="007D6E9A"/>
    <w:rsid w:val="007D78B3"/>
    <w:rsid w:val="007D7D18"/>
    <w:rsid w:val="007E4229"/>
    <w:rsid w:val="007E5962"/>
    <w:rsid w:val="007E6739"/>
    <w:rsid w:val="007E7450"/>
    <w:rsid w:val="007E7A7E"/>
    <w:rsid w:val="007F00B0"/>
    <w:rsid w:val="007F4F8F"/>
    <w:rsid w:val="007F538E"/>
    <w:rsid w:val="007F5F1B"/>
    <w:rsid w:val="007F6AFD"/>
    <w:rsid w:val="007F79BD"/>
    <w:rsid w:val="00800925"/>
    <w:rsid w:val="00800EC0"/>
    <w:rsid w:val="00802736"/>
    <w:rsid w:val="00802877"/>
    <w:rsid w:val="00802B2A"/>
    <w:rsid w:val="00805D8D"/>
    <w:rsid w:val="00807FF7"/>
    <w:rsid w:val="0081033E"/>
    <w:rsid w:val="00810D49"/>
    <w:rsid w:val="008113C8"/>
    <w:rsid w:val="00811DAC"/>
    <w:rsid w:val="00815563"/>
    <w:rsid w:val="00815BB8"/>
    <w:rsid w:val="008167D5"/>
    <w:rsid w:val="008168EE"/>
    <w:rsid w:val="00817DFF"/>
    <w:rsid w:val="00820352"/>
    <w:rsid w:val="00820794"/>
    <w:rsid w:val="00820C71"/>
    <w:rsid w:val="00820DB7"/>
    <w:rsid w:val="00822CD5"/>
    <w:rsid w:val="00823256"/>
    <w:rsid w:val="00823500"/>
    <w:rsid w:val="0082393E"/>
    <w:rsid w:val="008263C1"/>
    <w:rsid w:val="00826474"/>
    <w:rsid w:val="008276B2"/>
    <w:rsid w:val="00830523"/>
    <w:rsid w:val="0083223B"/>
    <w:rsid w:val="00832955"/>
    <w:rsid w:val="00832F7A"/>
    <w:rsid w:val="0083335C"/>
    <w:rsid w:val="00833657"/>
    <w:rsid w:val="008357E8"/>
    <w:rsid w:val="00840ED5"/>
    <w:rsid w:val="00842716"/>
    <w:rsid w:val="00842AD5"/>
    <w:rsid w:val="00844CF2"/>
    <w:rsid w:val="00845952"/>
    <w:rsid w:val="008459E1"/>
    <w:rsid w:val="00845EF6"/>
    <w:rsid w:val="00846C3D"/>
    <w:rsid w:val="008470C4"/>
    <w:rsid w:val="0084770A"/>
    <w:rsid w:val="008478AC"/>
    <w:rsid w:val="00850642"/>
    <w:rsid w:val="008516F3"/>
    <w:rsid w:val="008539DF"/>
    <w:rsid w:val="00856CDA"/>
    <w:rsid w:val="008573E2"/>
    <w:rsid w:val="008620F6"/>
    <w:rsid w:val="0086245D"/>
    <w:rsid w:val="008624D8"/>
    <w:rsid w:val="008630BA"/>
    <w:rsid w:val="0086433A"/>
    <w:rsid w:val="008643A9"/>
    <w:rsid w:val="00864C50"/>
    <w:rsid w:val="00864FE6"/>
    <w:rsid w:val="008655F4"/>
    <w:rsid w:val="008659FD"/>
    <w:rsid w:val="00866F4E"/>
    <w:rsid w:val="00870F4E"/>
    <w:rsid w:val="00872C30"/>
    <w:rsid w:val="008736CF"/>
    <w:rsid w:val="00873BBE"/>
    <w:rsid w:val="008742BD"/>
    <w:rsid w:val="00874341"/>
    <w:rsid w:val="0087478F"/>
    <w:rsid w:val="00875144"/>
    <w:rsid w:val="00876082"/>
    <w:rsid w:val="0087691B"/>
    <w:rsid w:val="008805C8"/>
    <w:rsid w:val="00881BEF"/>
    <w:rsid w:val="008838EF"/>
    <w:rsid w:val="00883D58"/>
    <w:rsid w:val="00885671"/>
    <w:rsid w:val="00885AD1"/>
    <w:rsid w:val="00886319"/>
    <w:rsid w:val="0089054E"/>
    <w:rsid w:val="0089088D"/>
    <w:rsid w:val="00891820"/>
    <w:rsid w:val="00892C87"/>
    <w:rsid w:val="00894C50"/>
    <w:rsid w:val="00894DC8"/>
    <w:rsid w:val="00895EF7"/>
    <w:rsid w:val="008963AC"/>
    <w:rsid w:val="008966AD"/>
    <w:rsid w:val="008969D8"/>
    <w:rsid w:val="00897AB8"/>
    <w:rsid w:val="00897BFB"/>
    <w:rsid w:val="008A1478"/>
    <w:rsid w:val="008A15AF"/>
    <w:rsid w:val="008A16E6"/>
    <w:rsid w:val="008A1B6F"/>
    <w:rsid w:val="008A338A"/>
    <w:rsid w:val="008A4453"/>
    <w:rsid w:val="008A44D6"/>
    <w:rsid w:val="008A5B22"/>
    <w:rsid w:val="008A6069"/>
    <w:rsid w:val="008A6A9C"/>
    <w:rsid w:val="008A6E02"/>
    <w:rsid w:val="008A6E4D"/>
    <w:rsid w:val="008A793D"/>
    <w:rsid w:val="008A79E4"/>
    <w:rsid w:val="008A7F6B"/>
    <w:rsid w:val="008B0017"/>
    <w:rsid w:val="008B092A"/>
    <w:rsid w:val="008B17FD"/>
    <w:rsid w:val="008B37A3"/>
    <w:rsid w:val="008B3A8C"/>
    <w:rsid w:val="008B4067"/>
    <w:rsid w:val="008B407A"/>
    <w:rsid w:val="008B4143"/>
    <w:rsid w:val="008B59D6"/>
    <w:rsid w:val="008B5B85"/>
    <w:rsid w:val="008C0B84"/>
    <w:rsid w:val="008C10B0"/>
    <w:rsid w:val="008C1333"/>
    <w:rsid w:val="008C155F"/>
    <w:rsid w:val="008C2121"/>
    <w:rsid w:val="008C568D"/>
    <w:rsid w:val="008D0B37"/>
    <w:rsid w:val="008D64D4"/>
    <w:rsid w:val="008D7129"/>
    <w:rsid w:val="008D7680"/>
    <w:rsid w:val="008E12FF"/>
    <w:rsid w:val="008E3652"/>
    <w:rsid w:val="008E3672"/>
    <w:rsid w:val="008E49AB"/>
    <w:rsid w:val="008E5316"/>
    <w:rsid w:val="008F056B"/>
    <w:rsid w:val="008F0CF5"/>
    <w:rsid w:val="008F164F"/>
    <w:rsid w:val="008F235D"/>
    <w:rsid w:val="008F45AC"/>
    <w:rsid w:val="008F4733"/>
    <w:rsid w:val="008F4E5A"/>
    <w:rsid w:val="008F4EF3"/>
    <w:rsid w:val="008F5430"/>
    <w:rsid w:val="008F5933"/>
    <w:rsid w:val="008F5C9C"/>
    <w:rsid w:val="008F6D58"/>
    <w:rsid w:val="008F6EFE"/>
    <w:rsid w:val="008F708E"/>
    <w:rsid w:val="0090039A"/>
    <w:rsid w:val="00902118"/>
    <w:rsid w:val="00903CC7"/>
    <w:rsid w:val="00906016"/>
    <w:rsid w:val="00907C20"/>
    <w:rsid w:val="00910949"/>
    <w:rsid w:val="0091195E"/>
    <w:rsid w:val="00913164"/>
    <w:rsid w:val="0091394B"/>
    <w:rsid w:val="0091566D"/>
    <w:rsid w:val="009159E2"/>
    <w:rsid w:val="0091612C"/>
    <w:rsid w:val="00916652"/>
    <w:rsid w:val="00917A1B"/>
    <w:rsid w:val="00917AC1"/>
    <w:rsid w:val="00917FE3"/>
    <w:rsid w:val="00920870"/>
    <w:rsid w:val="00921AE0"/>
    <w:rsid w:val="00922515"/>
    <w:rsid w:val="00923251"/>
    <w:rsid w:val="00923D9A"/>
    <w:rsid w:val="009244C1"/>
    <w:rsid w:val="0092487E"/>
    <w:rsid w:val="0092553A"/>
    <w:rsid w:val="00927BA4"/>
    <w:rsid w:val="009301F2"/>
    <w:rsid w:val="00932300"/>
    <w:rsid w:val="0093492C"/>
    <w:rsid w:val="009353C2"/>
    <w:rsid w:val="009364B7"/>
    <w:rsid w:val="00940901"/>
    <w:rsid w:val="0094113D"/>
    <w:rsid w:val="009418D0"/>
    <w:rsid w:val="00941FB8"/>
    <w:rsid w:val="0094203F"/>
    <w:rsid w:val="009437BD"/>
    <w:rsid w:val="009458FF"/>
    <w:rsid w:val="00945D86"/>
    <w:rsid w:val="009463C4"/>
    <w:rsid w:val="009477E1"/>
    <w:rsid w:val="0095031E"/>
    <w:rsid w:val="00950872"/>
    <w:rsid w:val="0095251E"/>
    <w:rsid w:val="00952714"/>
    <w:rsid w:val="00953127"/>
    <w:rsid w:val="00954137"/>
    <w:rsid w:val="00954BB8"/>
    <w:rsid w:val="00955BF1"/>
    <w:rsid w:val="00957043"/>
    <w:rsid w:val="00957060"/>
    <w:rsid w:val="00957510"/>
    <w:rsid w:val="00960EC6"/>
    <w:rsid w:val="0096238F"/>
    <w:rsid w:val="009625B6"/>
    <w:rsid w:val="00963062"/>
    <w:rsid w:val="009632A0"/>
    <w:rsid w:val="00964A60"/>
    <w:rsid w:val="00964DCC"/>
    <w:rsid w:val="009650A6"/>
    <w:rsid w:val="009657FF"/>
    <w:rsid w:val="0096610B"/>
    <w:rsid w:val="00966C57"/>
    <w:rsid w:val="00970543"/>
    <w:rsid w:val="0097113C"/>
    <w:rsid w:val="009729F0"/>
    <w:rsid w:val="009743B6"/>
    <w:rsid w:val="009749E4"/>
    <w:rsid w:val="00974D23"/>
    <w:rsid w:val="00975CBF"/>
    <w:rsid w:val="00975FE5"/>
    <w:rsid w:val="009768AE"/>
    <w:rsid w:val="00980D38"/>
    <w:rsid w:val="00982AAB"/>
    <w:rsid w:val="0098545B"/>
    <w:rsid w:val="00986365"/>
    <w:rsid w:val="009869E9"/>
    <w:rsid w:val="00986BC3"/>
    <w:rsid w:val="00987EEE"/>
    <w:rsid w:val="00991656"/>
    <w:rsid w:val="00996671"/>
    <w:rsid w:val="009A00D4"/>
    <w:rsid w:val="009A1077"/>
    <w:rsid w:val="009A191D"/>
    <w:rsid w:val="009A407A"/>
    <w:rsid w:val="009A6220"/>
    <w:rsid w:val="009A6CA9"/>
    <w:rsid w:val="009A76C0"/>
    <w:rsid w:val="009B0197"/>
    <w:rsid w:val="009B0DC1"/>
    <w:rsid w:val="009B0E24"/>
    <w:rsid w:val="009B11E3"/>
    <w:rsid w:val="009B20EA"/>
    <w:rsid w:val="009B2C65"/>
    <w:rsid w:val="009B49CD"/>
    <w:rsid w:val="009B515F"/>
    <w:rsid w:val="009B5552"/>
    <w:rsid w:val="009B64AA"/>
    <w:rsid w:val="009B66AA"/>
    <w:rsid w:val="009B68CB"/>
    <w:rsid w:val="009B7AB2"/>
    <w:rsid w:val="009C1642"/>
    <w:rsid w:val="009C26AF"/>
    <w:rsid w:val="009C379E"/>
    <w:rsid w:val="009C4575"/>
    <w:rsid w:val="009C4A84"/>
    <w:rsid w:val="009C5253"/>
    <w:rsid w:val="009C5E39"/>
    <w:rsid w:val="009C6E8E"/>
    <w:rsid w:val="009C74FB"/>
    <w:rsid w:val="009D09ED"/>
    <w:rsid w:val="009D20E7"/>
    <w:rsid w:val="009D5D4C"/>
    <w:rsid w:val="009E13DF"/>
    <w:rsid w:val="009E13F9"/>
    <w:rsid w:val="009E2520"/>
    <w:rsid w:val="009E51F8"/>
    <w:rsid w:val="009E71C0"/>
    <w:rsid w:val="009F239C"/>
    <w:rsid w:val="009F23C4"/>
    <w:rsid w:val="009F270C"/>
    <w:rsid w:val="009F564C"/>
    <w:rsid w:val="009F5E29"/>
    <w:rsid w:val="009F6EB8"/>
    <w:rsid w:val="00A002D1"/>
    <w:rsid w:val="00A018A3"/>
    <w:rsid w:val="00A01B1B"/>
    <w:rsid w:val="00A02E76"/>
    <w:rsid w:val="00A031F9"/>
    <w:rsid w:val="00A045DD"/>
    <w:rsid w:val="00A06D66"/>
    <w:rsid w:val="00A073BF"/>
    <w:rsid w:val="00A07E0D"/>
    <w:rsid w:val="00A1075C"/>
    <w:rsid w:val="00A10B76"/>
    <w:rsid w:val="00A11793"/>
    <w:rsid w:val="00A144D5"/>
    <w:rsid w:val="00A14DCC"/>
    <w:rsid w:val="00A16DA6"/>
    <w:rsid w:val="00A178F1"/>
    <w:rsid w:val="00A22834"/>
    <w:rsid w:val="00A23134"/>
    <w:rsid w:val="00A235BA"/>
    <w:rsid w:val="00A23892"/>
    <w:rsid w:val="00A23B93"/>
    <w:rsid w:val="00A33146"/>
    <w:rsid w:val="00A344CA"/>
    <w:rsid w:val="00A35A05"/>
    <w:rsid w:val="00A363B6"/>
    <w:rsid w:val="00A371F2"/>
    <w:rsid w:val="00A37637"/>
    <w:rsid w:val="00A404C5"/>
    <w:rsid w:val="00A421CE"/>
    <w:rsid w:val="00A425D2"/>
    <w:rsid w:val="00A444DB"/>
    <w:rsid w:val="00A44CF1"/>
    <w:rsid w:val="00A450C9"/>
    <w:rsid w:val="00A45D7D"/>
    <w:rsid w:val="00A46101"/>
    <w:rsid w:val="00A46BF5"/>
    <w:rsid w:val="00A4719D"/>
    <w:rsid w:val="00A47F7A"/>
    <w:rsid w:val="00A501B6"/>
    <w:rsid w:val="00A52E61"/>
    <w:rsid w:val="00A54D75"/>
    <w:rsid w:val="00A55A0E"/>
    <w:rsid w:val="00A56327"/>
    <w:rsid w:val="00A56749"/>
    <w:rsid w:val="00A6063E"/>
    <w:rsid w:val="00A632C0"/>
    <w:rsid w:val="00A634CF"/>
    <w:rsid w:val="00A6465D"/>
    <w:rsid w:val="00A64BF1"/>
    <w:rsid w:val="00A65407"/>
    <w:rsid w:val="00A70107"/>
    <w:rsid w:val="00A70968"/>
    <w:rsid w:val="00A70B74"/>
    <w:rsid w:val="00A74179"/>
    <w:rsid w:val="00A74CAF"/>
    <w:rsid w:val="00A764EF"/>
    <w:rsid w:val="00A804EE"/>
    <w:rsid w:val="00A8050B"/>
    <w:rsid w:val="00A8077E"/>
    <w:rsid w:val="00A8166B"/>
    <w:rsid w:val="00A82B03"/>
    <w:rsid w:val="00A83676"/>
    <w:rsid w:val="00A852D6"/>
    <w:rsid w:val="00A85EE5"/>
    <w:rsid w:val="00A86A0C"/>
    <w:rsid w:val="00A8751B"/>
    <w:rsid w:val="00A90730"/>
    <w:rsid w:val="00A90E13"/>
    <w:rsid w:val="00A9143E"/>
    <w:rsid w:val="00A92A29"/>
    <w:rsid w:val="00A94BD0"/>
    <w:rsid w:val="00A94FC9"/>
    <w:rsid w:val="00A95577"/>
    <w:rsid w:val="00A9624B"/>
    <w:rsid w:val="00A96270"/>
    <w:rsid w:val="00A96C1F"/>
    <w:rsid w:val="00A972A3"/>
    <w:rsid w:val="00A97E66"/>
    <w:rsid w:val="00AA16F7"/>
    <w:rsid w:val="00AA1AB3"/>
    <w:rsid w:val="00AA3279"/>
    <w:rsid w:val="00AA35F1"/>
    <w:rsid w:val="00AA526E"/>
    <w:rsid w:val="00AA6498"/>
    <w:rsid w:val="00AA6892"/>
    <w:rsid w:val="00AA7AE3"/>
    <w:rsid w:val="00AB0983"/>
    <w:rsid w:val="00AB2062"/>
    <w:rsid w:val="00AB31F3"/>
    <w:rsid w:val="00AB3613"/>
    <w:rsid w:val="00AB5524"/>
    <w:rsid w:val="00AB5D6A"/>
    <w:rsid w:val="00AB7FCC"/>
    <w:rsid w:val="00AC2CB6"/>
    <w:rsid w:val="00AC4184"/>
    <w:rsid w:val="00AC4CD6"/>
    <w:rsid w:val="00AD1464"/>
    <w:rsid w:val="00AD27C1"/>
    <w:rsid w:val="00AD344C"/>
    <w:rsid w:val="00AD46DD"/>
    <w:rsid w:val="00AD4F95"/>
    <w:rsid w:val="00AD5E8D"/>
    <w:rsid w:val="00AE0E84"/>
    <w:rsid w:val="00AE2CC1"/>
    <w:rsid w:val="00AE30F7"/>
    <w:rsid w:val="00AE32DD"/>
    <w:rsid w:val="00AF18C2"/>
    <w:rsid w:val="00AF2E6E"/>
    <w:rsid w:val="00AF357E"/>
    <w:rsid w:val="00AF4311"/>
    <w:rsid w:val="00AF4C0F"/>
    <w:rsid w:val="00AF4DBC"/>
    <w:rsid w:val="00AF68D1"/>
    <w:rsid w:val="00B006FD"/>
    <w:rsid w:val="00B02718"/>
    <w:rsid w:val="00B0402E"/>
    <w:rsid w:val="00B04DFA"/>
    <w:rsid w:val="00B052B4"/>
    <w:rsid w:val="00B06D4E"/>
    <w:rsid w:val="00B073ED"/>
    <w:rsid w:val="00B10AE5"/>
    <w:rsid w:val="00B10DA4"/>
    <w:rsid w:val="00B11CB7"/>
    <w:rsid w:val="00B134D1"/>
    <w:rsid w:val="00B143E2"/>
    <w:rsid w:val="00B146E2"/>
    <w:rsid w:val="00B14AB7"/>
    <w:rsid w:val="00B15C1F"/>
    <w:rsid w:val="00B207BD"/>
    <w:rsid w:val="00B22704"/>
    <w:rsid w:val="00B22AC4"/>
    <w:rsid w:val="00B2337A"/>
    <w:rsid w:val="00B23F18"/>
    <w:rsid w:val="00B25752"/>
    <w:rsid w:val="00B263F6"/>
    <w:rsid w:val="00B27A40"/>
    <w:rsid w:val="00B32FA6"/>
    <w:rsid w:val="00B33522"/>
    <w:rsid w:val="00B35B7E"/>
    <w:rsid w:val="00B3680C"/>
    <w:rsid w:val="00B36DB2"/>
    <w:rsid w:val="00B37C20"/>
    <w:rsid w:val="00B41E9F"/>
    <w:rsid w:val="00B42449"/>
    <w:rsid w:val="00B50783"/>
    <w:rsid w:val="00B51469"/>
    <w:rsid w:val="00B5253D"/>
    <w:rsid w:val="00B54550"/>
    <w:rsid w:val="00B556D9"/>
    <w:rsid w:val="00B558BB"/>
    <w:rsid w:val="00B6039D"/>
    <w:rsid w:val="00B60A59"/>
    <w:rsid w:val="00B611B8"/>
    <w:rsid w:val="00B61C6A"/>
    <w:rsid w:val="00B628F8"/>
    <w:rsid w:val="00B62B88"/>
    <w:rsid w:val="00B6605D"/>
    <w:rsid w:val="00B67BC6"/>
    <w:rsid w:val="00B73EB9"/>
    <w:rsid w:val="00B808C4"/>
    <w:rsid w:val="00B818B2"/>
    <w:rsid w:val="00B81C74"/>
    <w:rsid w:val="00B82BF9"/>
    <w:rsid w:val="00B83E59"/>
    <w:rsid w:val="00B849EE"/>
    <w:rsid w:val="00B84D02"/>
    <w:rsid w:val="00B850E5"/>
    <w:rsid w:val="00B85A60"/>
    <w:rsid w:val="00B86673"/>
    <w:rsid w:val="00B870E0"/>
    <w:rsid w:val="00B87589"/>
    <w:rsid w:val="00B95032"/>
    <w:rsid w:val="00B95727"/>
    <w:rsid w:val="00B96B6F"/>
    <w:rsid w:val="00B97444"/>
    <w:rsid w:val="00BA0268"/>
    <w:rsid w:val="00BA1AD8"/>
    <w:rsid w:val="00BA1ADB"/>
    <w:rsid w:val="00BA26B4"/>
    <w:rsid w:val="00BA2940"/>
    <w:rsid w:val="00BA32D0"/>
    <w:rsid w:val="00BA36BE"/>
    <w:rsid w:val="00BA3B1D"/>
    <w:rsid w:val="00BA58E7"/>
    <w:rsid w:val="00BA6A54"/>
    <w:rsid w:val="00BA6E67"/>
    <w:rsid w:val="00BA7B26"/>
    <w:rsid w:val="00BB02D0"/>
    <w:rsid w:val="00BB1526"/>
    <w:rsid w:val="00BB327F"/>
    <w:rsid w:val="00BB3832"/>
    <w:rsid w:val="00BB7DA9"/>
    <w:rsid w:val="00BC3E0C"/>
    <w:rsid w:val="00BC4AD5"/>
    <w:rsid w:val="00BC6745"/>
    <w:rsid w:val="00BD1AAF"/>
    <w:rsid w:val="00BD248B"/>
    <w:rsid w:val="00BD2A8B"/>
    <w:rsid w:val="00BD3E4E"/>
    <w:rsid w:val="00BD5837"/>
    <w:rsid w:val="00BD6FD6"/>
    <w:rsid w:val="00BD74AE"/>
    <w:rsid w:val="00BD7646"/>
    <w:rsid w:val="00BD77D2"/>
    <w:rsid w:val="00BD7BBB"/>
    <w:rsid w:val="00BE0824"/>
    <w:rsid w:val="00BE40CA"/>
    <w:rsid w:val="00BE43B1"/>
    <w:rsid w:val="00BE47DE"/>
    <w:rsid w:val="00BE5B13"/>
    <w:rsid w:val="00BE5D56"/>
    <w:rsid w:val="00BE7A98"/>
    <w:rsid w:val="00BF11E1"/>
    <w:rsid w:val="00BF2F3A"/>
    <w:rsid w:val="00C00590"/>
    <w:rsid w:val="00C013A1"/>
    <w:rsid w:val="00C01580"/>
    <w:rsid w:val="00C01E9E"/>
    <w:rsid w:val="00C020A8"/>
    <w:rsid w:val="00C03317"/>
    <w:rsid w:val="00C0654D"/>
    <w:rsid w:val="00C06709"/>
    <w:rsid w:val="00C06ABE"/>
    <w:rsid w:val="00C1028E"/>
    <w:rsid w:val="00C105A6"/>
    <w:rsid w:val="00C10C63"/>
    <w:rsid w:val="00C1279C"/>
    <w:rsid w:val="00C13A31"/>
    <w:rsid w:val="00C14867"/>
    <w:rsid w:val="00C16822"/>
    <w:rsid w:val="00C16E53"/>
    <w:rsid w:val="00C17841"/>
    <w:rsid w:val="00C22F0D"/>
    <w:rsid w:val="00C23773"/>
    <w:rsid w:val="00C255BB"/>
    <w:rsid w:val="00C26CE0"/>
    <w:rsid w:val="00C27323"/>
    <w:rsid w:val="00C30B88"/>
    <w:rsid w:val="00C3266B"/>
    <w:rsid w:val="00C346B4"/>
    <w:rsid w:val="00C34DE1"/>
    <w:rsid w:val="00C379D0"/>
    <w:rsid w:val="00C404CF"/>
    <w:rsid w:val="00C411EA"/>
    <w:rsid w:val="00C41D4C"/>
    <w:rsid w:val="00C42A2D"/>
    <w:rsid w:val="00C431B4"/>
    <w:rsid w:val="00C4471C"/>
    <w:rsid w:val="00C458D3"/>
    <w:rsid w:val="00C458D8"/>
    <w:rsid w:val="00C502CF"/>
    <w:rsid w:val="00C50527"/>
    <w:rsid w:val="00C509E2"/>
    <w:rsid w:val="00C51FAB"/>
    <w:rsid w:val="00C5304F"/>
    <w:rsid w:val="00C53587"/>
    <w:rsid w:val="00C5373A"/>
    <w:rsid w:val="00C53B18"/>
    <w:rsid w:val="00C53C29"/>
    <w:rsid w:val="00C55BBF"/>
    <w:rsid w:val="00C55F01"/>
    <w:rsid w:val="00C564FC"/>
    <w:rsid w:val="00C60544"/>
    <w:rsid w:val="00C6076C"/>
    <w:rsid w:val="00C60DEB"/>
    <w:rsid w:val="00C629E1"/>
    <w:rsid w:val="00C63175"/>
    <w:rsid w:val="00C63CF1"/>
    <w:rsid w:val="00C64634"/>
    <w:rsid w:val="00C64BB7"/>
    <w:rsid w:val="00C66322"/>
    <w:rsid w:val="00C6715B"/>
    <w:rsid w:val="00C704C3"/>
    <w:rsid w:val="00C706E0"/>
    <w:rsid w:val="00C71D1F"/>
    <w:rsid w:val="00C735F9"/>
    <w:rsid w:val="00C74C79"/>
    <w:rsid w:val="00C7680C"/>
    <w:rsid w:val="00C77A1D"/>
    <w:rsid w:val="00C81A32"/>
    <w:rsid w:val="00C81B7E"/>
    <w:rsid w:val="00C8289F"/>
    <w:rsid w:val="00C83A20"/>
    <w:rsid w:val="00C84D4D"/>
    <w:rsid w:val="00C862B1"/>
    <w:rsid w:val="00C86C59"/>
    <w:rsid w:val="00C86C80"/>
    <w:rsid w:val="00C87443"/>
    <w:rsid w:val="00C904BE"/>
    <w:rsid w:val="00C90A40"/>
    <w:rsid w:val="00C91C5A"/>
    <w:rsid w:val="00C92668"/>
    <w:rsid w:val="00C95974"/>
    <w:rsid w:val="00C9626A"/>
    <w:rsid w:val="00C97083"/>
    <w:rsid w:val="00C971A6"/>
    <w:rsid w:val="00C97412"/>
    <w:rsid w:val="00CA24BE"/>
    <w:rsid w:val="00CA2A37"/>
    <w:rsid w:val="00CA37AE"/>
    <w:rsid w:val="00CA5CDF"/>
    <w:rsid w:val="00CA631E"/>
    <w:rsid w:val="00CA735D"/>
    <w:rsid w:val="00CA7A99"/>
    <w:rsid w:val="00CB03F7"/>
    <w:rsid w:val="00CB1480"/>
    <w:rsid w:val="00CB1A6E"/>
    <w:rsid w:val="00CB1D42"/>
    <w:rsid w:val="00CB45AD"/>
    <w:rsid w:val="00CB72A9"/>
    <w:rsid w:val="00CB7B1B"/>
    <w:rsid w:val="00CC30F9"/>
    <w:rsid w:val="00CC378C"/>
    <w:rsid w:val="00CC3E10"/>
    <w:rsid w:val="00CC4BA1"/>
    <w:rsid w:val="00CC58DC"/>
    <w:rsid w:val="00CC60A4"/>
    <w:rsid w:val="00CC60E1"/>
    <w:rsid w:val="00CC6ACD"/>
    <w:rsid w:val="00CD0525"/>
    <w:rsid w:val="00CD299E"/>
    <w:rsid w:val="00CD49C0"/>
    <w:rsid w:val="00CD4E92"/>
    <w:rsid w:val="00CD656B"/>
    <w:rsid w:val="00CD6D9A"/>
    <w:rsid w:val="00CD7521"/>
    <w:rsid w:val="00CD7F3F"/>
    <w:rsid w:val="00CE038F"/>
    <w:rsid w:val="00CE04CE"/>
    <w:rsid w:val="00CE45FC"/>
    <w:rsid w:val="00CE5C1A"/>
    <w:rsid w:val="00CF289F"/>
    <w:rsid w:val="00CF2D36"/>
    <w:rsid w:val="00CF3420"/>
    <w:rsid w:val="00CF342E"/>
    <w:rsid w:val="00CF3770"/>
    <w:rsid w:val="00CF6F11"/>
    <w:rsid w:val="00CF76DB"/>
    <w:rsid w:val="00D00E92"/>
    <w:rsid w:val="00D01486"/>
    <w:rsid w:val="00D055EC"/>
    <w:rsid w:val="00D06FE8"/>
    <w:rsid w:val="00D10F96"/>
    <w:rsid w:val="00D11F33"/>
    <w:rsid w:val="00D12198"/>
    <w:rsid w:val="00D12816"/>
    <w:rsid w:val="00D13E7D"/>
    <w:rsid w:val="00D14208"/>
    <w:rsid w:val="00D1757C"/>
    <w:rsid w:val="00D17C5D"/>
    <w:rsid w:val="00D20078"/>
    <w:rsid w:val="00D234B6"/>
    <w:rsid w:val="00D254F0"/>
    <w:rsid w:val="00D27B9B"/>
    <w:rsid w:val="00D3018F"/>
    <w:rsid w:val="00D32544"/>
    <w:rsid w:val="00D339CC"/>
    <w:rsid w:val="00D34D7A"/>
    <w:rsid w:val="00D351EE"/>
    <w:rsid w:val="00D35411"/>
    <w:rsid w:val="00D3669D"/>
    <w:rsid w:val="00D37294"/>
    <w:rsid w:val="00D378C5"/>
    <w:rsid w:val="00D37DC9"/>
    <w:rsid w:val="00D423EF"/>
    <w:rsid w:val="00D43342"/>
    <w:rsid w:val="00D4394E"/>
    <w:rsid w:val="00D44728"/>
    <w:rsid w:val="00D45237"/>
    <w:rsid w:val="00D455AB"/>
    <w:rsid w:val="00D507DB"/>
    <w:rsid w:val="00D511CD"/>
    <w:rsid w:val="00D52FF5"/>
    <w:rsid w:val="00D550A7"/>
    <w:rsid w:val="00D55E41"/>
    <w:rsid w:val="00D55F5B"/>
    <w:rsid w:val="00D56088"/>
    <w:rsid w:val="00D562FF"/>
    <w:rsid w:val="00D60DC7"/>
    <w:rsid w:val="00D62468"/>
    <w:rsid w:val="00D62491"/>
    <w:rsid w:val="00D628F8"/>
    <w:rsid w:val="00D62DF9"/>
    <w:rsid w:val="00D63571"/>
    <w:rsid w:val="00D66910"/>
    <w:rsid w:val="00D6706B"/>
    <w:rsid w:val="00D700D5"/>
    <w:rsid w:val="00D71A33"/>
    <w:rsid w:val="00D73B4D"/>
    <w:rsid w:val="00D7657E"/>
    <w:rsid w:val="00D80D5B"/>
    <w:rsid w:val="00D8146A"/>
    <w:rsid w:val="00D83A14"/>
    <w:rsid w:val="00D844B8"/>
    <w:rsid w:val="00D854E6"/>
    <w:rsid w:val="00D8596D"/>
    <w:rsid w:val="00D86C30"/>
    <w:rsid w:val="00D905ED"/>
    <w:rsid w:val="00D91205"/>
    <w:rsid w:val="00D92473"/>
    <w:rsid w:val="00D92C2A"/>
    <w:rsid w:val="00DA1B01"/>
    <w:rsid w:val="00DA4A42"/>
    <w:rsid w:val="00DA5237"/>
    <w:rsid w:val="00DA68FB"/>
    <w:rsid w:val="00DA6BE0"/>
    <w:rsid w:val="00DB3AF6"/>
    <w:rsid w:val="00DB4C18"/>
    <w:rsid w:val="00DB53FB"/>
    <w:rsid w:val="00DC16A9"/>
    <w:rsid w:val="00DC1915"/>
    <w:rsid w:val="00DC4EE2"/>
    <w:rsid w:val="00DD136E"/>
    <w:rsid w:val="00DD22DD"/>
    <w:rsid w:val="00DD2474"/>
    <w:rsid w:val="00DD2AA9"/>
    <w:rsid w:val="00DD43EF"/>
    <w:rsid w:val="00DD4F48"/>
    <w:rsid w:val="00DD6C54"/>
    <w:rsid w:val="00DD6DC0"/>
    <w:rsid w:val="00DD6F87"/>
    <w:rsid w:val="00DD6FB4"/>
    <w:rsid w:val="00DE2F50"/>
    <w:rsid w:val="00DE4269"/>
    <w:rsid w:val="00DE5274"/>
    <w:rsid w:val="00DE621F"/>
    <w:rsid w:val="00DE62C8"/>
    <w:rsid w:val="00DE6B8B"/>
    <w:rsid w:val="00DF0216"/>
    <w:rsid w:val="00DF2160"/>
    <w:rsid w:val="00DF325D"/>
    <w:rsid w:val="00DF386E"/>
    <w:rsid w:val="00DF4CBD"/>
    <w:rsid w:val="00DF56C9"/>
    <w:rsid w:val="00DF62F6"/>
    <w:rsid w:val="00DF6AC4"/>
    <w:rsid w:val="00E004F0"/>
    <w:rsid w:val="00E007EC"/>
    <w:rsid w:val="00E01158"/>
    <w:rsid w:val="00E03CED"/>
    <w:rsid w:val="00E0449B"/>
    <w:rsid w:val="00E04E64"/>
    <w:rsid w:val="00E06027"/>
    <w:rsid w:val="00E07E93"/>
    <w:rsid w:val="00E1077F"/>
    <w:rsid w:val="00E119AC"/>
    <w:rsid w:val="00E17516"/>
    <w:rsid w:val="00E21DE3"/>
    <w:rsid w:val="00E22047"/>
    <w:rsid w:val="00E23867"/>
    <w:rsid w:val="00E23A75"/>
    <w:rsid w:val="00E2421E"/>
    <w:rsid w:val="00E25A1C"/>
    <w:rsid w:val="00E26E6E"/>
    <w:rsid w:val="00E30318"/>
    <w:rsid w:val="00E32708"/>
    <w:rsid w:val="00E328A2"/>
    <w:rsid w:val="00E32B77"/>
    <w:rsid w:val="00E33BBD"/>
    <w:rsid w:val="00E37034"/>
    <w:rsid w:val="00E376CE"/>
    <w:rsid w:val="00E37782"/>
    <w:rsid w:val="00E40F44"/>
    <w:rsid w:val="00E44022"/>
    <w:rsid w:val="00E442EC"/>
    <w:rsid w:val="00E449D6"/>
    <w:rsid w:val="00E45112"/>
    <w:rsid w:val="00E45664"/>
    <w:rsid w:val="00E505EF"/>
    <w:rsid w:val="00E514F6"/>
    <w:rsid w:val="00E545B2"/>
    <w:rsid w:val="00E549EA"/>
    <w:rsid w:val="00E57C06"/>
    <w:rsid w:val="00E651B5"/>
    <w:rsid w:val="00E65B2D"/>
    <w:rsid w:val="00E70E56"/>
    <w:rsid w:val="00E72137"/>
    <w:rsid w:val="00E755A9"/>
    <w:rsid w:val="00E75CE5"/>
    <w:rsid w:val="00E75F78"/>
    <w:rsid w:val="00E768E8"/>
    <w:rsid w:val="00E775B6"/>
    <w:rsid w:val="00E8055E"/>
    <w:rsid w:val="00E81279"/>
    <w:rsid w:val="00E82195"/>
    <w:rsid w:val="00E828CB"/>
    <w:rsid w:val="00E82F7C"/>
    <w:rsid w:val="00E83362"/>
    <w:rsid w:val="00E849B4"/>
    <w:rsid w:val="00E87385"/>
    <w:rsid w:val="00E87962"/>
    <w:rsid w:val="00E90A09"/>
    <w:rsid w:val="00E90D36"/>
    <w:rsid w:val="00E913D9"/>
    <w:rsid w:val="00E91553"/>
    <w:rsid w:val="00E94AAC"/>
    <w:rsid w:val="00E96135"/>
    <w:rsid w:val="00E9721C"/>
    <w:rsid w:val="00EA0D94"/>
    <w:rsid w:val="00EA12F7"/>
    <w:rsid w:val="00EA186A"/>
    <w:rsid w:val="00EA19C2"/>
    <w:rsid w:val="00EA2C6F"/>
    <w:rsid w:val="00EA405B"/>
    <w:rsid w:val="00EA5418"/>
    <w:rsid w:val="00EA5AD0"/>
    <w:rsid w:val="00EA6927"/>
    <w:rsid w:val="00EA6BE9"/>
    <w:rsid w:val="00EB074B"/>
    <w:rsid w:val="00EB2A4A"/>
    <w:rsid w:val="00EB3D8F"/>
    <w:rsid w:val="00EC084F"/>
    <w:rsid w:val="00EC0BE3"/>
    <w:rsid w:val="00EC1988"/>
    <w:rsid w:val="00EC1EBD"/>
    <w:rsid w:val="00EC2DFD"/>
    <w:rsid w:val="00EC505D"/>
    <w:rsid w:val="00EC56A4"/>
    <w:rsid w:val="00EC5C3D"/>
    <w:rsid w:val="00EC5C97"/>
    <w:rsid w:val="00EC61A6"/>
    <w:rsid w:val="00EC7901"/>
    <w:rsid w:val="00ED0858"/>
    <w:rsid w:val="00ED2125"/>
    <w:rsid w:val="00ED319C"/>
    <w:rsid w:val="00ED518E"/>
    <w:rsid w:val="00ED5680"/>
    <w:rsid w:val="00ED6126"/>
    <w:rsid w:val="00ED6894"/>
    <w:rsid w:val="00ED6B12"/>
    <w:rsid w:val="00ED79E2"/>
    <w:rsid w:val="00EE04FF"/>
    <w:rsid w:val="00EE0F4C"/>
    <w:rsid w:val="00EE1D7E"/>
    <w:rsid w:val="00EE2F63"/>
    <w:rsid w:val="00EE3D4E"/>
    <w:rsid w:val="00EE46FB"/>
    <w:rsid w:val="00EF0914"/>
    <w:rsid w:val="00EF2991"/>
    <w:rsid w:val="00EF36C9"/>
    <w:rsid w:val="00EF59BD"/>
    <w:rsid w:val="00EF5CC7"/>
    <w:rsid w:val="00EF62F8"/>
    <w:rsid w:val="00EF7710"/>
    <w:rsid w:val="00F011BD"/>
    <w:rsid w:val="00F016BA"/>
    <w:rsid w:val="00F01B31"/>
    <w:rsid w:val="00F03AE7"/>
    <w:rsid w:val="00F03C78"/>
    <w:rsid w:val="00F057DB"/>
    <w:rsid w:val="00F07D53"/>
    <w:rsid w:val="00F11C4A"/>
    <w:rsid w:val="00F138AE"/>
    <w:rsid w:val="00F16808"/>
    <w:rsid w:val="00F16A95"/>
    <w:rsid w:val="00F177C0"/>
    <w:rsid w:val="00F17C0D"/>
    <w:rsid w:val="00F20F31"/>
    <w:rsid w:val="00F21F02"/>
    <w:rsid w:val="00F233E1"/>
    <w:rsid w:val="00F253AB"/>
    <w:rsid w:val="00F2612E"/>
    <w:rsid w:val="00F302C1"/>
    <w:rsid w:val="00F304B3"/>
    <w:rsid w:val="00F30A85"/>
    <w:rsid w:val="00F3142D"/>
    <w:rsid w:val="00F31DD1"/>
    <w:rsid w:val="00F32EC8"/>
    <w:rsid w:val="00F33647"/>
    <w:rsid w:val="00F34C98"/>
    <w:rsid w:val="00F364E9"/>
    <w:rsid w:val="00F36FF1"/>
    <w:rsid w:val="00F378E3"/>
    <w:rsid w:val="00F40A48"/>
    <w:rsid w:val="00F40A84"/>
    <w:rsid w:val="00F424B7"/>
    <w:rsid w:val="00F436CD"/>
    <w:rsid w:val="00F4519D"/>
    <w:rsid w:val="00F46140"/>
    <w:rsid w:val="00F46965"/>
    <w:rsid w:val="00F50835"/>
    <w:rsid w:val="00F50C0A"/>
    <w:rsid w:val="00F50FC7"/>
    <w:rsid w:val="00F518C4"/>
    <w:rsid w:val="00F52C6D"/>
    <w:rsid w:val="00F53A3B"/>
    <w:rsid w:val="00F54856"/>
    <w:rsid w:val="00F54920"/>
    <w:rsid w:val="00F56F0F"/>
    <w:rsid w:val="00F5748D"/>
    <w:rsid w:val="00F600C9"/>
    <w:rsid w:val="00F619D6"/>
    <w:rsid w:val="00F622F4"/>
    <w:rsid w:val="00F6319C"/>
    <w:rsid w:val="00F6438A"/>
    <w:rsid w:val="00F6724C"/>
    <w:rsid w:val="00F70304"/>
    <w:rsid w:val="00F7273B"/>
    <w:rsid w:val="00F72C8C"/>
    <w:rsid w:val="00F72CE6"/>
    <w:rsid w:val="00F755D0"/>
    <w:rsid w:val="00F77058"/>
    <w:rsid w:val="00F775B3"/>
    <w:rsid w:val="00F8125E"/>
    <w:rsid w:val="00F8171F"/>
    <w:rsid w:val="00F830DA"/>
    <w:rsid w:val="00F86F78"/>
    <w:rsid w:val="00F8797F"/>
    <w:rsid w:val="00F9019F"/>
    <w:rsid w:val="00F90A31"/>
    <w:rsid w:val="00F94878"/>
    <w:rsid w:val="00F94F3B"/>
    <w:rsid w:val="00F95FC8"/>
    <w:rsid w:val="00FA0D0F"/>
    <w:rsid w:val="00FA4CD5"/>
    <w:rsid w:val="00FA7A93"/>
    <w:rsid w:val="00FB1010"/>
    <w:rsid w:val="00FB1547"/>
    <w:rsid w:val="00FB1A7D"/>
    <w:rsid w:val="00FB1D4B"/>
    <w:rsid w:val="00FB21CE"/>
    <w:rsid w:val="00FB2B78"/>
    <w:rsid w:val="00FB4723"/>
    <w:rsid w:val="00FB4A59"/>
    <w:rsid w:val="00FB6E0E"/>
    <w:rsid w:val="00FC07F4"/>
    <w:rsid w:val="00FC23D9"/>
    <w:rsid w:val="00FC2997"/>
    <w:rsid w:val="00FC3802"/>
    <w:rsid w:val="00FC4A0F"/>
    <w:rsid w:val="00FC4B1B"/>
    <w:rsid w:val="00FC6EA4"/>
    <w:rsid w:val="00FD16BF"/>
    <w:rsid w:val="00FD45EC"/>
    <w:rsid w:val="00FD5A63"/>
    <w:rsid w:val="00FE00AA"/>
    <w:rsid w:val="00FE027E"/>
    <w:rsid w:val="00FE0968"/>
    <w:rsid w:val="00FE1848"/>
    <w:rsid w:val="00FE3B85"/>
    <w:rsid w:val="00FE3EED"/>
    <w:rsid w:val="00FE4134"/>
    <w:rsid w:val="00FE4810"/>
    <w:rsid w:val="00FE59F7"/>
    <w:rsid w:val="00FE6B37"/>
    <w:rsid w:val="00FE75AC"/>
    <w:rsid w:val="00FE7EF5"/>
    <w:rsid w:val="00FF1FEF"/>
    <w:rsid w:val="00FF227C"/>
    <w:rsid w:val="00FF39BB"/>
    <w:rsid w:val="00FF4355"/>
    <w:rsid w:val="00FF4E18"/>
    <w:rsid w:val="00FF574E"/>
    <w:rsid w:val="00FF5A7D"/>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07"/>
    <o:shapelayout v:ext="edit">
      <o:idmap v:ext="edit" data="2"/>
    </o:shapelayout>
  </w:shapeDefaults>
  <w:decimalSymbol w:val="."/>
  <w:listSeparator w:val=","/>
  <w14:docId w14:val="6C9BE57D"/>
  <w15:docId w15:val="{0E61B535-C358-454C-B2D2-8257291E8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paragraph" w:styleId="Ttulo1">
    <w:name w:val="heading 1"/>
    <w:basedOn w:val="Normal"/>
    <w:next w:val="Normal"/>
    <w:link w:val="Ttulo1Car"/>
    <w:qFormat/>
    <w:rsid w:val="002615F9"/>
    <w:pPr>
      <w:keepNext/>
      <w:spacing w:before="240" w:after="60" w:line="280" w:lineRule="exact"/>
      <w:jc w:val="both"/>
      <w:outlineLvl w:val="0"/>
    </w:pPr>
    <w:rPr>
      <w:rFonts w:ascii="Arial" w:eastAsia="Times New Roman" w:hAnsi="Arial" w:cs="Arial"/>
      <w:b/>
      <w:bCs/>
      <w:kern w:val="32"/>
      <w:sz w:val="32"/>
      <w:szCs w:val="32"/>
      <w:lang w:eastAsia="es-MX"/>
    </w:rPr>
  </w:style>
  <w:style w:type="paragraph" w:styleId="Ttulo2">
    <w:name w:val="heading 2"/>
    <w:basedOn w:val="Normal"/>
    <w:next w:val="Normal"/>
    <w:link w:val="Ttulo2Car"/>
    <w:qFormat/>
    <w:rsid w:val="002615F9"/>
    <w:pPr>
      <w:keepNext/>
      <w:spacing w:after="0" w:line="240" w:lineRule="exact"/>
      <w:jc w:val="center"/>
      <w:outlineLvl w:val="1"/>
    </w:pPr>
    <w:rPr>
      <w:rFonts w:ascii="Arial" w:eastAsia="Times New Roman" w:hAnsi="Arial" w:cs="Arial"/>
      <w:b/>
      <w:bCs/>
      <w:sz w:val="20"/>
      <w:szCs w:val="24"/>
      <w:lang w:val="es-ES" w:eastAsia="es-ES"/>
    </w:rPr>
  </w:style>
  <w:style w:type="paragraph" w:styleId="Ttulo3">
    <w:name w:val="heading 3"/>
    <w:basedOn w:val="Normal"/>
    <w:next w:val="Normal"/>
    <w:link w:val="Ttulo3Car"/>
    <w:qFormat/>
    <w:rsid w:val="002615F9"/>
    <w:pPr>
      <w:keepNext/>
      <w:spacing w:before="240" w:after="60" w:line="280" w:lineRule="exact"/>
      <w:jc w:val="both"/>
      <w:outlineLvl w:val="2"/>
    </w:pPr>
    <w:rPr>
      <w:rFonts w:ascii="Arial" w:eastAsia="Times New Roman" w:hAnsi="Arial" w:cs="Arial"/>
      <w:b/>
      <w:bCs/>
      <w:sz w:val="26"/>
      <w:szCs w:val="26"/>
      <w:lang w:eastAsia="es-MX"/>
    </w:rPr>
  </w:style>
  <w:style w:type="paragraph" w:styleId="Ttulo4">
    <w:name w:val="heading 4"/>
    <w:basedOn w:val="Normal"/>
    <w:next w:val="Normal"/>
    <w:link w:val="Ttulo4Car"/>
    <w:qFormat/>
    <w:rsid w:val="002615F9"/>
    <w:pPr>
      <w:keepNext/>
      <w:spacing w:after="0" w:line="240" w:lineRule="exact"/>
      <w:outlineLvl w:val="3"/>
    </w:pPr>
    <w:rPr>
      <w:rFonts w:ascii="Arial" w:eastAsia="Times New Roman" w:hAnsi="Arial" w:cs="Arial"/>
      <w:b/>
      <w:bCs/>
      <w:sz w:val="20"/>
      <w:szCs w:val="24"/>
      <w:lang w:val="es-ES_tradnl" w:eastAsia="es-ES"/>
    </w:rPr>
  </w:style>
  <w:style w:type="paragraph" w:styleId="Ttulo5">
    <w:name w:val="heading 5"/>
    <w:basedOn w:val="Normal"/>
    <w:next w:val="Normal"/>
    <w:link w:val="Ttulo5Car"/>
    <w:qFormat/>
    <w:rsid w:val="002615F9"/>
    <w:pPr>
      <w:keepNext/>
      <w:autoSpaceDE w:val="0"/>
      <w:autoSpaceDN w:val="0"/>
      <w:adjustRightInd w:val="0"/>
      <w:spacing w:after="0" w:line="240" w:lineRule="auto"/>
      <w:jc w:val="center"/>
      <w:outlineLvl w:val="4"/>
    </w:pPr>
    <w:rPr>
      <w:rFonts w:ascii="Arial" w:eastAsia="Times New Roman" w:hAnsi="Arial" w:cs="Arial"/>
      <w:b/>
      <w:bCs/>
      <w:color w:val="000000"/>
      <w:sz w:val="16"/>
      <w:szCs w:val="24"/>
      <w:lang w:val="es-ES_tradnl" w:eastAsia="es-ES"/>
    </w:rPr>
  </w:style>
  <w:style w:type="paragraph" w:styleId="Ttulo6">
    <w:name w:val="heading 6"/>
    <w:basedOn w:val="Normal"/>
    <w:next w:val="Normal"/>
    <w:link w:val="Ttulo6Car"/>
    <w:qFormat/>
    <w:rsid w:val="002615F9"/>
    <w:pPr>
      <w:keepNext/>
      <w:autoSpaceDE w:val="0"/>
      <w:autoSpaceDN w:val="0"/>
      <w:adjustRightInd w:val="0"/>
      <w:spacing w:after="0" w:line="240" w:lineRule="auto"/>
      <w:jc w:val="center"/>
      <w:outlineLvl w:val="5"/>
    </w:pPr>
    <w:rPr>
      <w:rFonts w:ascii="Arial Narrow" w:eastAsia="Times New Roman" w:hAnsi="Arial Narrow" w:cs="Arial"/>
      <w:b/>
      <w:bCs/>
      <w:color w:val="000000"/>
      <w:sz w:val="16"/>
      <w:szCs w:val="24"/>
      <w:lang w:val="es-ES" w:eastAsia="es-ES"/>
    </w:rPr>
  </w:style>
  <w:style w:type="paragraph" w:styleId="Ttulo7">
    <w:name w:val="heading 7"/>
    <w:basedOn w:val="Normal"/>
    <w:next w:val="Normal"/>
    <w:link w:val="Ttulo7Car"/>
    <w:qFormat/>
    <w:rsid w:val="002615F9"/>
    <w:pPr>
      <w:keepNext/>
      <w:spacing w:after="0" w:line="240" w:lineRule="auto"/>
      <w:ind w:left="1418"/>
      <w:jc w:val="both"/>
      <w:outlineLvl w:val="6"/>
    </w:pPr>
    <w:rPr>
      <w:rFonts w:ascii="Arial Narrow" w:eastAsia="Times New Roman" w:hAnsi="Arial Narrow" w:cs="Arial"/>
      <w:b/>
      <w:bCs/>
      <w:sz w:val="16"/>
      <w:szCs w:val="24"/>
      <w:lang w:val="es-ES" w:eastAsia="es-ES"/>
    </w:rPr>
  </w:style>
  <w:style w:type="paragraph" w:styleId="Ttulo8">
    <w:name w:val="heading 8"/>
    <w:basedOn w:val="Normal"/>
    <w:next w:val="Normal"/>
    <w:link w:val="Ttulo8Car"/>
    <w:qFormat/>
    <w:rsid w:val="002615F9"/>
    <w:pPr>
      <w:keepNext/>
      <w:spacing w:before="60" w:after="60" w:line="240" w:lineRule="auto"/>
      <w:ind w:left="312" w:hanging="255"/>
      <w:jc w:val="center"/>
      <w:outlineLvl w:val="7"/>
    </w:pPr>
    <w:rPr>
      <w:rFonts w:ascii="Arial" w:eastAsia="Times New Roman" w:hAnsi="Arial" w:cs="Arial"/>
      <w:b/>
      <w:bCs/>
      <w:sz w:val="16"/>
      <w:szCs w:val="24"/>
      <w:lang w:val="es-ES" w:eastAsia="es-ES"/>
    </w:rPr>
  </w:style>
  <w:style w:type="paragraph" w:styleId="Ttulo9">
    <w:name w:val="heading 9"/>
    <w:basedOn w:val="Normal"/>
    <w:next w:val="Normal"/>
    <w:link w:val="Ttulo9Car"/>
    <w:qFormat/>
    <w:rsid w:val="002615F9"/>
    <w:pPr>
      <w:keepNext/>
      <w:framePr w:hSpace="340" w:vSpace="113" w:wrap="around" w:vAnchor="text" w:hAnchor="margin" w:xAlign="right" w:y="71"/>
      <w:autoSpaceDE w:val="0"/>
      <w:autoSpaceDN w:val="0"/>
      <w:adjustRightInd w:val="0"/>
      <w:spacing w:before="60" w:after="0" w:line="240" w:lineRule="auto"/>
      <w:suppressOverlap/>
      <w:jc w:val="center"/>
      <w:outlineLvl w:val="8"/>
    </w:pPr>
    <w:rPr>
      <w:rFonts w:ascii="Arial Narrow" w:eastAsia="Times New Roman" w:hAnsi="Arial Narrow" w:cs="Times New Roman"/>
      <w:b/>
      <w:bCs/>
      <w:color w:val="000000"/>
      <w:sz w:val="16"/>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nota,pie,Letrero,margen,Pie,de,página,margen Car Car"/>
    <w:basedOn w:val="Normal"/>
    <w:link w:val="TextonotapieCar"/>
    <w:uiPriority w:val="99"/>
    <w:unhideWhenUsed/>
    <w:rsid w:val="00EA5418"/>
    <w:pPr>
      <w:spacing w:after="0" w:line="240" w:lineRule="auto"/>
    </w:pPr>
    <w:rPr>
      <w:sz w:val="20"/>
      <w:szCs w:val="20"/>
    </w:rPr>
  </w:style>
  <w:style w:type="character" w:customStyle="1" w:styleId="TextonotapieCar">
    <w:name w:val="Texto nota pie Car"/>
    <w:aliases w:val="nota Car,pie Car,Letrero Car,margen Car,Pie Car,de Car,página Car,margen Car Car Car"/>
    <w:basedOn w:val="Fuentedeprrafopredeter"/>
    <w:link w:val="Textonotapie"/>
    <w:uiPriority w:val="99"/>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aliases w:val="independiente"/>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rsid w:val="006E77DD"/>
    <w:rPr>
      <w:rFonts w:ascii="Tahoma" w:hAnsi="Tahoma" w:cs="Tahoma"/>
      <w:sz w:val="16"/>
      <w:szCs w:val="16"/>
    </w:rPr>
  </w:style>
  <w:style w:type="paragraph" w:styleId="Prrafodelista">
    <w:name w:val="List Paragraph"/>
    <w:basedOn w:val="Normal"/>
    <w:uiPriority w:val="1"/>
    <w:qFormat/>
    <w:rsid w:val="0079582C"/>
    <w:pPr>
      <w:ind w:left="720"/>
      <w:contextualSpacing/>
    </w:pPr>
  </w:style>
  <w:style w:type="table" w:styleId="Tablaconcuadrcula">
    <w:name w:val="Table Grid"/>
    <w:basedOn w:val="Tablanormal"/>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rsid w:val="002615F9"/>
    <w:rPr>
      <w:rFonts w:ascii="Arial" w:eastAsia="Times New Roman" w:hAnsi="Arial" w:cs="Arial"/>
      <w:b/>
      <w:bCs/>
      <w:kern w:val="32"/>
      <w:sz w:val="32"/>
      <w:szCs w:val="32"/>
      <w:lang w:eastAsia="es-MX"/>
    </w:rPr>
  </w:style>
  <w:style w:type="character" w:customStyle="1" w:styleId="Ttulo2Car">
    <w:name w:val="Título 2 Car"/>
    <w:basedOn w:val="Fuentedeprrafopredeter"/>
    <w:link w:val="Ttulo2"/>
    <w:rsid w:val="002615F9"/>
    <w:rPr>
      <w:rFonts w:ascii="Arial" w:eastAsia="Times New Roman" w:hAnsi="Arial" w:cs="Arial"/>
      <w:b/>
      <w:bCs/>
      <w:sz w:val="20"/>
      <w:szCs w:val="24"/>
      <w:lang w:val="es-ES" w:eastAsia="es-ES"/>
    </w:rPr>
  </w:style>
  <w:style w:type="character" w:customStyle="1" w:styleId="Ttulo3Car">
    <w:name w:val="Título 3 Car"/>
    <w:basedOn w:val="Fuentedeprrafopredeter"/>
    <w:link w:val="Ttulo3"/>
    <w:rsid w:val="002615F9"/>
    <w:rPr>
      <w:rFonts w:ascii="Arial" w:eastAsia="Times New Roman" w:hAnsi="Arial" w:cs="Arial"/>
      <w:b/>
      <w:bCs/>
      <w:sz w:val="26"/>
      <w:szCs w:val="26"/>
      <w:lang w:eastAsia="es-MX"/>
    </w:rPr>
  </w:style>
  <w:style w:type="character" w:customStyle="1" w:styleId="Ttulo4Car">
    <w:name w:val="Título 4 Car"/>
    <w:basedOn w:val="Fuentedeprrafopredeter"/>
    <w:link w:val="Ttulo4"/>
    <w:rsid w:val="002615F9"/>
    <w:rPr>
      <w:rFonts w:ascii="Arial" w:eastAsia="Times New Roman" w:hAnsi="Arial" w:cs="Arial"/>
      <w:b/>
      <w:bCs/>
      <w:sz w:val="20"/>
      <w:szCs w:val="24"/>
      <w:lang w:val="es-ES_tradnl" w:eastAsia="es-ES"/>
    </w:rPr>
  </w:style>
  <w:style w:type="character" w:customStyle="1" w:styleId="Ttulo5Car">
    <w:name w:val="Título 5 Car"/>
    <w:basedOn w:val="Fuentedeprrafopredeter"/>
    <w:link w:val="Ttulo5"/>
    <w:rsid w:val="002615F9"/>
    <w:rPr>
      <w:rFonts w:ascii="Arial" w:eastAsia="Times New Roman" w:hAnsi="Arial" w:cs="Arial"/>
      <w:b/>
      <w:bCs/>
      <w:color w:val="000000"/>
      <w:sz w:val="16"/>
      <w:szCs w:val="24"/>
      <w:lang w:val="es-ES_tradnl" w:eastAsia="es-ES"/>
    </w:rPr>
  </w:style>
  <w:style w:type="character" w:customStyle="1" w:styleId="Ttulo6Car">
    <w:name w:val="Título 6 Car"/>
    <w:basedOn w:val="Fuentedeprrafopredeter"/>
    <w:link w:val="Ttulo6"/>
    <w:rsid w:val="002615F9"/>
    <w:rPr>
      <w:rFonts w:ascii="Arial Narrow" w:eastAsia="Times New Roman" w:hAnsi="Arial Narrow" w:cs="Arial"/>
      <w:b/>
      <w:bCs/>
      <w:color w:val="000000"/>
      <w:sz w:val="16"/>
      <w:szCs w:val="24"/>
      <w:lang w:val="es-ES" w:eastAsia="es-ES"/>
    </w:rPr>
  </w:style>
  <w:style w:type="character" w:customStyle="1" w:styleId="Ttulo7Car">
    <w:name w:val="Título 7 Car"/>
    <w:basedOn w:val="Fuentedeprrafopredeter"/>
    <w:link w:val="Ttulo7"/>
    <w:rsid w:val="002615F9"/>
    <w:rPr>
      <w:rFonts w:ascii="Arial Narrow" w:eastAsia="Times New Roman" w:hAnsi="Arial Narrow" w:cs="Arial"/>
      <w:b/>
      <w:bCs/>
      <w:sz w:val="16"/>
      <w:szCs w:val="24"/>
      <w:lang w:val="es-ES" w:eastAsia="es-ES"/>
    </w:rPr>
  </w:style>
  <w:style w:type="character" w:customStyle="1" w:styleId="Ttulo8Car">
    <w:name w:val="Título 8 Car"/>
    <w:basedOn w:val="Fuentedeprrafopredeter"/>
    <w:link w:val="Ttulo8"/>
    <w:rsid w:val="002615F9"/>
    <w:rPr>
      <w:rFonts w:ascii="Arial" w:eastAsia="Times New Roman" w:hAnsi="Arial" w:cs="Arial"/>
      <w:b/>
      <w:bCs/>
      <w:sz w:val="16"/>
      <w:szCs w:val="24"/>
      <w:lang w:val="es-ES" w:eastAsia="es-ES"/>
    </w:rPr>
  </w:style>
  <w:style w:type="character" w:customStyle="1" w:styleId="Ttulo9Car">
    <w:name w:val="Título 9 Car"/>
    <w:basedOn w:val="Fuentedeprrafopredeter"/>
    <w:link w:val="Ttulo9"/>
    <w:rsid w:val="002615F9"/>
    <w:rPr>
      <w:rFonts w:ascii="Arial Narrow" w:eastAsia="Times New Roman" w:hAnsi="Arial Narrow" w:cs="Times New Roman"/>
      <w:b/>
      <w:bCs/>
      <w:color w:val="000000"/>
      <w:sz w:val="16"/>
      <w:szCs w:val="24"/>
      <w:lang w:val="es-ES" w:eastAsia="es-ES"/>
    </w:rPr>
  </w:style>
  <w:style w:type="paragraph" w:customStyle="1" w:styleId="CharCar">
    <w:name w:val="Char Car"/>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Nmerodepgina">
    <w:name w:val="page number"/>
    <w:basedOn w:val="Fuentedeprrafopredeter"/>
    <w:rsid w:val="002615F9"/>
  </w:style>
  <w:style w:type="paragraph" w:customStyle="1" w:styleId="PRIMERPARRAFO">
    <w:name w:val="PRIMER PARRAFO"/>
    <w:rsid w:val="002615F9"/>
    <w:pPr>
      <w:spacing w:after="240" w:line="240" w:lineRule="exact"/>
      <w:jc w:val="both"/>
    </w:pPr>
    <w:rPr>
      <w:rFonts w:ascii="Times New Roman" w:eastAsia="Times New Roman" w:hAnsi="Times New Roman" w:cs="Times New Roman"/>
      <w:sz w:val="20"/>
      <w:szCs w:val="20"/>
      <w:lang w:val="es-ES_tradnl" w:eastAsia="es-ES"/>
    </w:rPr>
  </w:style>
  <w:style w:type="paragraph" w:customStyle="1" w:styleId="Cabeza">
    <w:name w:val="Cabeza"/>
    <w:rsid w:val="002615F9"/>
    <w:pPr>
      <w:spacing w:after="0" w:line="240" w:lineRule="auto"/>
    </w:pPr>
    <w:rPr>
      <w:rFonts w:ascii="Arial" w:eastAsia="Times New Roman" w:hAnsi="Arial" w:cs="Times New Roman"/>
      <w:color w:val="000000"/>
      <w:sz w:val="20"/>
      <w:szCs w:val="20"/>
      <w:lang w:eastAsia="es-ES"/>
    </w:rPr>
  </w:style>
  <w:style w:type="paragraph" w:customStyle="1" w:styleId="VIETACar">
    <w:name w:val="_VIÑETA Car"/>
    <w:aliases w:val="NEGRA Car"/>
    <w:basedOn w:val="Normal"/>
    <w:rsid w:val="002615F9"/>
    <w:pPr>
      <w:tabs>
        <w:tab w:val="num" w:pos="340"/>
      </w:tabs>
      <w:spacing w:before="110" w:after="110" w:line="260" w:lineRule="exact"/>
      <w:ind w:left="340" w:hanging="340"/>
      <w:jc w:val="both"/>
    </w:pPr>
    <w:rPr>
      <w:rFonts w:ascii="Arial Narrow" w:eastAsia="Times New Roman" w:hAnsi="Arial Narrow" w:cs="Times New Roman"/>
      <w:sz w:val="21"/>
      <w:szCs w:val="24"/>
      <w:lang w:val="es-ES" w:eastAsia="es-ES"/>
    </w:rPr>
  </w:style>
  <w:style w:type="paragraph" w:styleId="Textoindependiente">
    <w:name w:val="Body Text"/>
    <w:aliases w:val="Letrero margen"/>
    <w:basedOn w:val="Normal"/>
    <w:link w:val="TextoindependienteCar"/>
    <w:rsid w:val="002615F9"/>
    <w:pPr>
      <w:autoSpaceDE w:val="0"/>
      <w:autoSpaceDN w:val="0"/>
      <w:adjustRightInd w:val="0"/>
      <w:spacing w:after="0" w:line="240" w:lineRule="auto"/>
      <w:jc w:val="center"/>
    </w:pPr>
    <w:rPr>
      <w:rFonts w:ascii="Arial" w:eastAsia="Times New Roman" w:hAnsi="Arial" w:cs="Arial"/>
      <w:color w:val="000000"/>
      <w:sz w:val="14"/>
      <w:szCs w:val="14"/>
      <w:lang w:val="es-ES_tradnl" w:eastAsia="es-ES"/>
    </w:rPr>
  </w:style>
  <w:style w:type="character" w:customStyle="1" w:styleId="TextoindependienteCar">
    <w:name w:val="Texto independiente Car"/>
    <w:aliases w:val="Letrero margen Car"/>
    <w:basedOn w:val="Fuentedeprrafopredeter"/>
    <w:link w:val="Textoindependiente"/>
    <w:rsid w:val="002615F9"/>
    <w:rPr>
      <w:rFonts w:ascii="Arial" w:eastAsia="Times New Roman" w:hAnsi="Arial" w:cs="Arial"/>
      <w:color w:val="000000"/>
      <w:sz w:val="14"/>
      <w:szCs w:val="14"/>
      <w:lang w:val="es-ES_tradnl" w:eastAsia="es-ES"/>
    </w:rPr>
  </w:style>
  <w:style w:type="paragraph" w:customStyle="1" w:styleId="xl23">
    <w:name w:val="xl23"/>
    <w:basedOn w:val="Normal"/>
    <w:rsid w:val="002615F9"/>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customStyle="1" w:styleId="xl22">
    <w:name w:val="xl22"/>
    <w:basedOn w:val="Normal"/>
    <w:rsid w:val="002615F9"/>
    <w:pPr>
      <w:spacing w:before="100" w:beforeAutospacing="1" w:after="100" w:afterAutospacing="1" w:line="240" w:lineRule="auto"/>
    </w:pPr>
    <w:rPr>
      <w:rFonts w:ascii="Arial" w:eastAsia="Arial Unicode MS" w:hAnsi="Arial" w:cs="Arial"/>
      <w:sz w:val="16"/>
      <w:szCs w:val="16"/>
      <w:lang w:val="es-ES" w:eastAsia="es-ES"/>
    </w:rPr>
  </w:style>
  <w:style w:type="paragraph" w:customStyle="1" w:styleId="Estilo1">
    <w:name w:val="Estilo1"/>
    <w:basedOn w:val="Normal"/>
    <w:autoRedefine/>
    <w:rsid w:val="002615F9"/>
    <w:pPr>
      <w:spacing w:before="60" w:after="0" w:line="240" w:lineRule="auto"/>
      <w:jc w:val="both"/>
    </w:pPr>
    <w:rPr>
      <w:rFonts w:ascii="Arial Narrow" w:eastAsia="Times New Roman" w:hAnsi="Arial Narrow" w:cs="Arial"/>
      <w:sz w:val="16"/>
      <w:szCs w:val="24"/>
      <w:lang w:val="es-ES_tradnl" w:eastAsia="es-ES"/>
    </w:rPr>
  </w:style>
  <w:style w:type="character" w:customStyle="1" w:styleId="Negritas">
    <w:name w:val="Negritas"/>
    <w:aliases w:val="Parrafo"/>
    <w:rsid w:val="002615F9"/>
    <w:rPr>
      <w:b/>
      <w:sz w:val="20"/>
    </w:rPr>
  </w:style>
  <w:style w:type="paragraph" w:styleId="Textoindependiente3">
    <w:name w:val="Body Text 3"/>
    <w:basedOn w:val="Normal"/>
    <w:link w:val="Textoindependiente3Car"/>
    <w:rsid w:val="002615F9"/>
    <w:pPr>
      <w:autoSpaceDE w:val="0"/>
      <w:autoSpaceDN w:val="0"/>
      <w:adjustRightInd w:val="0"/>
      <w:spacing w:after="60" w:line="240" w:lineRule="auto"/>
      <w:jc w:val="both"/>
    </w:pPr>
    <w:rPr>
      <w:rFonts w:ascii="Arial" w:eastAsia="Times New Roman" w:hAnsi="Arial" w:cs="Arial"/>
      <w:b/>
      <w:bCs/>
      <w:color w:val="000000"/>
      <w:sz w:val="18"/>
      <w:szCs w:val="14"/>
      <w:lang w:val="es-ES_tradnl" w:eastAsia="es-ES"/>
    </w:rPr>
  </w:style>
  <w:style w:type="character" w:customStyle="1" w:styleId="Textoindependiente3Car">
    <w:name w:val="Texto independiente 3 Car"/>
    <w:basedOn w:val="Fuentedeprrafopredeter"/>
    <w:link w:val="Textoindependiente3"/>
    <w:rsid w:val="002615F9"/>
    <w:rPr>
      <w:rFonts w:ascii="Arial" w:eastAsia="Times New Roman" w:hAnsi="Arial" w:cs="Arial"/>
      <w:b/>
      <w:bCs/>
      <w:color w:val="000000"/>
      <w:sz w:val="18"/>
      <w:szCs w:val="14"/>
      <w:lang w:val="es-ES_tradnl" w:eastAsia="es-ES"/>
    </w:rPr>
  </w:style>
  <w:style w:type="paragraph" w:styleId="Textoindependiente2">
    <w:name w:val="Body Text 2"/>
    <w:basedOn w:val="Normal"/>
    <w:link w:val="Textoindependiente2Car"/>
    <w:rsid w:val="002615F9"/>
    <w:pPr>
      <w:autoSpaceDE w:val="0"/>
      <w:autoSpaceDN w:val="0"/>
      <w:adjustRightInd w:val="0"/>
      <w:spacing w:after="60" w:line="240" w:lineRule="auto"/>
      <w:jc w:val="both"/>
    </w:pPr>
    <w:rPr>
      <w:rFonts w:ascii="Arial" w:eastAsia="Times New Roman" w:hAnsi="Arial" w:cs="Arial"/>
      <w:color w:val="000000"/>
      <w:sz w:val="16"/>
      <w:szCs w:val="14"/>
      <w:lang w:val="es-ES_tradnl" w:eastAsia="es-ES"/>
    </w:rPr>
  </w:style>
  <w:style w:type="character" w:customStyle="1" w:styleId="Textoindependiente2Car">
    <w:name w:val="Texto independiente 2 Car"/>
    <w:basedOn w:val="Fuentedeprrafopredeter"/>
    <w:link w:val="Textoindependiente2"/>
    <w:rsid w:val="002615F9"/>
    <w:rPr>
      <w:rFonts w:ascii="Arial" w:eastAsia="Times New Roman" w:hAnsi="Arial" w:cs="Arial"/>
      <w:color w:val="000000"/>
      <w:sz w:val="16"/>
      <w:szCs w:val="14"/>
      <w:lang w:val="es-ES_tradnl" w:eastAsia="es-ES"/>
    </w:rPr>
  </w:style>
  <w:style w:type="paragraph" w:styleId="Ttulo">
    <w:name w:val="Title"/>
    <w:basedOn w:val="Normal"/>
    <w:link w:val="TtuloCar"/>
    <w:qFormat/>
    <w:rsid w:val="002615F9"/>
    <w:pPr>
      <w:spacing w:after="0" w:line="240" w:lineRule="exact"/>
      <w:jc w:val="center"/>
    </w:pPr>
    <w:rPr>
      <w:rFonts w:ascii="Arial" w:eastAsia="Times New Roman" w:hAnsi="Arial" w:cs="Arial"/>
      <w:b/>
      <w:bCs/>
      <w:sz w:val="20"/>
      <w:szCs w:val="24"/>
      <w:lang w:val="es-ES" w:eastAsia="es-ES"/>
    </w:rPr>
  </w:style>
  <w:style w:type="character" w:customStyle="1" w:styleId="TtuloCar">
    <w:name w:val="Título Car"/>
    <w:basedOn w:val="Fuentedeprrafopredeter"/>
    <w:link w:val="Ttulo"/>
    <w:rsid w:val="002615F9"/>
    <w:rPr>
      <w:rFonts w:ascii="Arial" w:eastAsia="Times New Roman" w:hAnsi="Arial" w:cs="Arial"/>
      <w:b/>
      <w:bCs/>
      <w:sz w:val="20"/>
      <w:szCs w:val="24"/>
      <w:lang w:val="es-ES" w:eastAsia="es-ES"/>
    </w:rPr>
  </w:style>
  <w:style w:type="paragraph" w:styleId="Textocomentario">
    <w:name w:val="annotation text"/>
    <w:basedOn w:val="Normal"/>
    <w:link w:val="TextocomentarioCar"/>
    <w:semiHidden/>
    <w:rsid w:val="002615F9"/>
    <w:pPr>
      <w:spacing w:after="0" w:line="240" w:lineRule="auto"/>
      <w:jc w:val="both"/>
    </w:pPr>
    <w:rPr>
      <w:rFonts w:ascii="Arial" w:eastAsia="Times New Roman" w:hAnsi="Arial" w:cs="Times New Roman"/>
      <w:sz w:val="20"/>
      <w:szCs w:val="20"/>
      <w:lang w:val="es-ES_tradnl" w:eastAsia="x-none"/>
    </w:rPr>
  </w:style>
  <w:style w:type="character" w:customStyle="1" w:styleId="TextocomentarioCar">
    <w:name w:val="Texto comentario Car"/>
    <w:basedOn w:val="Fuentedeprrafopredeter"/>
    <w:link w:val="Textocomentario"/>
    <w:semiHidden/>
    <w:rsid w:val="002615F9"/>
    <w:rPr>
      <w:rFonts w:ascii="Arial" w:eastAsia="Times New Roman" w:hAnsi="Arial" w:cs="Times New Roman"/>
      <w:sz w:val="20"/>
      <w:szCs w:val="20"/>
      <w:lang w:val="es-ES_tradnl" w:eastAsia="x-none"/>
    </w:rPr>
  </w:style>
  <w:style w:type="paragraph" w:customStyle="1" w:styleId="xl24">
    <w:name w:val="xl24"/>
    <w:basedOn w:val="Normal"/>
    <w:rsid w:val="002615F9"/>
    <w:pPr>
      <w:spacing w:before="100" w:beforeAutospacing="1" w:after="100" w:afterAutospacing="1" w:line="240" w:lineRule="auto"/>
    </w:pPr>
    <w:rPr>
      <w:rFonts w:ascii="Univers" w:eastAsia="Arial Unicode MS" w:hAnsi="Univers" w:cs="Arial Unicode MS"/>
      <w:sz w:val="14"/>
      <w:szCs w:val="14"/>
      <w:lang w:val="es-ES" w:eastAsia="es-ES"/>
    </w:rPr>
  </w:style>
  <w:style w:type="paragraph" w:customStyle="1" w:styleId="xl25">
    <w:name w:val="xl25"/>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6">
    <w:name w:val="xl26"/>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7">
    <w:name w:val="xl27"/>
    <w:basedOn w:val="Normal"/>
    <w:rsid w:val="002615F9"/>
    <w:pPr>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28">
    <w:name w:val="xl28"/>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9">
    <w:name w:val="xl29"/>
    <w:basedOn w:val="Normal"/>
    <w:rsid w:val="002615F9"/>
    <w:pPr>
      <w:pBdr>
        <w:top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0">
    <w:name w:val="xl30"/>
    <w:basedOn w:val="Normal"/>
    <w:rsid w:val="002615F9"/>
    <w:pPr>
      <w:pBdr>
        <w:top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1">
    <w:name w:val="xl31"/>
    <w:basedOn w:val="Normal"/>
    <w:rsid w:val="002615F9"/>
    <w:pPr>
      <w:pBdr>
        <w:top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32">
    <w:name w:val="xl32"/>
    <w:basedOn w:val="Normal"/>
    <w:rsid w:val="002615F9"/>
    <w:pP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3">
    <w:name w:val="xl33"/>
    <w:basedOn w:val="Normal"/>
    <w:rsid w:val="002615F9"/>
    <w:pP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4">
    <w:name w:val="xl34"/>
    <w:basedOn w:val="Normal"/>
    <w:rsid w:val="002615F9"/>
    <w:pPr>
      <w:pBdr>
        <w:bottom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5">
    <w:name w:val="xl35"/>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6">
    <w:name w:val="xl36"/>
    <w:basedOn w:val="Normal"/>
    <w:rsid w:val="002615F9"/>
    <w:pPr>
      <w:pBdr>
        <w:top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7">
    <w:name w:val="xl3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8">
    <w:name w:val="xl38"/>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9">
    <w:name w:val="xl3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0">
    <w:name w:val="xl40"/>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1">
    <w:name w:val="xl41"/>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2">
    <w:name w:val="xl42"/>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3">
    <w:name w:val="xl43"/>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4">
    <w:name w:val="xl44"/>
    <w:basedOn w:val="Normal"/>
    <w:rsid w:val="002615F9"/>
    <w:pPr>
      <w:pBdr>
        <w:top w:val="single" w:sz="4" w:space="0" w:color="auto"/>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45">
    <w:name w:val="xl45"/>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6">
    <w:name w:val="xl46"/>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7">
    <w:name w:val="xl4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8">
    <w:name w:val="xl48"/>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9">
    <w:name w:val="xl4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0">
    <w:name w:val="xl50"/>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1">
    <w:name w:val="xl51"/>
    <w:basedOn w:val="Normal"/>
    <w:rsid w:val="002615F9"/>
    <w:pP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52">
    <w:name w:val="xl52"/>
    <w:basedOn w:val="Normal"/>
    <w:rsid w:val="002615F9"/>
    <w:pPr>
      <w:pBdr>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BodyText21">
    <w:name w:val="Body Text 21"/>
    <w:basedOn w:val="Normal"/>
    <w:rsid w:val="002615F9"/>
    <w:pPr>
      <w:spacing w:after="0" w:line="240" w:lineRule="auto"/>
      <w:jc w:val="both"/>
    </w:pPr>
    <w:rPr>
      <w:rFonts w:ascii="Arial" w:eastAsia="Times New Roman" w:hAnsi="Arial" w:cs="Times New Roman"/>
      <w:sz w:val="24"/>
      <w:szCs w:val="20"/>
      <w:lang w:val="es-ES_tradnl" w:eastAsia="es-ES"/>
    </w:rPr>
  </w:style>
  <w:style w:type="paragraph" w:customStyle="1" w:styleId="texto0">
    <w:name w:val="texto"/>
    <w:basedOn w:val="Normal"/>
    <w:rsid w:val="002615F9"/>
    <w:pPr>
      <w:spacing w:after="101" w:line="216" w:lineRule="atLeast"/>
      <w:ind w:firstLine="288"/>
      <w:jc w:val="both"/>
    </w:pPr>
    <w:rPr>
      <w:rFonts w:ascii="Arial" w:eastAsia="Times New Roman" w:hAnsi="Arial" w:cs="Arial"/>
      <w:sz w:val="18"/>
      <w:szCs w:val="20"/>
      <w:lang w:val="es-ES_tradnl" w:eastAsia="es-MX"/>
    </w:rPr>
  </w:style>
  <w:style w:type="paragraph" w:styleId="Sangra3detindependiente">
    <w:name w:val="Body Text Indent 3"/>
    <w:basedOn w:val="Normal"/>
    <w:link w:val="Sangra3detindependienteCar"/>
    <w:rsid w:val="002615F9"/>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2615F9"/>
    <w:rPr>
      <w:rFonts w:ascii="Times New Roman" w:eastAsia="Times New Roman" w:hAnsi="Times New Roman" w:cs="Times New Roman"/>
      <w:sz w:val="16"/>
      <w:szCs w:val="16"/>
      <w:lang w:val="es-ES" w:eastAsia="es-ES"/>
    </w:rPr>
  </w:style>
  <w:style w:type="paragraph" w:customStyle="1" w:styleId="WW-Sangra3detindependiente">
    <w:name w:val="WW-Sangría 3 de t. independiente"/>
    <w:basedOn w:val="Normal"/>
    <w:rsid w:val="002615F9"/>
    <w:pPr>
      <w:suppressAutoHyphens/>
      <w:spacing w:after="0" w:line="240" w:lineRule="auto"/>
      <w:ind w:left="540" w:firstLine="1"/>
      <w:jc w:val="both"/>
    </w:pPr>
    <w:rPr>
      <w:rFonts w:ascii="Arial" w:eastAsia="Times New Roman" w:hAnsi="Arial" w:cs="Times New Roman"/>
      <w:color w:val="000000"/>
      <w:sz w:val="24"/>
      <w:szCs w:val="20"/>
      <w:lang w:val="es-ES" w:eastAsia="es-MX"/>
    </w:rPr>
  </w:style>
  <w:style w:type="paragraph" w:styleId="Textonotaalfinal">
    <w:name w:val="endnote text"/>
    <w:basedOn w:val="Normal"/>
    <w:link w:val="TextonotaalfinalCar"/>
    <w:rsid w:val="002615F9"/>
    <w:pPr>
      <w:spacing w:after="0" w:line="240" w:lineRule="auto"/>
      <w:jc w:val="both"/>
    </w:pPr>
    <w:rPr>
      <w:rFonts w:ascii="Arial" w:eastAsia="Times New Roman" w:hAnsi="Arial" w:cs="Times New Roman"/>
      <w:sz w:val="20"/>
      <w:szCs w:val="20"/>
      <w:lang w:val="x-none" w:eastAsia="es-ES"/>
    </w:rPr>
  </w:style>
  <w:style w:type="character" w:customStyle="1" w:styleId="TextonotaalfinalCar">
    <w:name w:val="Texto nota al final Car"/>
    <w:basedOn w:val="Fuentedeprrafopredeter"/>
    <w:link w:val="Textonotaalfinal"/>
    <w:rsid w:val="002615F9"/>
    <w:rPr>
      <w:rFonts w:ascii="Arial" w:eastAsia="Times New Roman" w:hAnsi="Arial" w:cs="Times New Roman"/>
      <w:sz w:val="20"/>
      <w:szCs w:val="20"/>
      <w:lang w:val="x-none" w:eastAsia="es-ES"/>
    </w:rPr>
  </w:style>
  <w:style w:type="character" w:styleId="Refdenotaalfinal">
    <w:name w:val="endnote reference"/>
    <w:rsid w:val="002615F9"/>
    <w:rPr>
      <w:vertAlign w:val="superscript"/>
    </w:rPr>
  </w:style>
  <w:style w:type="paragraph" w:customStyle="1" w:styleId="CharCar2">
    <w:name w:val="Char Car2"/>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Refdecomentario">
    <w:name w:val="annotation reference"/>
    <w:rsid w:val="002615F9"/>
    <w:rPr>
      <w:sz w:val="16"/>
      <w:szCs w:val="16"/>
    </w:rPr>
  </w:style>
  <w:style w:type="paragraph" w:styleId="Asuntodelcomentario">
    <w:name w:val="annotation subject"/>
    <w:basedOn w:val="Textocomentario"/>
    <w:next w:val="Textocomentario"/>
    <w:link w:val="AsuntodelcomentarioCar"/>
    <w:rsid w:val="002615F9"/>
    <w:pPr>
      <w:spacing w:after="240"/>
    </w:pPr>
    <w:rPr>
      <w:b/>
      <w:bCs/>
      <w:lang w:val="es-MX"/>
    </w:rPr>
  </w:style>
  <w:style w:type="character" w:customStyle="1" w:styleId="AsuntodelcomentarioCar">
    <w:name w:val="Asunto del comentario Car"/>
    <w:basedOn w:val="TextocomentarioCar"/>
    <w:link w:val="Asuntodelcomentario"/>
    <w:rsid w:val="002615F9"/>
    <w:rPr>
      <w:rFonts w:ascii="Arial" w:eastAsia="Times New Roman" w:hAnsi="Arial" w:cs="Times New Roman"/>
      <w:b/>
      <w:bCs/>
      <w:sz w:val="20"/>
      <w:szCs w:val="20"/>
      <w:lang w:val="es-ES_tradnl" w:eastAsia="x-none"/>
    </w:rPr>
  </w:style>
  <w:style w:type="character" w:styleId="nfasis">
    <w:name w:val="Emphasis"/>
    <w:qFormat/>
    <w:rsid w:val="002615F9"/>
    <w:rPr>
      <w:i/>
      <w:iCs/>
    </w:rPr>
  </w:style>
  <w:style w:type="paragraph" w:styleId="Subttulo">
    <w:name w:val="Subtitle"/>
    <w:basedOn w:val="Normal"/>
    <w:next w:val="Normal"/>
    <w:link w:val="SubttuloCar"/>
    <w:qFormat/>
    <w:rsid w:val="002615F9"/>
    <w:pPr>
      <w:spacing w:after="60" w:line="240" w:lineRule="auto"/>
      <w:jc w:val="center"/>
      <w:outlineLvl w:val="1"/>
    </w:pPr>
    <w:rPr>
      <w:rFonts w:ascii="Cambria" w:eastAsia="Times New Roman" w:hAnsi="Cambria" w:cs="Times New Roman"/>
      <w:sz w:val="24"/>
      <w:szCs w:val="24"/>
      <w:lang w:eastAsia="x-none"/>
    </w:rPr>
  </w:style>
  <w:style w:type="character" w:customStyle="1" w:styleId="SubttuloCar">
    <w:name w:val="Subtítulo Car"/>
    <w:basedOn w:val="Fuentedeprrafopredeter"/>
    <w:link w:val="Subttulo"/>
    <w:rsid w:val="002615F9"/>
    <w:rPr>
      <w:rFonts w:ascii="Cambria" w:eastAsia="Times New Roman" w:hAnsi="Cambria" w:cs="Times New Roman"/>
      <w:sz w:val="24"/>
      <w:szCs w:val="24"/>
      <w:lang w:eastAsia="x-none"/>
    </w:rPr>
  </w:style>
  <w:style w:type="paragraph" w:customStyle="1" w:styleId="CharCar1">
    <w:name w:val="Char Car1"/>
    <w:basedOn w:val="Normal"/>
    <w:rsid w:val="002615F9"/>
    <w:pPr>
      <w:autoSpaceDE w:val="0"/>
      <w:autoSpaceDN w:val="0"/>
      <w:spacing w:after="160" w:line="240" w:lineRule="exact"/>
    </w:pPr>
    <w:rPr>
      <w:rFonts w:ascii="Arial" w:eastAsia="Times New Roman" w:hAnsi="Arial" w:cs="Arial"/>
      <w:sz w:val="20"/>
      <w:szCs w:val="20"/>
      <w:lang w:val="en-US"/>
    </w:rPr>
  </w:style>
  <w:style w:type="paragraph" w:styleId="Revisin">
    <w:name w:val="Revision"/>
    <w:hidden/>
    <w:uiPriority w:val="99"/>
    <w:semiHidden/>
    <w:rsid w:val="002615F9"/>
    <w:pPr>
      <w:spacing w:after="0" w:line="240" w:lineRule="auto"/>
    </w:pPr>
    <w:rPr>
      <w:rFonts w:ascii="Arial" w:eastAsia="Times New Roman" w:hAnsi="Arial" w:cs="Times New Roman"/>
      <w:sz w:val="24"/>
      <w:szCs w:val="24"/>
      <w:lang w:eastAsia="es-ES"/>
    </w:rPr>
  </w:style>
  <w:style w:type="character" w:customStyle="1" w:styleId="apple-converted-space">
    <w:name w:val="apple-converted-space"/>
    <w:basedOn w:val="Fuentedeprrafopredeter"/>
    <w:rsid w:val="002615F9"/>
  </w:style>
  <w:style w:type="character" w:styleId="Hipervnculo">
    <w:name w:val="Hyperlink"/>
    <w:uiPriority w:val="99"/>
    <w:unhideWhenUsed/>
    <w:rsid w:val="002615F9"/>
    <w:rPr>
      <w:color w:val="0000FF"/>
      <w:u w:val="single"/>
    </w:rPr>
  </w:style>
  <w:style w:type="paragraph" w:customStyle="1" w:styleId="bullet">
    <w:name w:val="bullet"/>
    <w:basedOn w:val="Normal"/>
    <w:rsid w:val="002615F9"/>
    <w:pPr>
      <w:numPr>
        <w:numId w:val="2"/>
      </w:numPr>
      <w:tabs>
        <w:tab w:val="left" w:pos="7655"/>
      </w:tabs>
      <w:spacing w:before="360" w:after="0" w:line="240" w:lineRule="auto"/>
      <w:ind w:right="758"/>
      <w:jc w:val="both"/>
    </w:pPr>
    <w:rPr>
      <w:rFonts w:ascii="Arial" w:eastAsia="Times New Roman" w:hAnsi="Arial" w:cs="Times New Roman"/>
      <w:b/>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388498637">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18730095">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641232409">
      <w:bodyDiv w:val="1"/>
      <w:marLeft w:val="0"/>
      <w:marRight w:val="0"/>
      <w:marTop w:val="0"/>
      <w:marBottom w:val="0"/>
      <w:divBdr>
        <w:top w:val="none" w:sz="0" w:space="0" w:color="auto"/>
        <w:left w:val="none" w:sz="0" w:space="0" w:color="auto"/>
        <w:bottom w:val="none" w:sz="0" w:space="0" w:color="auto"/>
        <w:right w:val="none" w:sz="0" w:space="0" w:color="auto"/>
      </w:divBdr>
    </w:div>
    <w:div w:id="730931073">
      <w:bodyDiv w:val="1"/>
      <w:marLeft w:val="0"/>
      <w:marRight w:val="0"/>
      <w:marTop w:val="0"/>
      <w:marBottom w:val="0"/>
      <w:divBdr>
        <w:top w:val="none" w:sz="0" w:space="0" w:color="auto"/>
        <w:left w:val="none" w:sz="0" w:space="0" w:color="auto"/>
        <w:bottom w:val="none" w:sz="0" w:space="0" w:color="auto"/>
        <w:right w:val="none" w:sz="0" w:space="0" w:color="auto"/>
      </w:divBdr>
    </w:div>
    <w:div w:id="731736481">
      <w:bodyDiv w:val="1"/>
      <w:marLeft w:val="0"/>
      <w:marRight w:val="0"/>
      <w:marTop w:val="0"/>
      <w:marBottom w:val="0"/>
      <w:divBdr>
        <w:top w:val="none" w:sz="0" w:space="0" w:color="auto"/>
        <w:left w:val="none" w:sz="0" w:space="0" w:color="auto"/>
        <w:bottom w:val="none" w:sz="0" w:space="0" w:color="auto"/>
        <w:right w:val="none" w:sz="0" w:space="0" w:color="auto"/>
      </w:divBdr>
    </w:div>
    <w:div w:id="733358534">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24862124">
      <w:bodyDiv w:val="1"/>
      <w:marLeft w:val="0"/>
      <w:marRight w:val="0"/>
      <w:marTop w:val="0"/>
      <w:marBottom w:val="0"/>
      <w:divBdr>
        <w:top w:val="none" w:sz="0" w:space="0" w:color="auto"/>
        <w:left w:val="none" w:sz="0" w:space="0" w:color="auto"/>
        <w:bottom w:val="none" w:sz="0" w:space="0" w:color="auto"/>
        <w:right w:val="none" w:sz="0" w:space="0" w:color="auto"/>
      </w:divBdr>
    </w:div>
    <w:div w:id="8519946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973028251">
      <w:bodyDiv w:val="1"/>
      <w:marLeft w:val="0"/>
      <w:marRight w:val="0"/>
      <w:marTop w:val="0"/>
      <w:marBottom w:val="0"/>
      <w:divBdr>
        <w:top w:val="none" w:sz="0" w:space="0" w:color="auto"/>
        <w:left w:val="none" w:sz="0" w:space="0" w:color="auto"/>
        <w:bottom w:val="none" w:sz="0" w:space="0" w:color="auto"/>
        <w:right w:val="none" w:sz="0" w:space="0" w:color="auto"/>
      </w:divBdr>
    </w:div>
    <w:div w:id="991061283">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253245174">
      <w:bodyDiv w:val="1"/>
      <w:marLeft w:val="0"/>
      <w:marRight w:val="0"/>
      <w:marTop w:val="0"/>
      <w:marBottom w:val="0"/>
      <w:divBdr>
        <w:top w:val="none" w:sz="0" w:space="0" w:color="auto"/>
        <w:left w:val="none" w:sz="0" w:space="0" w:color="auto"/>
        <w:bottom w:val="none" w:sz="0" w:space="0" w:color="auto"/>
        <w:right w:val="none" w:sz="0" w:space="0" w:color="auto"/>
      </w:divBdr>
    </w:div>
    <w:div w:id="1271350324">
      <w:bodyDiv w:val="1"/>
      <w:marLeft w:val="0"/>
      <w:marRight w:val="0"/>
      <w:marTop w:val="0"/>
      <w:marBottom w:val="0"/>
      <w:divBdr>
        <w:top w:val="none" w:sz="0" w:space="0" w:color="auto"/>
        <w:left w:val="none" w:sz="0" w:space="0" w:color="auto"/>
        <w:bottom w:val="none" w:sz="0" w:space="0" w:color="auto"/>
        <w:right w:val="none" w:sz="0" w:space="0" w:color="auto"/>
      </w:divBdr>
    </w:div>
    <w:div w:id="1297104432">
      <w:bodyDiv w:val="1"/>
      <w:marLeft w:val="0"/>
      <w:marRight w:val="0"/>
      <w:marTop w:val="0"/>
      <w:marBottom w:val="0"/>
      <w:divBdr>
        <w:top w:val="none" w:sz="0" w:space="0" w:color="auto"/>
        <w:left w:val="none" w:sz="0" w:space="0" w:color="auto"/>
        <w:bottom w:val="none" w:sz="0" w:space="0" w:color="auto"/>
        <w:right w:val="none" w:sz="0" w:space="0" w:color="auto"/>
      </w:divBdr>
    </w:div>
    <w:div w:id="1310162600">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368752087">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589339706">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24338328">
      <w:bodyDiv w:val="1"/>
      <w:marLeft w:val="0"/>
      <w:marRight w:val="0"/>
      <w:marTop w:val="0"/>
      <w:marBottom w:val="0"/>
      <w:divBdr>
        <w:top w:val="none" w:sz="0" w:space="0" w:color="auto"/>
        <w:left w:val="none" w:sz="0" w:space="0" w:color="auto"/>
        <w:bottom w:val="none" w:sz="0" w:space="0" w:color="auto"/>
        <w:right w:val="none" w:sz="0" w:space="0" w:color="auto"/>
      </w:divBdr>
    </w:div>
    <w:div w:id="1652754897">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12607950">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00491868">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4064618">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Excel_Worksheet.xlsx"/><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package" Target="embeddings/Microsoft_Excel_Worksheet1.xlsx"/><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31182-0987-4AD7-B93D-39D45B15E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19998</Words>
  <Characters>109992</Characters>
  <Application>Microsoft Office Word</Application>
  <DocSecurity>0</DocSecurity>
  <Lines>916</Lines>
  <Paragraphs>259</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129731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Contabilidad</cp:lastModifiedBy>
  <cp:revision>2</cp:revision>
  <cp:lastPrinted>2025-07-08T17:08:00Z</cp:lastPrinted>
  <dcterms:created xsi:type="dcterms:W3CDTF">2025-07-29T23:31:00Z</dcterms:created>
  <dcterms:modified xsi:type="dcterms:W3CDTF">2025-07-29T23:31:00Z</dcterms:modified>
</cp:coreProperties>
</file>