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42.55pt;margin-top:22.6pt;width:845.9pt;height:644.3pt;z-index:-251652096">
            <v:imagedata r:id="rId8" o:title=""/>
          </v:shape>
          <o:OLEObject Type="Embed" ProgID="Excel.Sheet.12" ShapeID="_x0000_s2101" DrawAspect="Content" ObjectID="_1814110046"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000000" w:rsidP="003926A7">
      <w:pPr>
        <w:tabs>
          <w:tab w:val="right" w:pos="9360"/>
        </w:tabs>
      </w:pPr>
      <w:r>
        <w:rPr>
          <w:noProof/>
        </w:rPr>
        <w:lastRenderedPageBreak/>
        <w:object w:dxaOrig="1440" w:dyaOrig="1440" w14:anchorId="58913841">
          <v:shape id="_x0000_s2080" type="#_x0000_t75" style="position:absolute;margin-left:-59.35pt;margin-top:17.35pt;width:587.25pt;height:639.25pt;z-index:-251655168">
            <v:imagedata r:id="rId10" o:title=""/>
            <w10:wrap side="right"/>
          </v:shape>
          <o:OLEObject Type="Embed" ProgID="Excel.Sheet.12" ShapeID="_x0000_s2080" DrawAspect="Content" ObjectID="_1814110047"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4pt;margin-top:2.3pt;width:632.1pt;height:675.6pt;z-index:-251651072">
            <v:imagedata r:id="rId12" o:title=""/>
          </v:shape>
          <o:OLEObject Type="Embed" ProgID="Excel.Sheet.12" ShapeID="_x0000_s2102" DrawAspect="Content" ObjectID="_1814110048"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000000" w:rsidP="00215B92">
      <w:pPr>
        <w:ind w:firstLine="708"/>
      </w:pPr>
      <w:r>
        <w:rPr>
          <w:noProof/>
        </w:rPr>
        <w:lastRenderedPageBreak/>
        <w:object w:dxaOrig="1440" w:dyaOrig="1440" w14:anchorId="54BE0AF3">
          <v:shape id="_x0000_s2095" type="#_x0000_t75" style="position:absolute;left:0;text-align:left;margin-left:-46.75pt;margin-top:9.85pt;width:561.65pt;height:653.8pt;z-index:251663360">
            <v:imagedata r:id="rId14" o:title=""/>
            <w10:wrap side="right"/>
          </v:shape>
          <o:OLEObject Type="Embed" ProgID="Excel.Sheet.12" ShapeID="_x0000_s2095" DrawAspect="Content" ObjectID="_1814110049"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55.6pt;margin-top:16.95pt;width:559.4pt;height:658.75pt;z-index:251667456">
            <v:imagedata r:id="rId16" o:title=""/>
          </v:shape>
          <o:OLEObject Type="Embed" ProgID="Excel.Sheet.12" ShapeID="_x0000_s2104" DrawAspect="Content" ObjectID="_1814110050"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46.5pt;margin-top:10.35pt;width:560.1pt;height:656.05pt;z-index:251662336">
            <v:imagedata r:id="rId18" o:title=""/>
            <w10:wrap side="right"/>
          </v:shape>
          <o:OLEObject Type="Embed" ProgID="Excel.Sheet.12" ShapeID="_x0000_s2088" DrawAspect="Content" ObjectID="_1814110051"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49.95pt;margin-top:22.2pt;width:567.95pt;height:655.6pt;z-index:251666432">
            <v:imagedata r:id="rId20" o:title=""/>
          </v:shape>
          <o:OLEObject Type="Embed" ProgID="Excel.Sheet.12" ShapeID="_x0000_s2103" DrawAspect="Content" ObjectID="_1814110052"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504FA4FF" w14:textId="77777777" w:rsidR="008C10B0" w:rsidRDefault="008C10B0" w:rsidP="008C10B0">
      <w:pPr>
        <w:pStyle w:val="Texto"/>
        <w:tabs>
          <w:tab w:val="left" w:pos="284"/>
        </w:tabs>
        <w:spacing w:after="0" w:line="276" w:lineRule="auto"/>
        <w:ind w:left="284" w:firstLine="0"/>
        <w:jc w:val="center"/>
        <w:rPr>
          <w:b/>
          <w:szCs w:val="18"/>
          <w:lang w:val="es-MX"/>
        </w:rPr>
      </w:pPr>
    </w:p>
    <w:p w14:paraId="1A799DCF" w14:textId="77777777" w:rsidR="008C10B0" w:rsidRDefault="008C10B0" w:rsidP="008C10B0">
      <w:pPr>
        <w:spacing w:after="0"/>
        <w:jc w:val="center"/>
        <w:rPr>
          <w:rFonts w:ascii="Arial" w:hAnsi="Arial" w:cs="Arial"/>
          <w:sz w:val="18"/>
          <w:szCs w:val="18"/>
        </w:rPr>
      </w:pPr>
      <w:r w:rsidRPr="00661A17">
        <w:rPr>
          <w:rFonts w:ascii="Arial" w:hAnsi="Arial" w:cs="Arial"/>
          <w:sz w:val="18"/>
          <w:szCs w:val="18"/>
        </w:rPr>
        <w:t>Informe de Pasivos Contingentes</w:t>
      </w:r>
    </w:p>
    <w:p w14:paraId="46A7D981" w14:textId="77777777" w:rsidR="008C10B0" w:rsidRDefault="008C10B0" w:rsidP="008C10B0">
      <w:pPr>
        <w:spacing w:after="0"/>
        <w:rPr>
          <w:rFonts w:ascii="Arial" w:hAnsi="Arial" w:cs="Arial"/>
          <w:sz w:val="18"/>
          <w:szCs w:val="18"/>
        </w:rPr>
      </w:pPr>
    </w:p>
    <w:p w14:paraId="304FF265" w14:textId="77777777" w:rsidR="008C10B0" w:rsidRDefault="008C10B0" w:rsidP="008C10B0">
      <w:pPr>
        <w:spacing w:after="0"/>
        <w:rPr>
          <w:rFonts w:ascii="Arial" w:hAnsi="Arial" w:cs="Arial"/>
          <w:sz w:val="18"/>
          <w:szCs w:val="18"/>
        </w:rPr>
      </w:pPr>
    </w:p>
    <w:p w14:paraId="0612DFF1" w14:textId="77777777" w:rsidR="008C10B0" w:rsidRDefault="008C10B0" w:rsidP="008C10B0">
      <w:pPr>
        <w:spacing w:after="0"/>
        <w:rPr>
          <w:rFonts w:ascii="Arial" w:hAnsi="Arial" w:cs="Arial"/>
          <w:sz w:val="18"/>
          <w:szCs w:val="18"/>
        </w:rPr>
      </w:pPr>
    </w:p>
    <w:p w14:paraId="1D25CC76" w14:textId="1F37BF05" w:rsidR="008C10B0" w:rsidRDefault="008C10B0" w:rsidP="008C10B0">
      <w:pPr>
        <w:pStyle w:val="Texto"/>
        <w:tabs>
          <w:tab w:val="left" w:pos="284"/>
        </w:tabs>
        <w:spacing w:after="0" w:line="276" w:lineRule="auto"/>
        <w:ind w:left="284" w:firstLine="0"/>
        <w:jc w:val="center"/>
        <w:rPr>
          <w:b/>
          <w:szCs w:val="18"/>
          <w:lang w:val="es-MX"/>
        </w:rPr>
      </w:pPr>
      <w:r>
        <w:rPr>
          <w:szCs w:val="18"/>
        </w:rPr>
        <w:t xml:space="preserve">Al mes de </w:t>
      </w:r>
      <w:r w:rsidR="00A444DB">
        <w:rPr>
          <w:szCs w:val="18"/>
        </w:rPr>
        <w:t>junio</w:t>
      </w:r>
      <w:r w:rsidR="00B556D9">
        <w:rPr>
          <w:szCs w:val="18"/>
        </w:rPr>
        <w:t xml:space="preserve"> de 202</w:t>
      </w:r>
      <w:r w:rsidR="00A031F9">
        <w:rPr>
          <w:szCs w:val="18"/>
        </w:rPr>
        <w:t>5</w:t>
      </w:r>
      <w:r w:rsidR="00B556D9">
        <w:rPr>
          <w:szCs w:val="18"/>
        </w:rPr>
        <w:t xml:space="preserve"> </w:t>
      </w:r>
      <w:r>
        <w:rPr>
          <w:szCs w:val="18"/>
        </w:rPr>
        <w:t>el Poder Ejecutivo del Estado</w:t>
      </w:r>
      <w:r w:rsidR="00B556D9">
        <w:rPr>
          <w:szCs w:val="18"/>
        </w:rPr>
        <w:t>,</w:t>
      </w:r>
      <w:r>
        <w:rPr>
          <w:szCs w:val="18"/>
        </w:rPr>
        <w:t xml:space="preserve"> no cuenta con Pasivos Contingentes</w:t>
      </w:r>
      <w:r w:rsidRPr="00AE47E9">
        <w:rPr>
          <w:szCs w:val="18"/>
        </w:rPr>
        <w:t>.</w:t>
      </w:r>
    </w:p>
    <w:p w14:paraId="4E218F47" w14:textId="77777777" w:rsidR="008C10B0" w:rsidRDefault="008C10B0" w:rsidP="008C10B0">
      <w:pPr>
        <w:pStyle w:val="Texto"/>
        <w:tabs>
          <w:tab w:val="left" w:pos="284"/>
        </w:tabs>
        <w:spacing w:after="0" w:line="276" w:lineRule="auto"/>
        <w:ind w:left="284" w:firstLine="0"/>
        <w:jc w:val="center"/>
        <w:rPr>
          <w:b/>
          <w:szCs w:val="18"/>
          <w:lang w:val="es-MX"/>
        </w:rPr>
      </w:pPr>
    </w:p>
    <w:p w14:paraId="78826A69" w14:textId="77777777" w:rsidR="008C10B0" w:rsidRDefault="008C10B0" w:rsidP="008C10B0">
      <w:pPr>
        <w:pStyle w:val="Texto"/>
        <w:tabs>
          <w:tab w:val="left" w:pos="284"/>
        </w:tabs>
        <w:spacing w:after="0" w:line="276" w:lineRule="auto"/>
        <w:ind w:left="284" w:firstLine="0"/>
        <w:jc w:val="center"/>
        <w:rPr>
          <w:b/>
          <w:szCs w:val="18"/>
          <w:lang w:val="es-MX"/>
        </w:rPr>
      </w:pPr>
    </w:p>
    <w:p w14:paraId="3E393342" w14:textId="77777777" w:rsidR="008C10B0" w:rsidRDefault="008C10B0" w:rsidP="008C10B0">
      <w:pPr>
        <w:pStyle w:val="Texto"/>
        <w:tabs>
          <w:tab w:val="left" w:pos="284"/>
        </w:tabs>
        <w:spacing w:after="0" w:line="276" w:lineRule="auto"/>
        <w:ind w:left="284" w:firstLine="0"/>
        <w:jc w:val="center"/>
        <w:rPr>
          <w:b/>
          <w:szCs w:val="18"/>
          <w:lang w:val="es-MX"/>
        </w:rPr>
      </w:pPr>
    </w:p>
    <w:p w14:paraId="33704138" w14:textId="77777777" w:rsidR="008C10B0" w:rsidRDefault="008C10B0" w:rsidP="008C10B0">
      <w:pPr>
        <w:pStyle w:val="Texto"/>
        <w:tabs>
          <w:tab w:val="left" w:pos="284"/>
        </w:tabs>
        <w:spacing w:after="0" w:line="276" w:lineRule="auto"/>
        <w:ind w:left="284" w:firstLine="0"/>
        <w:jc w:val="center"/>
        <w:rPr>
          <w:b/>
          <w:szCs w:val="18"/>
          <w:lang w:val="es-MX"/>
        </w:rPr>
      </w:pPr>
    </w:p>
    <w:p w14:paraId="7482DDCD" w14:textId="77777777" w:rsidR="008C10B0" w:rsidRDefault="008C10B0" w:rsidP="008C10B0">
      <w:pPr>
        <w:pStyle w:val="Texto"/>
        <w:tabs>
          <w:tab w:val="left" w:pos="284"/>
        </w:tabs>
        <w:spacing w:after="0" w:line="276" w:lineRule="auto"/>
        <w:ind w:left="284" w:firstLine="0"/>
        <w:jc w:val="center"/>
        <w:rPr>
          <w:b/>
          <w:szCs w:val="18"/>
          <w:lang w:val="es-MX"/>
        </w:rPr>
      </w:pPr>
    </w:p>
    <w:p w14:paraId="5B840738" w14:textId="77777777" w:rsidR="008C10B0" w:rsidRDefault="008C10B0" w:rsidP="008C10B0">
      <w:pPr>
        <w:pStyle w:val="Texto"/>
        <w:tabs>
          <w:tab w:val="left" w:pos="284"/>
        </w:tabs>
        <w:spacing w:after="0" w:line="276" w:lineRule="auto"/>
        <w:ind w:left="284" w:firstLine="0"/>
        <w:jc w:val="center"/>
        <w:rPr>
          <w:b/>
          <w:szCs w:val="18"/>
          <w:lang w:val="es-MX"/>
        </w:rPr>
      </w:pPr>
    </w:p>
    <w:p w14:paraId="7315D206" w14:textId="77777777" w:rsidR="008C10B0" w:rsidRDefault="008C10B0" w:rsidP="008C10B0">
      <w:pPr>
        <w:pStyle w:val="Texto"/>
        <w:tabs>
          <w:tab w:val="left" w:pos="284"/>
        </w:tabs>
        <w:spacing w:after="0" w:line="276" w:lineRule="auto"/>
        <w:ind w:left="284" w:firstLine="0"/>
        <w:jc w:val="center"/>
        <w:rPr>
          <w:b/>
          <w:szCs w:val="18"/>
          <w:lang w:val="es-MX"/>
        </w:rPr>
      </w:pPr>
    </w:p>
    <w:p w14:paraId="2727127D" w14:textId="77777777" w:rsidR="008C10B0" w:rsidRDefault="008C10B0" w:rsidP="008C10B0">
      <w:pPr>
        <w:pStyle w:val="Texto"/>
        <w:tabs>
          <w:tab w:val="left" w:pos="284"/>
        </w:tabs>
        <w:spacing w:after="0" w:line="276" w:lineRule="auto"/>
        <w:ind w:left="284" w:firstLine="0"/>
        <w:jc w:val="center"/>
        <w:rPr>
          <w:b/>
          <w:szCs w:val="18"/>
          <w:lang w:val="es-MX"/>
        </w:rPr>
      </w:pPr>
    </w:p>
    <w:p w14:paraId="20FD04E0" w14:textId="77777777" w:rsidR="008C10B0" w:rsidRDefault="008C10B0" w:rsidP="008C10B0">
      <w:pPr>
        <w:pStyle w:val="Texto"/>
        <w:tabs>
          <w:tab w:val="left" w:pos="284"/>
        </w:tabs>
        <w:spacing w:after="0" w:line="276" w:lineRule="auto"/>
        <w:ind w:left="284" w:firstLine="0"/>
        <w:jc w:val="center"/>
        <w:rPr>
          <w:b/>
          <w:szCs w:val="18"/>
          <w:lang w:val="es-MX"/>
        </w:rPr>
      </w:pPr>
    </w:p>
    <w:p w14:paraId="25B0D972" w14:textId="77777777" w:rsidR="008C10B0" w:rsidRDefault="008C10B0" w:rsidP="008C10B0">
      <w:pPr>
        <w:pStyle w:val="Texto"/>
        <w:tabs>
          <w:tab w:val="left" w:pos="284"/>
        </w:tabs>
        <w:spacing w:after="0" w:line="276" w:lineRule="auto"/>
        <w:ind w:left="284" w:firstLine="0"/>
        <w:jc w:val="center"/>
        <w:rPr>
          <w:b/>
          <w:szCs w:val="18"/>
          <w:lang w:val="es-MX"/>
        </w:rPr>
      </w:pPr>
    </w:p>
    <w:p w14:paraId="0C92BC9D" w14:textId="77777777" w:rsidR="008C10B0" w:rsidRDefault="008C10B0" w:rsidP="008C10B0">
      <w:pPr>
        <w:pStyle w:val="Texto"/>
        <w:tabs>
          <w:tab w:val="left" w:pos="284"/>
        </w:tabs>
        <w:spacing w:after="0" w:line="276" w:lineRule="auto"/>
        <w:ind w:left="284" w:firstLine="0"/>
        <w:jc w:val="center"/>
        <w:rPr>
          <w:b/>
          <w:szCs w:val="18"/>
          <w:lang w:val="es-MX"/>
        </w:rPr>
      </w:pPr>
    </w:p>
    <w:p w14:paraId="745A9079" w14:textId="77777777" w:rsidR="008C10B0" w:rsidRDefault="008C10B0" w:rsidP="008C10B0">
      <w:pPr>
        <w:pStyle w:val="Texto"/>
        <w:tabs>
          <w:tab w:val="left" w:pos="284"/>
        </w:tabs>
        <w:spacing w:after="0" w:line="276" w:lineRule="auto"/>
        <w:ind w:left="284" w:firstLine="0"/>
        <w:jc w:val="center"/>
        <w:rPr>
          <w:b/>
          <w:szCs w:val="18"/>
          <w:lang w:val="es-MX"/>
        </w:rPr>
      </w:pPr>
    </w:p>
    <w:p w14:paraId="51657010" w14:textId="77777777" w:rsidR="008C10B0" w:rsidRDefault="008C10B0" w:rsidP="008C10B0">
      <w:pPr>
        <w:pStyle w:val="Texto"/>
        <w:tabs>
          <w:tab w:val="left" w:pos="284"/>
        </w:tabs>
        <w:spacing w:after="0" w:line="276" w:lineRule="auto"/>
        <w:ind w:left="284" w:firstLine="0"/>
        <w:jc w:val="center"/>
        <w:rPr>
          <w:b/>
          <w:szCs w:val="18"/>
          <w:lang w:val="es-MX"/>
        </w:rPr>
      </w:pPr>
    </w:p>
    <w:p w14:paraId="3B88E443" w14:textId="77777777" w:rsidR="008C10B0" w:rsidRDefault="008C10B0" w:rsidP="008C10B0">
      <w:pPr>
        <w:pStyle w:val="Texto"/>
        <w:tabs>
          <w:tab w:val="left" w:pos="284"/>
        </w:tabs>
        <w:spacing w:after="0" w:line="276" w:lineRule="auto"/>
        <w:ind w:left="284" w:firstLine="0"/>
        <w:jc w:val="center"/>
        <w:rPr>
          <w:b/>
          <w:szCs w:val="18"/>
          <w:lang w:val="es-MX"/>
        </w:rPr>
      </w:pPr>
    </w:p>
    <w:p w14:paraId="0DA9BF00" w14:textId="77777777" w:rsidR="008C10B0" w:rsidRDefault="008C10B0" w:rsidP="008C10B0">
      <w:pPr>
        <w:pStyle w:val="Texto"/>
        <w:tabs>
          <w:tab w:val="left" w:pos="284"/>
        </w:tabs>
        <w:spacing w:after="0" w:line="276" w:lineRule="auto"/>
        <w:ind w:left="284" w:firstLine="0"/>
        <w:jc w:val="center"/>
        <w:rPr>
          <w:b/>
          <w:szCs w:val="18"/>
          <w:lang w:val="es-MX"/>
        </w:rPr>
      </w:pPr>
    </w:p>
    <w:p w14:paraId="4411229D" w14:textId="77777777" w:rsidR="008C10B0" w:rsidRDefault="008C10B0" w:rsidP="008C10B0">
      <w:pPr>
        <w:pStyle w:val="Texto"/>
        <w:tabs>
          <w:tab w:val="left" w:pos="284"/>
        </w:tabs>
        <w:spacing w:after="0" w:line="276" w:lineRule="auto"/>
        <w:ind w:left="284" w:firstLine="0"/>
        <w:jc w:val="center"/>
        <w:rPr>
          <w:b/>
          <w:szCs w:val="18"/>
          <w:lang w:val="es-MX"/>
        </w:rPr>
      </w:pPr>
    </w:p>
    <w:p w14:paraId="6069C30A" w14:textId="77777777" w:rsidR="008C10B0" w:rsidRDefault="008C10B0" w:rsidP="008C10B0">
      <w:pPr>
        <w:pStyle w:val="Texto"/>
        <w:tabs>
          <w:tab w:val="left" w:pos="284"/>
        </w:tabs>
        <w:spacing w:after="0" w:line="276" w:lineRule="auto"/>
        <w:ind w:left="284" w:firstLine="0"/>
        <w:jc w:val="center"/>
        <w:rPr>
          <w:b/>
          <w:szCs w:val="18"/>
          <w:lang w:val="es-MX"/>
        </w:rPr>
      </w:pPr>
    </w:p>
    <w:p w14:paraId="546C46F3" w14:textId="77777777" w:rsidR="008C10B0" w:rsidRDefault="008C10B0" w:rsidP="008C10B0">
      <w:pPr>
        <w:pStyle w:val="Texto"/>
        <w:tabs>
          <w:tab w:val="left" w:pos="284"/>
        </w:tabs>
        <w:spacing w:after="0" w:line="276" w:lineRule="auto"/>
        <w:ind w:left="284" w:firstLine="0"/>
        <w:jc w:val="center"/>
        <w:rPr>
          <w:b/>
          <w:szCs w:val="18"/>
          <w:lang w:val="es-MX"/>
        </w:rPr>
      </w:pPr>
    </w:p>
    <w:p w14:paraId="58EABCD4" w14:textId="77777777" w:rsidR="008C10B0" w:rsidRDefault="008C10B0" w:rsidP="008C10B0">
      <w:pPr>
        <w:pStyle w:val="Texto"/>
        <w:tabs>
          <w:tab w:val="left" w:pos="284"/>
        </w:tabs>
        <w:spacing w:after="0" w:line="276" w:lineRule="auto"/>
        <w:ind w:left="284" w:firstLine="0"/>
        <w:jc w:val="center"/>
        <w:rPr>
          <w:b/>
          <w:szCs w:val="18"/>
          <w:lang w:val="es-MX"/>
        </w:rPr>
      </w:pPr>
    </w:p>
    <w:p w14:paraId="405B0814" w14:textId="77777777" w:rsidR="008C10B0" w:rsidRDefault="008C10B0" w:rsidP="008C10B0">
      <w:pPr>
        <w:pStyle w:val="Texto"/>
        <w:tabs>
          <w:tab w:val="left" w:pos="284"/>
        </w:tabs>
        <w:spacing w:after="0" w:line="276" w:lineRule="auto"/>
        <w:ind w:left="284" w:firstLine="0"/>
        <w:jc w:val="center"/>
        <w:rPr>
          <w:b/>
          <w:szCs w:val="18"/>
          <w:lang w:val="es-MX"/>
        </w:rPr>
      </w:pPr>
    </w:p>
    <w:p w14:paraId="7F51B2CA" w14:textId="77777777" w:rsidR="008C10B0" w:rsidRDefault="008C10B0" w:rsidP="008C10B0">
      <w:pPr>
        <w:pStyle w:val="Texto"/>
        <w:tabs>
          <w:tab w:val="left" w:pos="284"/>
        </w:tabs>
        <w:spacing w:after="0" w:line="276" w:lineRule="auto"/>
        <w:ind w:left="284" w:firstLine="0"/>
        <w:jc w:val="center"/>
        <w:rPr>
          <w:b/>
          <w:szCs w:val="18"/>
          <w:lang w:val="es-MX"/>
        </w:rPr>
      </w:pPr>
    </w:p>
    <w:p w14:paraId="7C44F32E" w14:textId="77777777" w:rsidR="008C10B0" w:rsidRDefault="008C10B0" w:rsidP="008C10B0">
      <w:pPr>
        <w:pStyle w:val="Texto"/>
        <w:tabs>
          <w:tab w:val="left" w:pos="284"/>
        </w:tabs>
        <w:spacing w:after="0" w:line="276" w:lineRule="auto"/>
        <w:ind w:left="284" w:firstLine="0"/>
        <w:jc w:val="center"/>
        <w:rPr>
          <w:b/>
          <w:szCs w:val="18"/>
          <w:lang w:val="es-MX"/>
        </w:rPr>
      </w:pPr>
    </w:p>
    <w:p w14:paraId="7C321907" w14:textId="77777777" w:rsidR="008C10B0" w:rsidRDefault="008C10B0" w:rsidP="008C10B0">
      <w:pPr>
        <w:pStyle w:val="Texto"/>
        <w:tabs>
          <w:tab w:val="left" w:pos="284"/>
        </w:tabs>
        <w:spacing w:after="0" w:line="276" w:lineRule="auto"/>
        <w:ind w:left="284" w:firstLine="0"/>
        <w:jc w:val="center"/>
        <w:rPr>
          <w:b/>
          <w:szCs w:val="18"/>
          <w:lang w:val="es-MX"/>
        </w:rPr>
      </w:pPr>
    </w:p>
    <w:p w14:paraId="28F72259" w14:textId="77777777" w:rsidR="008C10B0" w:rsidRDefault="008C10B0" w:rsidP="008C10B0">
      <w:pPr>
        <w:pStyle w:val="Texto"/>
        <w:tabs>
          <w:tab w:val="left" w:pos="284"/>
        </w:tabs>
        <w:spacing w:after="0" w:line="276" w:lineRule="auto"/>
        <w:ind w:left="284" w:firstLine="0"/>
        <w:jc w:val="center"/>
        <w:rPr>
          <w:b/>
          <w:szCs w:val="18"/>
          <w:lang w:val="es-MX"/>
        </w:rPr>
      </w:pPr>
    </w:p>
    <w:p w14:paraId="2BED6D1A" w14:textId="77777777" w:rsidR="008C10B0" w:rsidRDefault="008C10B0" w:rsidP="008C10B0">
      <w:pPr>
        <w:pStyle w:val="Texto"/>
        <w:tabs>
          <w:tab w:val="left" w:pos="284"/>
        </w:tabs>
        <w:spacing w:after="0" w:line="276" w:lineRule="auto"/>
        <w:ind w:left="284" w:firstLine="0"/>
        <w:jc w:val="center"/>
        <w:rPr>
          <w:b/>
          <w:szCs w:val="18"/>
          <w:lang w:val="es-MX"/>
        </w:rPr>
      </w:pPr>
    </w:p>
    <w:p w14:paraId="4E7F3DD6" w14:textId="77777777" w:rsidR="008C10B0" w:rsidRDefault="008C10B0" w:rsidP="008C10B0">
      <w:pPr>
        <w:pStyle w:val="Texto"/>
        <w:tabs>
          <w:tab w:val="left" w:pos="284"/>
        </w:tabs>
        <w:spacing w:after="0" w:line="276" w:lineRule="auto"/>
        <w:ind w:left="284" w:firstLine="0"/>
        <w:jc w:val="center"/>
        <w:rPr>
          <w:b/>
          <w:szCs w:val="18"/>
          <w:lang w:val="es-MX"/>
        </w:rPr>
      </w:pPr>
    </w:p>
    <w:p w14:paraId="027407D9" w14:textId="77777777" w:rsidR="008C10B0" w:rsidRDefault="008C10B0" w:rsidP="008C10B0">
      <w:pPr>
        <w:pStyle w:val="Texto"/>
        <w:tabs>
          <w:tab w:val="left" w:pos="284"/>
        </w:tabs>
        <w:spacing w:after="0" w:line="276" w:lineRule="auto"/>
        <w:ind w:left="284" w:firstLine="0"/>
        <w:jc w:val="center"/>
        <w:rPr>
          <w:b/>
          <w:szCs w:val="18"/>
          <w:lang w:val="es-MX"/>
        </w:rPr>
      </w:pPr>
    </w:p>
    <w:p w14:paraId="385DBFC9" w14:textId="77777777" w:rsidR="008C10B0" w:rsidRDefault="008C10B0" w:rsidP="008C10B0">
      <w:pPr>
        <w:pStyle w:val="Texto"/>
        <w:tabs>
          <w:tab w:val="left" w:pos="284"/>
        </w:tabs>
        <w:spacing w:after="0" w:line="276" w:lineRule="auto"/>
        <w:ind w:left="284" w:firstLine="0"/>
        <w:jc w:val="center"/>
        <w:rPr>
          <w:b/>
          <w:szCs w:val="18"/>
          <w:lang w:val="es-MX"/>
        </w:rPr>
      </w:pPr>
    </w:p>
    <w:p w14:paraId="7F936573" w14:textId="77777777" w:rsidR="008C10B0" w:rsidRDefault="008C10B0" w:rsidP="008C10B0">
      <w:pPr>
        <w:pStyle w:val="Texto"/>
        <w:tabs>
          <w:tab w:val="left" w:pos="284"/>
        </w:tabs>
        <w:spacing w:after="0" w:line="276" w:lineRule="auto"/>
        <w:ind w:left="284" w:firstLine="0"/>
        <w:jc w:val="center"/>
        <w:rPr>
          <w:b/>
          <w:szCs w:val="18"/>
          <w:lang w:val="es-MX"/>
        </w:rPr>
      </w:pPr>
    </w:p>
    <w:p w14:paraId="54A7DF0B" w14:textId="77777777" w:rsidR="008C10B0" w:rsidRDefault="008C10B0" w:rsidP="008C10B0">
      <w:pPr>
        <w:pStyle w:val="Texto"/>
        <w:tabs>
          <w:tab w:val="left" w:pos="284"/>
        </w:tabs>
        <w:spacing w:after="0" w:line="276" w:lineRule="auto"/>
        <w:ind w:left="284" w:firstLine="0"/>
        <w:jc w:val="center"/>
        <w:rPr>
          <w:b/>
          <w:szCs w:val="18"/>
          <w:lang w:val="es-MX"/>
        </w:rPr>
      </w:pPr>
    </w:p>
    <w:p w14:paraId="472482FC" w14:textId="77777777" w:rsidR="008C10B0" w:rsidRDefault="008C10B0" w:rsidP="008C10B0">
      <w:pPr>
        <w:pStyle w:val="Texto"/>
        <w:tabs>
          <w:tab w:val="left" w:pos="284"/>
        </w:tabs>
        <w:spacing w:after="0" w:line="276" w:lineRule="auto"/>
        <w:ind w:left="284" w:firstLine="0"/>
        <w:jc w:val="center"/>
        <w:rPr>
          <w:b/>
          <w:szCs w:val="18"/>
          <w:lang w:val="es-MX"/>
        </w:rPr>
      </w:pPr>
    </w:p>
    <w:p w14:paraId="5EC1DD27" w14:textId="77777777" w:rsidR="008C10B0" w:rsidRDefault="008C10B0" w:rsidP="008C10B0">
      <w:pPr>
        <w:pStyle w:val="Texto"/>
        <w:tabs>
          <w:tab w:val="left" w:pos="284"/>
        </w:tabs>
        <w:spacing w:after="0" w:line="276" w:lineRule="auto"/>
        <w:ind w:left="284" w:firstLine="0"/>
        <w:jc w:val="center"/>
        <w:rPr>
          <w:b/>
          <w:szCs w:val="18"/>
          <w:lang w:val="es-MX"/>
        </w:rPr>
      </w:pPr>
    </w:p>
    <w:p w14:paraId="4E4E18AE" w14:textId="77777777" w:rsidR="008C10B0" w:rsidRDefault="008C10B0" w:rsidP="008C10B0">
      <w:pPr>
        <w:pStyle w:val="Texto"/>
        <w:tabs>
          <w:tab w:val="left" w:pos="284"/>
        </w:tabs>
        <w:spacing w:after="0" w:line="276" w:lineRule="auto"/>
        <w:ind w:left="284" w:firstLine="0"/>
        <w:jc w:val="center"/>
        <w:rPr>
          <w:b/>
          <w:szCs w:val="18"/>
          <w:lang w:val="es-MX"/>
        </w:rPr>
      </w:pPr>
    </w:p>
    <w:p w14:paraId="25159A30" w14:textId="77777777" w:rsidR="008C10B0" w:rsidRDefault="008C10B0" w:rsidP="008C10B0">
      <w:pPr>
        <w:pStyle w:val="Texto"/>
        <w:tabs>
          <w:tab w:val="left" w:pos="284"/>
        </w:tabs>
        <w:spacing w:after="0" w:line="276" w:lineRule="auto"/>
        <w:ind w:left="284" w:firstLine="0"/>
        <w:jc w:val="center"/>
        <w:rPr>
          <w:b/>
          <w:szCs w:val="18"/>
          <w:lang w:val="es-MX"/>
        </w:rPr>
      </w:pPr>
    </w:p>
    <w:p w14:paraId="48C8E826" w14:textId="77777777" w:rsidR="008C10B0" w:rsidRDefault="008C10B0" w:rsidP="008C10B0">
      <w:pPr>
        <w:pStyle w:val="Texto"/>
        <w:tabs>
          <w:tab w:val="left" w:pos="284"/>
        </w:tabs>
        <w:spacing w:after="0" w:line="276" w:lineRule="auto"/>
        <w:ind w:left="284" w:firstLine="0"/>
        <w:jc w:val="center"/>
        <w:rPr>
          <w:b/>
          <w:szCs w:val="18"/>
          <w:lang w:val="es-MX"/>
        </w:rPr>
      </w:pPr>
    </w:p>
    <w:p w14:paraId="5E7EC2EF" w14:textId="77777777" w:rsidR="008C10B0" w:rsidRDefault="008C10B0" w:rsidP="008C10B0">
      <w:pPr>
        <w:pStyle w:val="Texto"/>
        <w:tabs>
          <w:tab w:val="left" w:pos="284"/>
        </w:tabs>
        <w:spacing w:after="0" w:line="276" w:lineRule="auto"/>
        <w:ind w:left="284" w:firstLine="0"/>
        <w:jc w:val="center"/>
        <w:rPr>
          <w:b/>
          <w:szCs w:val="18"/>
          <w:lang w:val="es-MX"/>
        </w:rPr>
      </w:pPr>
    </w:p>
    <w:p w14:paraId="40092F74" w14:textId="77777777" w:rsidR="008C10B0" w:rsidRDefault="008C10B0" w:rsidP="008C10B0">
      <w:pPr>
        <w:pStyle w:val="Texto"/>
        <w:tabs>
          <w:tab w:val="left" w:pos="284"/>
        </w:tabs>
        <w:spacing w:after="0" w:line="276" w:lineRule="auto"/>
        <w:ind w:left="284" w:firstLine="0"/>
        <w:jc w:val="center"/>
        <w:rPr>
          <w:b/>
          <w:szCs w:val="18"/>
          <w:lang w:val="es-MX"/>
        </w:rPr>
      </w:pPr>
    </w:p>
    <w:p w14:paraId="3B6E4CCF" w14:textId="77777777" w:rsidR="008C10B0" w:rsidRDefault="008C10B0" w:rsidP="008C10B0">
      <w:pPr>
        <w:pStyle w:val="Texto"/>
        <w:tabs>
          <w:tab w:val="left" w:pos="284"/>
        </w:tabs>
        <w:spacing w:after="0" w:line="276" w:lineRule="auto"/>
        <w:ind w:left="284" w:firstLine="0"/>
        <w:jc w:val="center"/>
        <w:rPr>
          <w:b/>
          <w:szCs w:val="18"/>
          <w:lang w:val="es-MX"/>
        </w:rPr>
      </w:pPr>
    </w:p>
    <w:p w14:paraId="1185689C" w14:textId="77777777" w:rsidR="008C10B0" w:rsidRDefault="008C10B0" w:rsidP="008C10B0">
      <w:pPr>
        <w:pStyle w:val="Texto"/>
        <w:tabs>
          <w:tab w:val="left" w:pos="284"/>
        </w:tabs>
        <w:spacing w:after="0" w:line="276" w:lineRule="auto"/>
        <w:ind w:left="284" w:firstLine="0"/>
        <w:jc w:val="center"/>
        <w:rPr>
          <w:b/>
          <w:szCs w:val="18"/>
          <w:lang w:val="es-MX"/>
        </w:rPr>
      </w:pPr>
    </w:p>
    <w:p w14:paraId="460AE01E" w14:textId="77777777" w:rsidR="008C10B0" w:rsidRDefault="008C10B0" w:rsidP="008C10B0">
      <w:pPr>
        <w:pStyle w:val="Texto"/>
        <w:tabs>
          <w:tab w:val="left" w:pos="284"/>
        </w:tabs>
        <w:spacing w:after="0" w:line="276" w:lineRule="auto"/>
        <w:ind w:left="284" w:firstLine="0"/>
        <w:jc w:val="center"/>
        <w:rPr>
          <w:b/>
          <w:szCs w:val="18"/>
          <w:lang w:val="es-MX"/>
        </w:rPr>
      </w:pPr>
    </w:p>
    <w:p w14:paraId="2A44C8A0" w14:textId="77777777" w:rsidR="008C10B0" w:rsidRDefault="008C10B0" w:rsidP="008C10B0">
      <w:pPr>
        <w:pStyle w:val="Texto"/>
        <w:tabs>
          <w:tab w:val="left" w:pos="284"/>
        </w:tabs>
        <w:spacing w:after="0" w:line="276" w:lineRule="auto"/>
        <w:ind w:left="284" w:firstLine="0"/>
        <w:jc w:val="center"/>
        <w:rPr>
          <w:b/>
          <w:szCs w:val="18"/>
          <w:lang w:val="es-MX"/>
        </w:rPr>
      </w:pPr>
    </w:p>
    <w:p w14:paraId="2BD160EB" w14:textId="77777777" w:rsidR="008C10B0" w:rsidRDefault="008C10B0" w:rsidP="008C10B0">
      <w:pPr>
        <w:pStyle w:val="Texto"/>
        <w:tabs>
          <w:tab w:val="left" w:pos="284"/>
        </w:tabs>
        <w:spacing w:after="0" w:line="276" w:lineRule="auto"/>
        <w:ind w:left="284" w:firstLine="0"/>
        <w:jc w:val="center"/>
        <w:rPr>
          <w:b/>
          <w:szCs w:val="18"/>
          <w:lang w:val="es-MX"/>
        </w:rPr>
      </w:pPr>
    </w:p>
    <w:p w14:paraId="1A7FD317" w14:textId="77777777" w:rsidR="008C10B0" w:rsidRDefault="008C10B0" w:rsidP="008C10B0">
      <w:pPr>
        <w:pStyle w:val="Texto"/>
        <w:tabs>
          <w:tab w:val="left" w:pos="284"/>
        </w:tabs>
        <w:spacing w:after="0" w:line="276" w:lineRule="auto"/>
        <w:ind w:left="284" w:firstLine="0"/>
        <w:jc w:val="center"/>
        <w:rPr>
          <w:b/>
          <w:szCs w:val="18"/>
          <w:lang w:val="es-MX"/>
        </w:rPr>
      </w:pPr>
    </w:p>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663DFB4B"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271A703"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2D20E8F2"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29550FF"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1CA0E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economía global comenzó el primer trimestre de 2025 con un aumento en la incertidumbre comercial y una moderación del crecimiento. Los cambios en la política arancelaria por parte de Estados Unidos (EE.UU.) y las respuestas de otros países, así como las tensiones geopolíticas, afectaron negativamente la confianza de empresas y hogares, lo que a su vez moderó el crecimiento del consumo y la inversión. Durante el primer trimestre del año, la actividad económica en EE.UU. disminuyó a una tasa de 0.1% con respecto al trimestre previo, en gran medida por la contribución negativa de las exportaciones netas y el aumento de inventarios asociados a importaciones anticipadas ante el temor del aumento en las tarifas arancelarias. </w:t>
      </w:r>
    </w:p>
    <w:p w14:paraId="51295FE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la zona euro, la economía mantuvo un bajo desempeño asociado a la debilidad de su producción industrial que continuó desde el año pasado. Mientras tanto, la economía de China perdió impulso ante la debilidad del mercado interno y del sector inmobiliario, desempeño parcialmente compensado por el apoyo de la política fiscal. Las presiones inflacionarias se moderaron a nivel global, aunque el ritmo de desinflación se ha ralentizado. En EE.UU., la inflación de servicios continuó elevada, no obstante, mantuvo una trayectoria descendente, mientras que los precios de las mercancías comenzaron a contribuir nuevamente a la inflación, si bien desde una base alta de 2024. </w:t>
      </w:r>
    </w:p>
    <w:p w14:paraId="3514010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Sin embargo, los anuncios de nuevos aranceles presionaron al alza las expectativas de inflación de los hogares en el corto plazo, aunque las de largo plazo se mantuvieron relativamente ancladas en torno a su promedio histórico. Por su parte, los precios internacionales de materias primas contribuyeron a la reducción de la inflación, en especial las cotizaciones del petróleo, reflejo de una menor demanda global y un aumento en la oferta de la Organización de Países Exportadores de Petróleo y aliados (OPEP+). En este contexto, la mayoría de los bancos centrales de las principales economías mantuvo su relajamiento monetario en el primer trimestre de 2025, aunque con cautela y a la espera de mejores datos luego del aumento en la incertidumbre y sus posibles repercusiones económicas. </w:t>
      </w:r>
    </w:p>
    <w:p w14:paraId="1053022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EE.UU. la Reserva Federal (FED) anunció una pausa en su ciclo de recortes, manteniendo la tasa de fondos federales en un rango de 4.25-4.50% y a la espera de mayor claridad para sus decisiones. En cambio, el Banco Central Europeo (BCE) redujo sus tres tasas de interés oficiales ante un moderado crecimiento económico. Mientras tanto, el Banco Popular de China (BPC) mantuvo sus tasas de interés de referencia sin cambios con el fin de incentivar su mercado interno.</w:t>
      </w:r>
    </w:p>
    <w:p w14:paraId="29DC852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las condiciones financieras se endurecieron ante los episodios de aversión al riesgo y los altos niveles de volatilidad en los precios de los activos, principalmente a causa de las nuevas políticas comerciales y las tensiones geopolíticas. En EE.UU., se observaron caídas en los índices bursátiles y en el dólar, </w:t>
      </w:r>
      <w:r w:rsidRPr="00A444DB">
        <w:rPr>
          <w:rFonts w:ascii="Arial" w:hAnsi="Arial" w:cs="Arial"/>
          <w:sz w:val="18"/>
          <w:szCs w:val="18"/>
        </w:rPr>
        <w:lastRenderedPageBreak/>
        <w:t xml:space="preserve">además de incrementos en los rendimientos de los bonos gubernamentales a mediano y largo plazo. No obstante, los índices bursátiles de las economías emergentes mostraron una mayor resiliencia, aunque el </w:t>
      </w:r>
      <w:proofErr w:type="spellStart"/>
      <w:r w:rsidRPr="00A444DB">
        <w:rPr>
          <w:rFonts w:ascii="Arial" w:hAnsi="Arial" w:cs="Arial"/>
          <w:sz w:val="18"/>
          <w:szCs w:val="18"/>
        </w:rPr>
        <w:t>riesgopaís</w:t>
      </w:r>
      <w:proofErr w:type="spellEnd"/>
      <w:r w:rsidRPr="00A444DB">
        <w:rPr>
          <w:rFonts w:ascii="Arial" w:hAnsi="Arial" w:cs="Arial"/>
          <w:sz w:val="18"/>
          <w:szCs w:val="18"/>
        </w:rPr>
        <w:t xml:space="preserve"> de las economías aumentó de forma generalizada y varias monedas registraron un aumento en la volatilidad y depreciaciones. </w:t>
      </w:r>
    </w:p>
    <w:p w14:paraId="0BEDD54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economía mexicana no fue ajena a los efectos provocados por las tensiones comerciales y otros factores adversos del entorno global. En este sentido, durante el primer trimestre de 2025, se observaron algunos signos de desaceleración, mismos que fueron parcialmente compensados por la fortaleza del mercado doméstico y la participación estratégica de nuestro país en las cadenas globales de valor. Lo anterior, en un entorno de baja inflación, bajo desempleo y creación de puestos de trabajo. </w:t>
      </w:r>
    </w:p>
    <w:p w14:paraId="2E6F0CA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De acuerdo con la estimación oportuna publicada por el Instituto Nacional de Estadística y Geografía (INEGI), en el primer trimestre de 2025 el Producto Interno Bruto (PIB) registró un crecimiento trimestral de 0.2%, con cifras ajustadas por estacionalidad. Este desempeño se explicó principalmente por la contracción de 0.3% de las actividades industriales, que fueron las más afectadas por la incertidumbre comercial. El sector servicios, por su parte, se mantuvo sin cambios respecto al trimestre previo. Finalmente, las actividades primarias repuntaron 8.1%, recuperando lo perdido en el trimestre anterior y favorecidas por condiciones de sequía menos severas a las observadas durante la mayor parte de 2023 y 2024. </w:t>
      </w:r>
    </w:p>
    <w:p w14:paraId="714236B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materia de empleo, entre enero y marzo se observó una moderación en el ritmo de creación de plazas de trabajo, relacionada con el menor dinamismo de la actividad económica y el efecto de una alta base de comparación en 2024. A pesar de ello, se crearon en el primer trimestre 176 mil nuevos puestos de trabajo respecto al año anterior ante el Instituto Mexicano del Seguro Social (IMSS), principalmente en el sector servicios, mientras que la tasa de desocupación se mantuvo baja en un nivel de 2.6%, con cifras ajustadas por estacionalidad, acumulando 29 meses consecutivos por debajo del 3.0%. Además, los salarios registrados ante el IMSS crecieron 3.7% real anual. </w:t>
      </w:r>
    </w:p>
    <w:p w14:paraId="25E904C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inflación general continuó con su tendencia a la baja durante el primer trimestre de 2025, alcanzando un nivel promedio de 3.7% anual. Al interior, el componente subyacente se ubicó en 3.6%, inferior a lo observado en el periodo previo, beneficiado por la desaceleración de los precios de los servicios y las mercancías. En el caso del componente no subyacente, éste se ubicó en 3.9%, lo cual representó una reducción de 3.2 puntos porcentuales (</w:t>
      </w:r>
      <w:proofErr w:type="spellStart"/>
      <w:r w:rsidRPr="00A444DB">
        <w:rPr>
          <w:rFonts w:ascii="Arial" w:hAnsi="Arial" w:cs="Arial"/>
          <w:sz w:val="18"/>
          <w:szCs w:val="18"/>
        </w:rPr>
        <w:t>pp</w:t>
      </w:r>
      <w:proofErr w:type="spellEnd"/>
      <w:r w:rsidRPr="00A444DB">
        <w:rPr>
          <w:rFonts w:ascii="Arial" w:hAnsi="Arial" w:cs="Arial"/>
          <w:sz w:val="18"/>
          <w:szCs w:val="18"/>
        </w:rPr>
        <w:t>) respecto al promedio del trimestre pasado que obedeció a disminuciones en los precios de frutas y verduras, así como a una menor inflación de los energéticos, particularmente gasolinas, en el marco del acuerdo nacional para mantener el precio de la gasolina regular por debajo de 24 pesos por litro.</w:t>
      </w:r>
    </w:p>
    <w:p w14:paraId="2E26DF7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Respecto al sector externo, durante el primer trimestre de 2025, el valor de las exportaciones creció 0.8%, impulsado por la competitividad del tipo de cambio y el dinamismo de las exportaciones no automotrices, lo que compensó la desaceleración de la industria automotriz estadounidense y los efectos de la incertidumbre comercial. Por su parte, las importaciones disminuyeron 1.5% trimestral. Otro resultado relevante sobre la relación de México con el exterior fue el aumento de 15.0% anual en la llegada de viajeros internacionales durante enero-febrero, lo que contribuyó a que los ingresos por turismo aumentaran en 282 millones de dólares respecto al primer bimestre de 2024. </w:t>
      </w:r>
    </w:p>
    <w:p w14:paraId="6DBFFE0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Sobre las remesas, el flujo observado durante el primer bimestre de 2025 fue 0.6% superior a lo observado en el mismo periodo de 2024. A pesar de los cambios en el panorama internacional, la Inversión Extranjera Directa (IED) continuó en máximos históricos. Con cifras preliminares, al cierre de 2024, este indicador acumuló 37 mil millones de dólares, de los cuales 10 mil millones fueron destinados a la industria de equipo de transporte, el monto más alto desde que se tiene registro. Estos niveles de inversión reflejaron la confianza en el entorno económico del país y las oportunidades de crecimiento hacia el futuro. </w:t>
      </w:r>
    </w:p>
    <w:p w14:paraId="78F8A2E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Finalmente, destacó que el sistema financiero mexicano se mantuvo sólido durante el primer trimestre de 2025, a pesar de los distintos episodios de volatilidad y aversión al riesgo observados en el panorama internacional. El tipo de cambio alcanzó un nivel de 20.44 pesos por dólar al cierre de marzo, el cual significó una apreciación de 1.7% respecto al cierre del trimestre anterior. Esto último fue consistente con el desempeño de divisas como el real brasileño, el peso colombiano o el peso chileno. </w:t>
      </w:r>
    </w:p>
    <w:p w14:paraId="1D5D057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caso del riesgo país en México, éste se incrementó durante el periodo, si bien el aumento sólo representó una cuarta parte del aumento promedio de 32 puntos base (pb) observado en el resto de las economías </w:t>
      </w:r>
      <w:r w:rsidRPr="00A444DB">
        <w:rPr>
          <w:rFonts w:ascii="Arial" w:hAnsi="Arial" w:cs="Arial"/>
          <w:sz w:val="18"/>
          <w:szCs w:val="18"/>
        </w:rPr>
        <w:lastRenderedPageBreak/>
        <w:t xml:space="preserve">emergentes. En materia de financiamiento, el crédito vigente al sector privado no financiero aumentó 1.4% real entre diciembre de 2024 y febrero de 2025, con incrementos en los rubros de consumo y vivienda de 1.5 y 0.4% real, respectivamente. La banca comercial, por su parte, alcanzó un Índice de Capitalización (ICAP) de 19.93% en febrero, superior al estándar mínimo de regulación internacional de 10.5%. </w:t>
      </w:r>
    </w:p>
    <w:p w14:paraId="6850835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último, el Índice de Morosidad (IMOR) observado a febrero se ubicó en 2.03%, mientras que el Índice de Morosidad Ajustada (IMORA) ascendió a 4.15%, ambos muy por debajo de los valores observados en periodos de estrés financiero como la Gran Recesión de 2009 (3.5% IMOR y 8.2% IMORA) o la pandemia de COVID-19 en 2020 (2.3% IMOR y 4.7% IMORA).</w:t>
      </w:r>
    </w:p>
    <w:p w14:paraId="75BFC04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 pesar de la incertidumbre y moderación en la actividad económica observadas en el primer trimestre de 2025, las finanzas públicas se mantuvieron sanas y en línea con el cumplimiento de las metas fiscales del año en curso. Con datos acumulados a marzo, los principales balances fiscales mostraron un mejor desempeño respecto a lo programado, garantizando que la deuda pública permanezca bajo control y en una trayectoria sostenible. De este modo, el Gobierno de México reafirma su compromiso con el proceso de normalización planteado desde el Paquete Económico, mismo que brinda certidumbre sobre el rumbo de la política fiscal hacia el mediano plazo. </w:t>
      </w:r>
    </w:p>
    <w:p w14:paraId="1E5635C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Los ingresos presupuestarios se incrementaron en 11.0% real anual en el primer trimestre de 2025. En su interior, la recaudación tributaria del Gobierno Federal presentó un aumento de 17.8% real respecto a lo observado entre enero y marzo de 2024, el más alto desde 2015 para un primer trimestre. Este resultado se dio en un contexto de resultados extraordinarios, así como por los efectos de diversas medidas para fomentar el cumplimiento de los contribuyentes y combatir las prácticas de evasión fiscal, aunado a los esfuerzos para promover una mayor digitalización en los servicios públicos. </w:t>
      </w:r>
    </w:p>
    <w:p w14:paraId="3F91EAD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Dentro de la recaudación, los ingresos por concepto del Impuesto sobre la Renta (ISR) registraron un crecimiento real anual de 21.3% en el acumulado a marzo, muy superior al promedio de 3.9% observado en los cinco años previos; lo cual se explicó por la influencia positiva del mercado laboral, en particular los mayores salarios reales, aunado a un efecto de calendarización relacionado con el último día hábil para el pago definitivo por parte de las personas morales. </w:t>
      </w:r>
    </w:p>
    <w:p w14:paraId="5BEAC59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caso del Impuesto al Valor Agregado (IVA), lo recaudado en el primer trimestre de este año fue superior en 20.9% real al nivel observado en el mismo periodo de 2024, la tasa más alta desde que se tiene registro, derivado de las medidas para la retención del IVA para las plataformas electrónicas, el cobro al ingreso de minimis y el efecto de la depreciación del tipo de cambio sobre el registro en moneda nacional de los bienes de importación que deben pagar ese impuesto. </w:t>
      </w:r>
    </w:p>
    <w:p w14:paraId="16FA364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la recaudación del Impuesto Especial sobre Producción y Servicios (IEPS) disminuyó en 6.0% real anual al cierre del periodo enero-marzo. Lo anterior se explicó por reducciones anuales de 9.0% del componente de combustibles y de 1.8% del rubro que captura la carga tributaria asociada al consumo de tabaco, alcohol y ciertos alimentos calóricos, entre otros. En cuanto a los ingresos petroleros del Sector Público, en el acumulado a marzo se observó una reducción de 13.8% real anual que obedeció mayoritariamente a una disminución en la producción de hidrocarburos, misma que fue compensada parcialmente por un mayor tipo de cambio promedio al observado en el mismo periodo de 2024. Este último factor podría mejorar el desempeño de este rubro de los ingresos en los próximos meses, junto con un mayor precio del gas natural en la comparación anual.</w:t>
      </w:r>
    </w:p>
    <w:p w14:paraId="5255F94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Finalmente, en el primer trimestre de 2025, los ingresos de organismos y empresas distintas de Petróleos Mexicanos (Pemex) registraron un incremento anual de 0.9% real. En su interior, los ingresos propios del IMSS aumentaron en 1.2% anual, en el contexto de los mayores niveles de empleo y del salario promedio, mientras que aquellos de la Comisión Federal de Electricidad (CFE) crecieron 1.1% en el mismo periodo de comparación, impulsados por la solidez de las ventas internas. </w:t>
      </w:r>
    </w:p>
    <w:p w14:paraId="73ED79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cambio, los ingresos propios del Instituto de Seguridad y Servicios Sociales de los Trabajadores del Estado (ISSSTE) disminuyeron 4.9% anual, si bien superaron lo previsto para el trimestre en 2.1%. Respecto al gasto público, la evolución observada en el acumulado a marzo reflejó los esfuerzos para alcanzar una convergencia fiscal al cierre de 2025 sin descuidar la asignación de recursos a aquellos programas presupuestarios con impacto directo en el bienestar de la población y la inversión para el desarrollo económico. En este tenor, destacó que el gasto de operación distinto de servicios personales se redujo en 4.4% real anual, en el marco de las acciones para promover una mayor eficiencia en las labores gubernamentales. </w:t>
      </w:r>
    </w:p>
    <w:p w14:paraId="47458F3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el caso de la inversión en infraestructura, ésta se redujo en 12.3% real respecto a lo observado en el primer trimestre de 2024, lo cual se explicó por una alta base de comparación ante la culminación de diversos proyectos prioritarios de la administración anterior. Es importante destacar que los recursos asignados han abonado a la conformación de los Polos de Desarrollo para el Bienestar en su objetivo de captar inversión extranjera y fortalecer las condiciones de crecimiento de la economía. Si bien durante el periodo se observó un incremento anual de 11.7% del costo financiero, derivado de la persistencia de condiciones financieras restrictivas y del efecto de la depreciación del tipo de cambio sobre la valuación de pasivos denominados en moneda extranjera, el pago de intereses fue 10.6% inferior a lo previsto en el programa para el periodo enero-marzo. </w:t>
      </w:r>
    </w:p>
    <w:p w14:paraId="3A6F365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 anterior, como resultado de una gestión estratégica del portafolio de pasivos. Considerando la información descrita anteriormente, el balance presupuestario alcanzó un déficit de 121 mil millones de pesos al cierre de marzo, 115 mil millones de pesos por debajo de lo previsto en el programa. En el caso del balance primario presupuestario, se observó un superávit de 182 mil millones de pesos, el cual se compara favorablemente con el valor proyectado de 103 mil millones de pesos. Como consecuencia, los Requerimientos Financieros del Sector Público (RFSP) alcanzaron un nivel de 159 mil millones de pesos, en línea con los criterios de sostenibilidad fiscal planteados desde el Paquete Económico 2025.</w:t>
      </w:r>
    </w:p>
    <w:p w14:paraId="775FAFD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política de deuda se enfocó en cubrir las necesidades de financiamiento buscando en todo momento minimizar costos y riesgos. Ante retos como la persistencia de posturas monetarias restrictivas, tanto a nivel nacional como en el extranjero, tensiones geopolíticas y volatilidad del tipo de cambio, se priorizó el financiamiento en el mercado local a tasa fija y largo plazo, así como el diseño de acciones para mejorar el perfil de vencimientos del portafolio de deuda. Lo anterior, permitió mantener un portafolio de deuda flexible y contribuir a la estabilidad de la trayectoria de la deuda como proporción del PIB.</w:t>
      </w:r>
    </w:p>
    <w:p w14:paraId="3CDC9C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primer trimestre de 2025, la deuda pública, medida por el Saldo Histórico de los Requerimientos Financieros del Sector Público (SHRFSP) se ubicó en 17 billones 662 mil millones de pesos, equivalente al 49.2% del PIB. Al interior, el componente interno ascendió a 13 billones 7 mil millones de pesos (73.7% del total), mientras que el externo registró un nivel de 229 mil millones de dólares (26.3% del total). </w:t>
      </w:r>
    </w:p>
    <w:p w14:paraId="7FE81C4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lo que respecta a la estrategia de manejo de pasivos, en el primer trimestre se refinanciaron 367 mil millones de pesos en el mercado interno, mediante un proceso de vencimiento anticipado que no implicó la emisión de un nuevo financiamiento. Estas acciones disminuyeron las necesidades de liquidez de corto plazo y beneficiaron al perfil de vencimientos. Asimismo, se llevaron a cabo tres colocaciones sindicadas en el mercado interno por un monto total de 52 mil millones de pesos: una colocación de Bonos M por 16 mil millones de pesos, una colocación de Bondes G por 28 mil millones de pesos y una colocación de </w:t>
      </w:r>
      <w:proofErr w:type="spellStart"/>
      <w:r w:rsidRPr="00A444DB">
        <w:rPr>
          <w:rFonts w:ascii="Arial" w:hAnsi="Arial" w:cs="Arial"/>
          <w:sz w:val="18"/>
          <w:szCs w:val="18"/>
        </w:rPr>
        <w:t>Udibonos</w:t>
      </w:r>
      <w:proofErr w:type="spellEnd"/>
      <w:r w:rsidRPr="00A444DB">
        <w:rPr>
          <w:rFonts w:ascii="Arial" w:hAnsi="Arial" w:cs="Arial"/>
          <w:sz w:val="18"/>
          <w:szCs w:val="18"/>
        </w:rPr>
        <w:t xml:space="preserve"> por un equivalente a 8 mil millones de pesos. </w:t>
      </w:r>
    </w:p>
    <w:p w14:paraId="4574ED5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De igual manera, se realizaron dos operaciones en los mercados internacionales por un equivalente a 11 mil millones de dólares, con las que se aprovecharon las condiciones favorables de liquidez de inicio de año y se continuó con el desarrollo de la curva de rendimientos en los mercados de dólares y euros.</w:t>
      </w:r>
    </w:p>
    <w:p w14:paraId="2994117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economía global mostró señales de desaceleración en medio de una elevada incertidumbre política y comercial. La actividad económica en EE.UU. disminuyó con respecto al trimestre previo, en gran medida, por la contribución negativa de las exportaciones netas asociada a importaciones anticipadas ante el aumento en las tarifas arancelarias. En la zona euro, la economía mantuvo un bajo desempeño, mientras que China perdió impulso en el primer trimestre por la debilidad del mercado interno. </w:t>
      </w:r>
    </w:p>
    <w:p w14:paraId="3323CFC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este entorno, las presiones inflacionarias se moderaron, aunque con repuntes en los primeros meses del año. En EE.UU., la inflación de servicios, aunque elevada, mantuvo una trayectoria descendente, mientras que los precios de las mercancías comenzaron a contribuir nuevamente a la inflación, aunque desde bases muy bajas. Las expectativas de inflación de corto plazo aumentaron ante los posibles efectos inflacionarios por las políticas arancelarias, mientras que las de largo plazo se mantuvieron relativamente estables. </w:t>
      </w:r>
    </w:p>
    <w:p w14:paraId="6A1EB14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Por su parte, los precios internacionales de materias primas contribuyeron a la reducción de la inflación. En particular, las cotizaciones del crudo disminuyeron durante el primer trimestre, reflejando una menor demanda global y un aumento en la oferta de la OPEP+, aunque limitada por tensiones geopolíticas. La mayoría de los bancos centrales de las principales economías mantuvo su relajamiento monetario, aunque con cautela ante la política arancelaria de EE.UU. y sus posibles repercusiones económicas. </w:t>
      </w:r>
    </w:p>
    <w:p w14:paraId="18834FA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este contexto, la FED pausó su ciclo de recortes durante el primer trimestre del año, situando la tasa de fondos federales en un rango de 4.25-4.50%, ante la inflación que se mantuvo por encima de su objetivo y el aumento en la incertidumbre de las perspectivas económicas. Las últimas proyecciones de marzo, realizadas por el Comité de Mercado Abierto, prevén recortes adicionales de hasta 50 pb durante el año. El comportamiento de los mercados financieros internacionales estuvo marcado por episodios de aversión al riesgo y elevados niveles de volatilidad en los precios de activos, principalmente por las políticas comerciales de EE.UU. y las tensiones geopolíticas. </w:t>
      </w:r>
    </w:p>
    <w:p w14:paraId="1F0BD9B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Esto resultó en un endurecimiento de las condiciones financieras provocada por caídas en los índices accionarios y el dólar, así como por aumentos en los rendimientos gubernamentales de mediano y largo plazo. Por su parte, los índices accionarios de las economías emergentes mostraron mayor resiliencia, aunque el riesgo-país aumentó y se registraron depreciaciones en diversas monedas.</w:t>
      </w:r>
    </w:p>
    <w:p w14:paraId="0B2AEBF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PIB real de EE.UU. disminuyó a una tasa de 0.1% trimestral, inferior al crecimiento de 0.6% observado en el trimestre anterior y del 0.5% esperado por el consenso de analistas a inicios de año. Esta disminución respondió, principalmente, a un aumento significativo de importaciones anticipadas por el anuncio y aumento en las tarifas arancelarias a sus socios comerciales. Lo anterior, resultó en una fuerte contribución negativa de las exportaciones netas al crecimiento del PIB, de 1.2 </w:t>
      </w:r>
      <w:proofErr w:type="spellStart"/>
      <w:r w:rsidRPr="00A444DB">
        <w:rPr>
          <w:rFonts w:ascii="Arial" w:hAnsi="Arial" w:cs="Arial"/>
          <w:sz w:val="18"/>
          <w:szCs w:val="18"/>
        </w:rPr>
        <w:t>pp</w:t>
      </w:r>
      <w:proofErr w:type="spellEnd"/>
      <w:r w:rsidRPr="00A444DB">
        <w:rPr>
          <w:rFonts w:ascii="Arial" w:hAnsi="Arial" w:cs="Arial"/>
          <w:sz w:val="18"/>
          <w:szCs w:val="18"/>
        </w:rPr>
        <w:t xml:space="preserve"> durante el primer trimestre. </w:t>
      </w:r>
    </w:p>
    <w:p w14:paraId="1E51AF2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Además, el gasto de los hogares se desaceleró ante una menor creación de empleo y la incertidumbre provocada por las políticas comerciales de la nueva administración, lo que resultó en una contribución del consumo privado al PIB de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inferior a los 0.7 </w:t>
      </w:r>
      <w:proofErr w:type="spellStart"/>
      <w:r w:rsidRPr="00A444DB">
        <w:rPr>
          <w:rFonts w:ascii="Arial" w:hAnsi="Arial" w:cs="Arial"/>
          <w:sz w:val="18"/>
          <w:szCs w:val="18"/>
        </w:rPr>
        <w:t>pp</w:t>
      </w:r>
      <w:proofErr w:type="spellEnd"/>
      <w:r w:rsidRPr="00A444DB">
        <w:rPr>
          <w:rFonts w:ascii="Arial" w:hAnsi="Arial" w:cs="Arial"/>
          <w:sz w:val="18"/>
          <w:szCs w:val="18"/>
        </w:rPr>
        <w:t xml:space="preserve"> registrados en el trimestre anterior. Además, el adelanto de las importaciones llevó a un aumento en la acumulación de inventarios, por lo que la contribución al PIB fue de 0.6 </w:t>
      </w:r>
      <w:proofErr w:type="spellStart"/>
      <w:r w:rsidRPr="00A444DB">
        <w:rPr>
          <w:rFonts w:ascii="Arial" w:hAnsi="Arial" w:cs="Arial"/>
          <w:sz w:val="18"/>
          <w:szCs w:val="18"/>
        </w:rPr>
        <w:t>pp</w:t>
      </w:r>
      <w:proofErr w:type="spellEnd"/>
      <w:r w:rsidRPr="00A444DB">
        <w:rPr>
          <w:rFonts w:ascii="Arial" w:hAnsi="Arial" w:cs="Arial"/>
          <w:sz w:val="18"/>
          <w:szCs w:val="18"/>
        </w:rPr>
        <w:t xml:space="preserve">, luego de una contracción en el período previo. </w:t>
      </w:r>
    </w:p>
    <w:p w14:paraId="51E2D6E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inversión fija aportó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al crecimiento del PIB, especialmente por el sector no residencial, después de una contracción el trimestre pasado. En cambio, el sector residencial tuvo una contribución prácticamente nula debido a las altas tasas de interés hipotecarias. Finalmente, el gasto público disminuyó, principalmente en defensa, por lo que registró una contribución negativa de 0.1 pp.</w:t>
      </w:r>
    </w:p>
    <w:p w14:paraId="0E119AC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producción industrial repuntó con un crecimiento de 1.4%, destacando un aumento de 1.2% en la producción de manufacturas, tras dos trimestres de caídas consecutivas. A pesar de la incertidumbre comercial y la moderación económica en EE.UU., este incremento en la actividad industrial se atribuyó en gran medida a una mayor producción de bienes duraderos, en particular durante febrero. Así, sectores clave para las exportaciones mexicanas, como vehículos, equipo eléctrico, maquinaria, electrónicos y aeroespacial, crecieron 0.1, 1.0, 1.8, 2.2 y 13.4%, respectivamente. No obstante, el sector de autopartes cayó 1.0% por tercer trimestre consecutivo, reflejo en parte de la incertidumbre por la política arancelaria.</w:t>
      </w:r>
    </w:p>
    <w:p w14:paraId="57919C2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primer trimestre de 2025, el mercado laboral se mantuvo sólido. La tasa de desempleo continuó en niveles bajos y cerca de su promedio previo a la pandemia, con una tasa de 4.2% al cierre de marzo,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por encima del observado en diciembre pasado. La creación de empleo se desaceleró a un promedio de 152 mil plazas por mes, inferior a las 209 mil del trimestre anterior, aunque cercano a su promedio de los últimos doce meses (157 mil). La principal disminución provino de los servicios de hotelería y restaurantes, mientras que se observó un aumento en comercio, transporte y servicios públicos. </w:t>
      </w:r>
    </w:p>
    <w:p w14:paraId="78B022C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tasa de participación laboral cerró el trimestre en 62.5%, un nivel similar al de finales de 2024. Se observó una menor participación de personas entre 25 y 54 años, la cual fue compensada por un aumento en la oferta laboral de aquellos entre 16 y 24 años. Los salarios reales por hora crecieron 1.4% anual en marzo, superior a la tasa observada en diciembre, debido a la disminución en la inflación.</w:t>
      </w:r>
    </w:p>
    <w:p w14:paraId="6645C9E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Las presiones inflacionarias disminuyeron durante el primer trimestre de 2025, después de los repuntes observados en el trimestre previo. La inflación anual del deflactor del gasto en consumo personal (PCE, por sus siglas en inglés) se desaceleró de 2.6% en diciembre a 2.3% en marzo de 2025. Esto, como resultado de una disminución en los precios de energéticos y del componente subyacente, de 2.9 a 2.6% en el mismo periodo, ante una menor inflación de los servicios, en particular rentas de vivienda, que fue parcialmente contrarrestado por un alza en la inflación de bienes. </w:t>
      </w:r>
    </w:p>
    <w:p w14:paraId="692C712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Sin embargo, las expectativas de inflación a corto plazo repuntaron ante las posibles presiones inflacionarias por la política arancelaria de EE.UU. De acuerdo con la Reserva Federal de Nueva York, la mediana de expectativas </w:t>
      </w:r>
      <w:r w:rsidRPr="00A444DB">
        <w:rPr>
          <w:rFonts w:ascii="Arial" w:hAnsi="Arial" w:cs="Arial"/>
          <w:sz w:val="18"/>
          <w:szCs w:val="18"/>
        </w:rPr>
        <w:lastRenderedPageBreak/>
        <w:t>de inflación a doce meses aumentó de 3.0% en diciembre de 2024 a 3.6% en marzo de 2025, una cifra no vista desde octubre de 2023. Por otro lado, la expectativa de inflación a cinco años se mantuvo estable en el 3.0%, aunque superior al objetivo de 2.0% de la FED.</w:t>
      </w:r>
    </w:p>
    <w:p w14:paraId="09E36D5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actividad económica de la zona euro creció a una tasa trimestral de 0.4%, superior al 0.2% del trimestre anterior. La demanda interna mostró un desempeño moderado, apoyada por una baja tasa de desempleo, aunque la confianza del sector privado disminuyó debido a tensiones geopolíticas y comerciales. En marzo, los indicadores adelantados del sector manufacturero mejoraron, aunque permanecieron en contracción, mientras que el sector servicios continuó impulsando el crecimiento. Destacó el caso de Alemania, al aprobar un aumento significativo en el gasto en infraestructura, defensa y medio ambiente por 569 mil millones de dólares, cerca de 12% del PIB, durante un plazo de 12 años, elevando así las expectativas de crecimiento económico de mediano plazo.</w:t>
      </w:r>
    </w:p>
    <w:p w14:paraId="37A2DE0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la inflación general anual disminuyó de 2.4% en diciembre a 2.2% en marzo de 2025, ligeramente por encima del 2.0% objetivo del BCE. Este descenso se debió a una caída en los precios de energéticos y a una moderación en el componente subyacente, que se redujo de 2.7 a 2.4% en el mismo periodo, ante una menor inflación de los servicios. Por otro lado, la inflación de bienes y alimentos procesados mostraron ligeros aumentos.</w:t>
      </w:r>
    </w:p>
    <w:p w14:paraId="63280B8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Durante el primer trimestre de 2025, la economía china se desaceleró a una tasa trimestral de 1.2% real, inferior al 1.6% registrado en el trimestre anterior. Las exportaciones netas contribuyeron positivamente al crecimiento del PIB, impulsadas por un aumento significativo de las exportaciones, en anticipación a los anuncios de política arancelaria del gobierno de EE.UU. La producción industrial y la inversión fija también aumentaron en comparación con el trimestre anterior, reflejado el dinamismo del sector exportador de manufacturas.</w:t>
      </w:r>
    </w:p>
    <w:p w14:paraId="2A29228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Sin embargo, las importaciones se contrajeron durante el periodo, mientras que la inversión residencial continuó disminuyendo y la tasa de desempleo aumentó a 5.2%, lo que reflejó un desempeño moderado del mercado interno. Los indicadores de confianza del sector privado mostraron signos de debilidad en medio de las tensiones comerciales con EE.UU., al tiempo que los precios al consumidor registraron una deflación de 0.1% anual en el primer trimestre. Así, con el objetivo de fortalecer el consumo interno y fomentar el avance tecnológico, el gobierno estableció su objetivo oficial de crecimiento del PIB en 5.0% para 2025 y propuso aumentar el déficit fiscal al 4.0% del PIB, superior al 3.0% del año previo, manteniendo una política fiscal más proactiva.</w:t>
      </w:r>
    </w:p>
    <w:p w14:paraId="4992FF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los mercados de materias primas, los precios internacionales del petróleo presentaron una tendencia a la baja ante la incertidumbre comercial, la política arancelaria de EE.UU., la desaceleración económica de las principales economías avanzadas y la mayor producción esperada de crudo por parte de la OPEP+, de hasta 2.2 millones de barriles diarios (</w:t>
      </w:r>
      <w:proofErr w:type="spellStart"/>
      <w:r w:rsidRPr="00A444DB">
        <w:rPr>
          <w:rFonts w:ascii="Arial" w:hAnsi="Arial" w:cs="Arial"/>
          <w:sz w:val="18"/>
          <w:szCs w:val="18"/>
        </w:rPr>
        <w:t>Mbd</w:t>
      </w:r>
      <w:proofErr w:type="spellEnd"/>
      <w:r w:rsidRPr="00A444DB">
        <w:rPr>
          <w:rFonts w:ascii="Arial" w:hAnsi="Arial" w:cs="Arial"/>
          <w:sz w:val="18"/>
          <w:szCs w:val="18"/>
        </w:rPr>
        <w:t>) a partir de abril. Así, al 31 de marzo, el Brent, el WTI y la Mezcla Mexicana presentaron variaciones de 4.1, -0.3 y 0.0%, respectivamente, con respecto al cierre del trimestre previo.</w:t>
      </w:r>
    </w:p>
    <w:p w14:paraId="31E23F5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precios del gas natural mostraron movimientos mixtos. Por un lado, la alta demanda de calefacción en enero y febrero, la disminución de inventarios en EE.UU. y Europa, y el aumento en la demanda de importación de gas natural licuado hacia EE.UU., principalmente desde Europa, presionaron al alza los precios del Henry Hub, que subieron un 20.9% respecto al cierre del cuarto trimestre. Por otro lado, el acuerdo de alto al fuego parcial entre Rusia y Ucrania, mediado por EE.UU., provocó una caída del 13.2% en la referencia TTF durante el mismo periodo, aunque ésta continuó por encima de los niveles previos a la pandemia.</w:t>
      </w:r>
    </w:p>
    <w:p w14:paraId="05684F8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metales industriales experimentaron volatilidad ante compras anticipadas por el anuncio y aumento en las tarifas arancelarias por parte de EE.UU. Al 31 de marzo, los precios de aluminio cayeron 0.8% respecto al cierre del trimestre pasado, mientras que el oro, el cobre y el acero aumentaron 18.2, 25.0 y 25.5%, respectivamente. Por su parte, los precios de los alimentos disminuyeron 0.2% en el mismo periodo, de acuerdo con la Organización de las Naciones Unidas para la Alimentación y la Agricultura (FAO, por sus siglas en inglés). En particular, los precios del trigo y el maíz cayeron 2.6 y 0.3%, respectivamente, ante mejores cosechas por condiciones climatológicas más favorables hacia el cierre del primer trimestre.</w:t>
      </w:r>
    </w:p>
    <w:p w14:paraId="75C4B8E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primer trimestre del año, los bancos centrales de las principales economías continuaron con su ciclo de relajamiento monetario, aunque con cautela en un contexto de elevada incertidumbre comercial. Sin embargo, en EE.UU., la FED anunció una pausa en su ciclo de recortes en las reuniones del 29 de enero y del 19 de marzo de 2025, manteniendo la tasa de los fondos federales en un rango de 4.25%-4.50% ante la persistencia inflacionaria y la incertidumbre en torno a las perspectivas económicas. </w:t>
      </w:r>
    </w:p>
    <w:p w14:paraId="1508004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Sin embargo, se prevé que la FED realice disminuciones adicionales de hasta 50 pb durante el año, de acuerdo con las últimas proyecciones publicadas en marzo por parte del Comité Federal de Mercado Abierto. Asimismo, se anunció, a partir de abril, una reducción en el límite de amortización de activos de la hoja de balance, de 60 a 40 mil millones de dólares mensuales, con el fin de aligerar las presiones de liquidez en el sistema financiero. </w:t>
      </w:r>
    </w:p>
    <w:p w14:paraId="63E9754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BCE, por su parte, redujo sus tres tasas de interés oficiales en 25 pb, durante las reuniones del 30 de enero y del 6 de marzo, ante un moderado crecimiento económico. Como resultado, la tasa de depósitos, de operaciones de financiamiento y de la facilidad marginal de crédito se ubicaron en 2.50, 2.65 y 2.90%, respectivamente. Su hoja de balance se redujo en 110 mil millones de euros, hasta situarse en 6.3 billones de euros al cierre del trimestre.</w:t>
      </w:r>
    </w:p>
    <w:p w14:paraId="085C595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BPC mantuvo sus tasas de interés de referencia sin cambios durante el primer trimestre, para incentivar su mercado interno. La tasa preferencial de préstamos a un año, que sirve de referencia para la mayoría de los préstamos corporativos y domésticos, se mantuvo en 3.1%, mientras que la de cinco años, utilizada como referencia para hipotecas, permaneció en 3.6%. Ambas tasas se encuentran en mínimos históricos tras las reducciones realizadas en octubre y julio del año pasado. </w:t>
      </w:r>
    </w:p>
    <w:p w14:paraId="7FE74CD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América Latina, destacó el Banco Central de Brasil con dos incrementos en su tasa de referencia en 100 pb cada uno, durante sus reuniones del 29 de enero y el 19 de marzo. Lo anterior, situó la tasa de referencia en 14.25%, el nivel más alto en nueve años, con el fin de contener las presiones inflacionarias y anclar las expectativas de inflación.</w:t>
      </w:r>
    </w:p>
    <w:p w14:paraId="42511D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primer trimestre del año estuvo marcado por episodios de aversión al riesgo y elevados niveles de volatilidad en los precios de activos internacionales, principalmente por las políticas comerciales del gobierno de EE.UU. y sus repercusiones económicas, aunado a las tensiones geopolíticas. Lo anterior resultó en caídas de los índices accionarios, del dólar y aumentos en las tasas de interés. </w:t>
      </w:r>
    </w:p>
    <w:p w14:paraId="3BE67D8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EE.UU., al 31 de marzo, el índice VIX se ubicó en 22.3 puntos, un incremento de 4.9 con respecto al cierre del año previo, mientras que el índice S&amp;P 500 registró una caída de 4.6%, seguido de un descenso de 10.3% del Nasdaq, tras haber alcanzado máximos históricos en la primera mitad de febrero. El dólar, medido por el DXY, registró un retroceso de 3.9% en el mismo periodo. Por su parte, el rendimiento de los bonos del Tesoro a 10 años se ubicó en 4.23%, 35 pb por debajo del cierre del trimestre previo. Asimismo, el oro reafirmó su papel como activo de refugio frente a la creciente incertidumbre global, impulsándolo a máximos históricos y mostrando un aumento del 18.2% en el trimestre.</w:t>
      </w:r>
    </w:p>
    <w:p w14:paraId="3A6DA42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mercados emergentes también reflejaron en el precio de sus activos la elevada incertidumbre y volatilidad global. Al cierre del primer trimestre, el índice bursátil MSCI registró un avance del 2.4% en relación con el cierre del trimestre anterior, mientras que el índice MSCI de monedas emergentes mostró una depreciación de 1.7% en el mismo periodo. Asimismo, el riesgo país de las economías emergentes, medido por el EMBI+, aumentó en 32 pb a finales de marzo, con respecto a diciembre del año pasado, debido al entorno de incertidumbre comercial.</w:t>
      </w:r>
    </w:p>
    <w:p w14:paraId="35416ED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economía mexicana exhibió algunos signos de desaceleración, afectada por la incertidumbre derivada de las tensiones comerciales, los conflictos geopolíticos y ajustes en el panorama económico internacional. No obstante, la fortaleza de los fundamentos macroeconómicos y la posición estratégica de México en las cadenas globales de valor han contribuido a mitigar estos efectos. </w:t>
      </w:r>
    </w:p>
    <w:p w14:paraId="3FC481F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sector externo recibió el impulso de un tipo de cambio real más competitivo, que contribuyó a compensar parcialmente la incertidumbre generada por los cambios en la política comercial de EE.UU. Cabe destacar que los acuerdos alcanzados en materia comercial mediante el T-MEC han contribuido a mitigar los efectos de las nuevas medidas en materia comercial. De esta forma, las mercancías exportadas por México que ingresan a EE.UU. bajo el amparo del T-MEC continúan exentas de aranceles. </w:t>
      </w:r>
    </w:p>
    <w:p w14:paraId="406FEB7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De acuerdo con la estimación oportuna publicada por el INEGI, durante el primer trimestre de 2025 el PIB registró un crecimiento trimestral de 0.2%, con cifras ajustadas por estacionalidad. Las actividades industriales fueron las más afectadas por la incertidumbre en materia comercial, al registrar una disminución trimestral de 0.3%. Por su parte, el sector servicios se mantuvo sin cambios respecto al trimestre previo. En el caso de las actividades primarias, se registró un repunte de 8.1% trimestral, impulsadas por una base de comparación favorable y condiciones de sequía menos severas a las observadas durante la mayor parte de 2023 y 2024.</w:t>
      </w:r>
    </w:p>
    <w:p w14:paraId="7DDE716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Con base en la información del Indicador Global de Actividad Económica (IGAE) correspondiente al bimestre enero-febrero, y utilizando cifras ajustadas por estacionalidad, se observó el siguiente comportamiento de los sectores económicos: </w:t>
      </w:r>
    </w:p>
    <w:p w14:paraId="0D4540A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Las actividades primarias registraron un repunte de 4.1% bimestral, impulsadas por una base de comparación favorable y una mejora en las cosechas de productos como el maíz y el sorgo, los cuales registraron disminuciones en el cuarto trimestre de 2024. Este desempeño se dio en un contexto en el que, si bien persistieron condiciones de sequía en estados del norte del país, a nivel nacional éstas fueron considerablemente menores en comparación con los promedios observados durante 2023 y 2024.</w:t>
      </w:r>
    </w:p>
    <w:p w14:paraId="3802B93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La producción industrial disminuyó 0.2%, afectada por la incertidumbre en materia comercial, la cual ha impactado principalmente la manufactura y la construcción. Asimismo, la minería y la generación de electricidad registraron contracciones.</w:t>
      </w:r>
    </w:p>
    <w:p w14:paraId="3EE2BA3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o Durante el bimestre, la manufactura mostró un comportamiento mixto, afectada por la incertidumbre asociada a la política comercial de EE.UU., con lo que registró una disminución de 0.2%. En enero, la actividad manufacturera disminuyó 1.0%, mientras que en febrero se observó un repunte de 2.9%, impulsado por crecimientos en industrias orientadas al mercado externo, como la fabricación de equipo de transporte y maquinaria y equipo. </w:t>
      </w:r>
    </w:p>
    <w:p w14:paraId="11AE8C8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o La construcción alcanzó un crecimiento de 0.7%. Este desempeño se explicó por un incremento de 0.1% en la edificación, que compensó la contracción de 0.2% en la construcción de obras de ingeniaría civil. Lo anterior, a pesar de que algunas empresas han reportado suspender proyectos en espera de mayor certidumbre sobre el futuro de la relación comercial entre México y EE.UU. </w:t>
      </w:r>
    </w:p>
    <w:p w14:paraId="1FC467D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o El sector de la minería cayó 1.6%, afectado por incidentes industriales y una menor perforación de pozos de exploración. o El sector de electricidad, agua y gas disminuyó a una tasa de 2.1%, atribuida a una menor demanda de electricidad por temperaturas más cálidas respecto a lo esperado durante la temporada de invierno.</w:t>
      </w:r>
    </w:p>
    <w:p w14:paraId="51847E2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Los servicios crecieron 0.1%, con un desempeño positivo en 7 de los 14 subsectores. Al interior, servicios vinculados con la demanda interna, como el comercio al por menor y los servicios de esparcimiento, experimentaron incrementos de 1.6 y 5.0%, respectivamente. Destacó también el crecimiento de 6.8% de los servicios profesionales, científicos y técnicos, quienes continuaron como uno de los subsectores más dinámicos de la economía. En contraste, los servicios de transporte y comercio al por mayor mostraron disminuciones de 1.2 y 2.5%, respectivamente, siendo el último afectado por la competencia de algunos productos importados sin regulación.</w:t>
      </w:r>
    </w:p>
    <w:p w14:paraId="7263558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información más reciente de la demanda interna muestra que, en enero, el consumo privado retrocedió 0.3% mensual, con cifras ajustadas por estacionalidad. La incertidumbre en el panorama económico global y nacional afectó la confianza de los hogares, lo que modificó sus intenciones de consumo en el inicio del año. Asimismo, la depreciación real del tipo de cambio redujo el consumo de bienes importados, el cual registró una contracción mensual de 0.1%. No obstante, el gasto en servicios mostró una mayor resiliencia, con un aumento de 0.2%.</w:t>
      </w:r>
    </w:p>
    <w:p w14:paraId="4A57A19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las ventas minoristas registradas en la Asociación Nacional de Tiendas de Autoservicio y Departamentales (ANTAD) disminuyeron 0.2% trimestral, con cifras ajustadas por estacionalidad</w:t>
      </w:r>
      <w:proofErr w:type="gramStart"/>
      <w:r w:rsidRPr="00A444DB">
        <w:rPr>
          <w:rFonts w:ascii="Arial" w:hAnsi="Arial" w:cs="Arial"/>
          <w:sz w:val="18"/>
          <w:szCs w:val="18"/>
        </w:rPr>
        <w:t>1 .</w:t>
      </w:r>
      <w:proofErr w:type="gramEnd"/>
      <w:r w:rsidRPr="00A444DB">
        <w:rPr>
          <w:rFonts w:ascii="Arial" w:hAnsi="Arial" w:cs="Arial"/>
          <w:sz w:val="18"/>
          <w:szCs w:val="18"/>
        </w:rPr>
        <w:t xml:space="preserve"> Este desempeño estuvo relacionado con contracciones en los segmentos de mercancías, ropa y tiendas de abarrotes.</w:t>
      </w:r>
    </w:p>
    <w:p w14:paraId="518ABC7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inversión fija bruta también se vio afectada por el aumento en la incertidumbre sobre el panorama económico, al registrar en enero una contracción mensual de 1.5%, con cifras ajustadas por estacionalidad. Al interior, la inversión en construcción disminuyó 1.4%, ya que el repunte en la inversión residencial no fue suficiente para compensar la caída de 3.2% en la construcción no residencial. Por su parte, la inversión en maquinaria y equipo se redujo 1.8% mensual, debido principalmente a la disminución en el componente de equipo de transporte, en particular el de origen importado, que se contrajo en 16.1%.</w:t>
      </w:r>
    </w:p>
    <w:p w14:paraId="21BBE9A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materia laboral, se observó una moderación en el ritmo de creación de empleo, en línea con el desempeño de la actividad económica y una alta base de comparación. No obstante, el mercado laboral se mantuvo sólido. Entre enero y marzo de 2025, la población ocupada registró un nivel promedio de 59.5 millones, un aumento de 69 mil personas respecto al mismo periodo de 2024. Lo anterior se explicó principalmente por un incremento en la </w:t>
      </w:r>
      <w:r w:rsidRPr="00A444DB">
        <w:rPr>
          <w:rFonts w:ascii="Arial" w:hAnsi="Arial" w:cs="Arial"/>
          <w:sz w:val="18"/>
          <w:szCs w:val="18"/>
        </w:rPr>
        <w:lastRenderedPageBreak/>
        <w:t>población ocupada en el sector servicios, destacando los sectores de transportes y comercio, en los que el empleo fue 212 y 202 mil personas superiores a los registrados en el mismo periodo del año pasado, respectivamente.</w:t>
      </w:r>
    </w:p>
    <w:p w14:paraId="217BAE6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trimestre, la población económicamente activa ascendió a 61.0 millones de personas, en promedio. No obstante, un incremento de 1.6 millones de personas en la población no económicamente activa resultó en una disminución de 0.9 </w:t>
      </w:r>
      <w:proofErr w:type="spellStart"/>
      <w:r w:rsidRPr="00A444DB">
        <w:rPr>
          <w:rFonts w:ascii="Arial" w:hAnsi="Arial" w:cs="Arial"/>
          <w:sz w:val="18"/>
          <w:szCs w:val="18"/>
        </w:rPr>
        <w:t>pp</w:t>
      </w:r>
      <w:proofErr w:type="spellEnd"/>
      <w:r w:rsidRPr="00A444DB">
        <w:rPr>
          <w:rFonts w:ascii="Arial" w:hAnsi="Arial" w:cs="Arial"/>
          <w:sz w:val="18"/>
          <w:szCs w:val="18"/>
        </w:rPr>
        <w:t xml:space="preserve"> en la tasa de participación. Cabe destacar que el aumento en la población no económicamente activa se concentró principalmente en población no disponible, que reportó no tener interés para trabajar por atender otras obligaciones.</w:t>
      </w:r>
    </w:p>
    <w:p w14:paraId="08D4EB1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población desocupada, por su parte, disminuyó en 30 mil personas, al tiempo que la tasa de desempleo alcanzó el nivel más bajo desde que se tiene registro. En el caso de la tasa de informalidad, ésta mostró un incremento de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como resultado de crecimientos del empleo informal superiores a los observados en el empleo formal. Asimismo, la tasa de subocupación se redujo en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respecto al mismo trimestre del año pasado y alcanzó el nivel más bajo desde el segundo trimestre de 2006. </w:t>
      </w:r>
    </w:p>
    <w:p w14:paraId="6286047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cierre del primer trimestre de 2025, se registró un incremento anual de 176 mil puestos de trabajo asegurados ante el IMSS. El incremento se explicó por un mayor número de empleos permanentes con una creación de 329 mil trabajadores, quienes compensaron la contracción de 154 mil en los empleos eventuales. Los mejores desempeños se dieron en sectores de servicios como el comercio, los servicios sociales y los servicios a empresas. </w:t>
      </w:r>
    </w:p>
    <w:p w14:paraId="2825D0C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contraste, entre los sectores donde se observó una disminución en el nivel de empleo destacaron la manufactura, la construcción y la minería, en línea con el desempeño de la actividad de esos sectores. Con cifras ajustadas por estacionalidad, los puestos de trabajo asegurados ante el IMSS aumentaron en 37 mil personas con respecto al cierre de 2024. Durante el trimestre, destacó que hubo crecimientos en el empleo durante los tres meses, en contraste con el trimestre previo, que registró contracciones en los meses de octubre y noviembre. </w:t>
      </w:r>
    </w:p>
    <w:p w14:paraId="6E917F1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este periodo, los salarios reales de los trabajadores continuaron al alza. El salario real promedio registrado ante el IMSS creció 3.7% anual. De manera similar, el ingreso laboral real promedio reportado en la Encuesta Nacional de Ocupación y Empleo creció 6.3%. Finalmente, los salarios contractuales de jurisdicción federal aumentaron en 4.1% anual.</w:t>
      </w:r>
    </w:p>
    <w:p w14:paraId="43340A2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inflación al consumidor mantuvo una trayectoria descendente y se ubicó dentro del intervalo de variabilidad del objetivo establecido por el Banco de México (Banxico) a lo largo de todo el periodo. Lo anterior obedeció a la desaceleración de la inflación de los servicios y los energéticos, así como a una disminución de los precios de las frutas y verduras. Así, la inflación general registró una tasa promedio anual de 3.7%, 0.8 </w:t>
      </w:r>
      <w:proofErr w:type="spellStart"/>
      <w:r w:rsidRPr="00A444DB">
        <w:rPr>
          <w:rFonts w:ascii="Arial" w:hAnsi="Arial" w:cs="Arial"/>
          <w:sz w:val="18"/>
          <w:szCs w:val="18"/>
        </w:rPr>
        <w:t>pp</w:t>
      </w:r>
      <w:proofErr w:type="spellEnd"/>
      <w:r w:rsidRPr="00A444DB">
        <w:rPr>
          <w:rFonts w:ascii="Arial" w:hAnsi="Arial" w:cs="Arial"/>
          <w:sz w:val="18"/>
          <w:szCs w:val="18"/>
        </w:rPr>
        <w:t xml:space="preserve"> por debajo del trimestre previo y el menor nivel desde el primer trimestre de 2021. </w:t>
      </w:r>
    </w:p>
    <w:p w14:paraId="5263B6E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inflación subyacente fue de 3.6% anual, menor a la observada en el trimestre anterior (- 0.03 </w:t>
      </w:r>
      <w:proofErr w:type="spellStart"/>
      <w:r w:rsidRPr="00A444DB">
        <w:rPr>
          <w:rFonts w:ascii="Arial" w:hAnsi="Arial" w:cs="Arial"/>
          <w:sz w:val="18"/>
          <w:szCs w:val="18"/>
        </w:rPr>
        <w:t>pp</w:t>
      </w:r>
      <w:proofErr w:type="spellEnd"/>
      <w:r w:rsidRPr="00A444DB">
        <w:rPr>
          <w:rFonts w:ascii="Arial" w:hAnsi="Arial" w:cs="Arial"/>
          <w:sz w:val="18"/>
          <w:szCs w:val="18"/>
        </w:rPr>
        <w:t xml:space="preserve">). Destacó la desaceleración en los precios de los servicios, cuya inflación se ubicó en 4.6% anual, con una disminución de 0.4 </w:t>
      </w:r>
      <w:proofErr w:type="spellStart"/>
      <w:r w:rsidRPr="00A444DB">
        <w:rPr>
          <w:rFonts w:ascii="Arial" w:hAnsi="Arial" w:cs="Arial"/>
          <w:sz w:val="18"/>
          <w:szCs w:val="18"/>
        </w:rPr>
        <w:t>pp</w:t>
      </w:r>
      <w:proofErr w:type="spellEnd"/>
      <w:r w:rsidRPr="00A444DB">
        <w:rPr>
          <w:rFonts w:ascii="Arial" w:hAnsi="Arial" w:cs="Arial"/>
          <w:sz w:val="18"/>
          <w:szCs w:val="18"/>
        </w:rPr>
        <w:t xml:space="preserve"> en comparación con el trimestre anterior, lo que constituyó la mayor reducción en este componente desde 2020. La inflación de mercancías fue de 2.8%, aunque con un ligero repunte estacional debido a la actualización del IEPS que incidió en los precios de refrescos, cigarrillos y pan dulce. </w:t>
      </w:r>
    </w:p>
    <w:p w14:paraId="3A2E28F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inflación no subyacente se ubicó en 3.9% anual, 3.2 </w:t>
      </w:r>
      <w:proofErr w:type="spellStart"/>
      <w:r w:rsidRPr="00A444DB">
        <w:rPr>
          <w:rFonts w:ascii="Arial" w:hAnsi="Arial" w:cs="Arial"/>
          <w:sz w:val="18"/>
          <w:szCs w:val="18"/>
        </w:rPr>
        <w:t>pp</w:t>
      </w:r>
      <w:proofErr w:type="spellEnd"/>
      <w:r w:rsidRPr="00A444DB">
        <w:rPr>
          <w:rFonts w:ascii="Arial" w:hAnsi="Arial" w:cs="Arial"/>
          <w:sz w:val="18"/>
          <w:szCs w:val="18"/>
        </w:rPr>
        <w:t xml:space="preserve"> inferior al trimestre anterior. La reducción se explicó por la deflación en las frutas y verduras y menores inflaciones en los energéticos, cuya inflación disminuyó apoyada por el acuerdo nacional para mantener el precio de la gasolina regular por debajo de 24 pesos por litro. Durante el trimestre se observaron incrementos, temporales en algunos casos, como en el pollo y el huevo debido al efecto de la gripe aviar en EE.UU., así como en la carne de res por afectaciones fitosanitarias a la producción. </w:t>
      </w:r>
    </w:p>
    <w:p w14:paraId="620BB82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Índice de Precios al Productor (INPP), excluyendo petróleo, se elevó por cuarto trimestre consecutivo entre enero y marzo de 2025, al registrar una inflación de 7.6% anual, 1.1 </w:t>
      </w:r>
      <w:proofErr w:type="spellStart"/>
      <w:r w:rsidRPr="00A444DB">
        <w:rPr>
          <w:rFonts w:ascii="Arial" w:hAnsi="Arial" w:cs="Arial"/>
          <w:sz w:val="18"/>
          <w:szCs w:val="18"/>
        </w:rPr>
        <w:t>pp</w:t>
      </w:r>
      <w:proofErr w:type="spellEnd"/>
      <w:r w:rsidRPr="00A444DB">
        <w:rPr>
          <w:rFonts w:ascii="Arial" w:hAnsi="Arial" w:cs="Arial"/>
          <w:sz w:val="18"/>
          <w:szCs w:val="18"/>
        </w:rPr>
        <w:t xml:space="preserve"> mayor al trimestre previo. Dicho incremento se explicó principalmente por la depreciación del tipo de cambio. Así, la inflación al productor de las actividades primarias se ubicó en 8.2% y en las actividades secundarias excluyendo petróleo en 8.8%. Por su parte, la inflación al productor de los servicios se ubicó en 5.5%, 0.5 </w:t>
      </w:r>
      <w:proofErr w:type="spellStart"/>
      <w:r w:rsidRPr="00A444DB">
        <w:rPr>
          <w:rFonts w:ascii="Arial" w:hAnsi="Arial" w:cs="Arial"/>
          <w:sz w:val="18"/>
          <w:szCs w:val="18"/>
        </w:rPr>
        <w:t>pp</w:t>
      </w:r>
      <w:proofErr w:type="spellEnd"/>
      <w:r w:rsidRPr="00A444DB">
        <w:rPr>
          <w:rFonts w:ascii="Arial" w:hAnsi="Arial" w:cs="Arial"/>
          <w:sz w:val="18"/>
          <w:szCs w:val="18"/>
        </w:rPr>
        <w:t xml:space="preserve"> menor al cuarto trimestre del año anterior.</w:t>
      </w:r>
    </w:p>
    <w:p w14:paraId="226613D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Cabe recalcar que los precios al productor con destino de demanda interna excluyendo petróleo tuvieron una variación anual de 5.5% durante el trimestre, solo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mayor a la del trimestre anterior. En contraste, los bienes y servicios con destino de exportación alcanzaron una inflación de 12.0%, 2.8 </w:t>
      </w:r>
      <w:proofErr w:type="spellStart"/>
      <w:r w:rsidRPr="00A444DB">
        <w:rPr>
          <w:rFonts w:ascii="Arial" w:hAnsi="Arial" w:cs="Arial"/>
          <w:sz w:val="18"/>
          <w:szCs w:val="18"/>
        </w:rPr>
        <w:t>pp</w:t>
      </w:r>
      <w:proofErr w:type="spellEnd"/>
      <w:r w:rsidRPr="00A444DB">
        <w:rPr>
          <w:rFonts w:ascii="Arial" w:hAnsi="Arial" w:cs="Arial"/>
          <w:sz w:val="18"/>
          <w:szCs w:val="18"/>
        </w:rPr>
        <w:t xml:space="preserve"> superior a la del trimestre previo.</w:t>
      </w:r>
    </w:p>
    <w:p w14:paraId="4AC8C12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el primer trimestre de 2025, el valor de las exportaciones aumentó, impulsado por un tipo de cambio más competitivo y el dinamismo de sectores no automotrices. Este desempeño compensó la incertidumbre asociada a la política comercial de EE.UU. y la debilidad de su industria automotriz. En contraste, las importaciones disminuyeron ante una menor demanda de bienes intermedios y de capital, reflejo de la desaceleración manufacturera y de la depreciación real del tipo de cambio. De manera específica, el valor de las exportaciones registró un incremento trimestral de 0.8%, con cifras ajustadas por estacionalidad. A lo anterior contribuyó el aumento de 1.6% en las exportaciones de manufacturas, impulsado por el crecimiento de 3.9% de las no automotrices. Por su parte, las exportaciones petroleras disminuyeron 13.1%, afectadas por una menor plataforma de exportación, parcialmente compensada por un incremento en el precio de la mezcla mexicana. El valor de las importaciones disminuyó 1.5% trimestral, con cifras ajustadas por estacionalidad. </w:t>
      </w:r>
    </w:p>
    <w:p w14:paraId="4A70DAF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Este resultado es consecuencia de menores compras internas de bienes de consumo, intermedios y de capital, en un contexto de moderación en la economía nacional y de una apreciación del tipo de cambio respecto al trimestre previo. Por su parte, las importaciones petroleras se incrementaron 2.1%. En el primer trimestre de 2025, la balanza comercial, con cifras ajustadas por estacionalidad, registró un superávit de 2 mil 862 millones de dólares, que revirtió el déficit de 730 millones de dólares observado en el trimestre anterior. Esta variación positiva se explicó por la ampliación del superávit en la balanza no petrolera, que alcanzó 6 mil 679 millones, a pesar de un mayor déficit de la balanza petrolera.</w:t>
      </w:r>
    </w:p>
    <w:p w14:paraId="685CE60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flujo de remesas aumentó 0.1% bimestral en el periodo enero-febrero, con cifras ajustadas por estacionalidad, afectado por la contracción en la masa salarial de trabajadores mexicanos en EE.UU. Esta tendencia puede estar vinculada a la incertidumbre generada por los cambios en la política migratoria, los cuales posiblemente afectaron la confianza de los trabajadores mexicanos en su capacidad para enviar remesas o encontrar empleo.</w:t>
      </w:r>
    </w:p>
    <w:p w14:paraId="11550EB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turismo mantuvo su dinamismo y contribuyó a la entrada de divisas. En el primer bimestre, la llegada de viajeros internacionales aumentó un 15.0% anual. Como resultado, los ingresos por turismo alcanzaron 6 mil 601 millones de dólares, superando en 282 millones de dólares a la cifra observada en el mismo período de 2024.</w:t>
      </w:r>
    </w:p>
    <w:p w14:paraId="2814A7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cuenta corriente de la balanza de pagos, con la última información disponible al cuarto trimestre de 2024, mostró un superávit de 12 mil 601 millones de dólares (2.9% del PIB anualizado), superior al de 11 mil 745 millones observado el mismo periodo de 2023. Este resultado reflejó un menor déficit en la balanza de servicios y un mayor saldo superavitario en la balanza del ingreso secundario. Asimismo, se observó un mayor déficit en las balanzas de mercancías petroleras y de ingreso primario, así como un menor superávit de la balanza no petrolera.</w:t>
      </w:r>
    </w:p>
    <w:p w14:paraId="45AE4C4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Los flujos de capital registrados en la cuenta financiera reportaron una salida neta de recursos de 15 mil 86 millones de dólares, superior a la salida de 8 mil 592 millones del cuarto trimestre de 2023. Esto obedeció a salidas netas en inversión de cartera y otra inversión, las cuales fueron parcialmente compensadas por una entrada neta de recursos en derivados financieros de 1 mil 919 millones. Además, los activos de reserva ascendieron a 2 mil 408 millones de dólares en el cuarto trimestre de 2024, cifra mayor a los 532 millones mostrados en el mismo trimestre del año anterior. </w:t>
      </w:r>
    </w:p>
    <w:p w14:paraId="1F72162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México continuó atrayendo IED, acumulando 36 mil 872 millones de dólares al cierre del cuarto trimestre de 2024, un nivel récord según cifras preliminares. Destacaron los 9 mil 931 millones destinados a la industria de equipo de transporte, el monto más alto desde que se tiene registro (1999).</w:t>
      </w:r>
    </w:p>
    <w:p w14:paraId="341401B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el sistema financiero mexicano registró episodios de volatilidad y aversión al riesgo derivados de la incertidumbre generada por las políticas comerciales en EE.UU. y sus posibles repercusiones en la actividad económica, así como las tensiones geopolíticas. No obstante, el sistema financiero se mantuvo sólido y el sector bancario continuó bien capitalizado, con niveles de morosidad tolerables. </w:t>
      </w:r>
    </w:p>
    <w:p w14:paraId="7F142D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31 de marzo, el tipo de cambio se ubicó en 20.44 pesos por dólar estadounidense, lo que representó una apreciación de 1.7% respecto al cierre del trimestre previo. Este comportamiento se debió, en gran parte, al debilitamiento del dólar en 3.9%, medido por el índice DXY, así como al amplio diferencial de tasas entre Banxico y la FED, lo que volvió atractivo al peso mexicano. Otras divisas de países emergentes como el real brasileño, el peso colombiano, el peso chileno y el rand sudafricano, también registraron apreciaciones durante el mismo periodo de 8.3, 5.3, 4.6 y 2.8%, respectivamente. </w:t>
      </w:r>
    </w:p>
    <w:p w14:paraId="38A90F6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volatilidad implícita del tipo de cambio a un mes cerró en 13.2% al final del primer trimestre, lo que implicó un aumento de 6 </w:t>
      </w:r>
      <w:proofErr w:type="spellStart"/>
      <w:r w:rsidRPr="00A444DB">
        <w:rPr>
          <w:rFonts w:ascii="Arial" w:hAnsi="Arial" w:cs="Arial"/>
          <w:sz w:val="18"/>
          <w:szCs w:val="18"/>
        </w:rPr>
        <w:t>pp</w:t>
      </w:r>
      <w:proofErr w:type="spellEnd"/>
      <w:r w:rsidRPr="00A444DB">
        <w:rPr>
          <w:rFonts w:ascii="Arial" w:hAnsi="Arial" w:cs="Arial"/>
          <w:sz w:val="18"/>
          <w:szCs w:val="18"/>
        </w:rPr>
        <w:t xml:space="preserve"> respecto al trimestre anterior. En paralelo, el riesgo país en México, medido por el EMBI+, subió </w:t>
      </w:r>
      <w:r w:rsidRPr="00A444DB">
        <w:rPr>
          <w:rFonts w:ascii="Arial" w:hAnsi="Arial" w:cs="Arial"/>
          <w:sz w:val="18"/>
          <w:szCs w:val="18"/>
        </w:rPr>
        <w:lastRenderedPageBreak/>
        <w:t xml:space="preserve">8 pb, alcanzando 221 puntos. Este incremento fue menor en comparación con el promedio de las economías emergentes, que creció 32 pb en el mismo período. </w:t>
      </w:r>
    </w:p>
    <w:p w14:paraId="36B255F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materia de política monetaria, durante el primer trimestre, Banxico realizó dos recortes de 50 pb en su tasa de referencia, el 6 de febrero y el 27 de marzo, hasta situarse en 9.00%. En su última reunión, la Junta de Gobierno señaló que podría seguir ajustando su postura monetaria en magnitud similar. Lo anterior provocó reducciones en toda la curva de rendimientos en pesos. Así, los bonos del Gobierno Federal a 10 años se situaron en 9.34%, con una caída de 108 pb respecto al trimestre anterior; mientras que la pendiente de la curva de 10 y 2 años se mantuvo positiva en 82 pb al cierre del trimestre.</w:t>
      </w:r>
    </w:p>
    <w:p w14:paraId="61EBE83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mercado de renta variable, el Índice de Precios y Cotizaciones (IPC) cerró el primer trimestre de 2025 en 52 mil 484 unidades, un aumento de 6.0% respecto al cierre del trimestre previo. Al interior, prácticamente todos los componentes mostraron un comportamiento positivo liderado por los sectores de consumo frecuente, materiales y financiero quienes crecieron 11.9, 8.5, y 6.9%, respectivamente; sólo el sector de telecomunicaciones retrocedió 0.9%. </w:t>
      </w:r>
    </w:p>
    <w:p w14:paraId="660F379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febrero de 2025, el crédito vigente al sector privado no financiero de la banca comercial creció 1.4% real respecto a diciembre de 2024, con cifras ajustadas por estacionalidad. Al interior, el crédito al consumo registró un crecimiento de 1.5% real, principalmente, por los segmentos automotriz y de tarjetas de crédito. El crédito a la vivienda aumentó 0.4% real, a pesar de una reducción en el segmento de interés social. La cartera empresarial, por su parte, creció 0.1% por un aumento en las manufacturas, construcción y comercio, que compensaron caídas en rubros como servicios de información de medios masivos, agropecuario y electricidad. </w:t>
      </w:r>
    </w:p>
    <w:p w14:paraId="4F952EE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el ICAP de la banca comercial se ubicó en 19.93% en febrero, superando el mínimo regulatorio de Basilea III (10.5%), mientras que la tasa de morosidad en febrero se ubicó en 2.03% y la ajustada por quitas y castigos se ubicó en 4.15%, por debajo de niveles previos de estrés como los observados en 2009 y 2020.</w:t>
      </w:r>
    </w:p>
    <w:p w14:paraId="0404B49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las finanzas públicas registraron una evolución ordenada, en apego a los criterios de normalización fiscal planteados en el Paquete Económico y al cumplimiento de las metas aprobadas por el H. Congreso de la Unión. Lo anterior se vio favorecido por la solidez de los ingresos presupuestarios, los cuales exhibieron la segunda tasa de crecimiento real más alta desde 2006 para el periodo enero-marzo. En su interior, la recaudación tributaria reflejó los resultados de las medidas para mejorar la fiscalización, así como un efecto de calendarización relacionado con el último día hábil para el pago definitivo del ISR por parte de las personas morales, mismo que en 2024 se recorrió hasta abril. En el caso del gasto público, se observó una asignación estratégica de recursos a programas con impacto directo en el bienestar y el desarrollo económico. Además, durante el periodo, destacó la continuidad de los esfuerzos para reducir el gasto de operación distinto de servicios personales.</w:t>
      </w:r>
    </w:p>
    <w:p w14:paraId="12E1C6D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Tlaxcala tiene una localización geográfica estratégica al encontrarse en la región centro del país, integrada por los Estados de Guanajuato, Hidalgo, Morelos, Puebla, Querétaro, Ciudad de México y Estado de México; colindando con Hidalgo, Puebla y el Estado de México. Una parte de los Municipios de la Entidad se integran a las zonas metropolitanas de Tlaxcala-Apizaco y Puebla-Tlaxcala, por lo que la presencia de estas ciudades es </w:t>
      </w:r>
      <w:proofErr w:type="gramStart"/>
      <w:r w:rsidRPr="00A444DB">
        <w:rPr>
          <w:rFonts w:ascii="Arial" w:hAnsi="Arial" w:cs="Arial"/>
          <w:sz w:val="18"/>
          <w:szCs w:val="18"/>
        </w:rPr>
        <w:t>indicativo</w:t>
      </w:r>
      <w:proofErr w:type="gramEnd"/>
      <w:r w:rsidRPr="00A444DB">
        <w:rPr>
          <w:rFonts w:ascii="Arial" w:hAnsi="Arial" w:cs="Arial"/>
          <w:sz w:val="18"/>
          <w:szCs w:val="18"/>
        </w:rPr>
        <w:t xml:space="preserve"> de una participación importante en actividades comerciales y de servicios orientados al consumidor.</w:t>
      </w:r>
    </w:p>
    <w:p w14:paraId="38151B1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 Asientos Convertibles o no en Camas y Partes, Fibra de Vidrio, Lana de Vidrio y Manufacturas de esta materia y Partes y Accesorios de Vehículos Automotores.</w:t>
      </w:r>
    </w:p>
    <w:p w14:paraId="45C2527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exportaciones de Tlaxcala en 2024 fueron de 1,578 millones de dólares, las cuales decrecieron un 1.94% respecto al año anterior. Los productos con mayores exportaciones en 2024 fueron Aparatos Eléctricos para Conmutar o Proteger Circuitos Eléctricos, Asientos Convertibles o no en Camas y Partes y Fibra de Vidrio, Lana de Vidrio, y Manufacturas de esta Materia.</w:t>
      </w:r>
    </w:p>
    <w:p w14:paraId="428F256D" w14:textId="77777777" w:rsidR="00A444DB" w:rsidRPr="00A444DB" w:rsidRDefault="00A444DB" w:rsidP="00A444DB">
      <w:pPr>
        <w:tabs>
          <w:tab w:val="left" w:pos="284"/>
        </w:tabs>
        <w:ind w:left="284"/>
        <w:jc w:val="both"/>
        <w:rPr>
          <w:rFonts w:ascii="Arial" w:hAnsi="Arial" w:cs="Arial"/>
          <w:sz w:val="18"/>
          <w:szCs w:val="18"/>
          <w:lang w:val="es-ES_tradnl"/>
        </w:rPr>
      </w:pPr>
      <w:r w:rsidRPr="00A444DB">
        <w:rPr>
          <w:rFonts w:ascii="Arial" w:hAnsi="Arial" w:cs="Arial"/>
          <w:sz w:val="18"/>
          <w:szCs w:val="18"/>
          <w:lang w:val="es-ES_tradnl"/>
        </w:rPr>
        <w:t xml:space="preserve">Las importaciones de Tlaxcala en 2024 fueron de 1,492 millones de dólares, las cuales crecieron un 2.59% respecto al año anterior. Los productos con mayor importación en 2024 fueron Piezas para el Uso de Aparatos Usados en Protección de Circuitos Eléctricos, con un Voltaje Superior a 1000 V y Tableros, Paneles, para Control y Distribución </w:t>
      </w:r>
      <w:r w:rsidRPr="00A444DB">
        <w:rPr>
          <w:rFonts w:ascii="Arial" w:hAnsi="Arial" w:cs="Arial"/>
          <w:sz w:val="18"/>
          <w:szCs w:val="18"/>
          <w:lang w:val="es-ES_tradnl"/>
        </w:rPr>
        <w:lastRenderedPageBreak/>
        <w:t>de Electricidad, Aparatos Eléctricos para Conmutar o Proteger Circuitos Eléctricos y Polímeros de Acetato de Vinilo o de otros Ésteres Vinílicos, en Formas Primarias; los Demás Polímeros Vinílicos en Formas Primarias.</w:t>
      </w:r>
    </w:p>
    <w:p w14:paraId="5475453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abril de 2025, las ventas internacionales de Tlaxcala fueron de 126 millones de dólares y un total de 118 millones de dólares en compras internacionales. Para este mes el balance comercial neto de Tlaxcala fue de 8.45 millones de dólares.</w:t>
      </w:r>
    </w:p>
    <w:p w14:paraId="31ED75F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Tlaxcala, la estructura productiva del sector servicios tiene una gran variedad de actividades que han mostrado crecimiento y concentración, la industria automotriz es una de las principales actividades en el Estado, debiéndose en buena medida su dinamismo a que las empresas instaladas son proveedoras o distribuidoras de Volkswagen de México. En el sector terciario coexisten actividades de mayor dinamismo económico que responden al comportamiento nacional por sus vínculos a la producción, y una alta concentración en las zonas urbanas.</w:t>
      </w:r>
    </w:p>
    <w:p w14:paraId="5E28AF2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2024, la economía de Tlaxcala ha mostrado un crecimiento mixto. En el primer trimestre, la actividad económica estatal creció un 1.2% a tasa anual, con las actividades primarias descendiendo (-5.8%), las secundarias creciendo (0.7%) y las terciarias aumentando (1.7%). En el tercer trimestre, se registró un aumento del 2.6% en ciertas actividades, y una contribución de 0.01 puntos porcentuales al total nacional, ubicándose en el lugar 16 a nivel nacional, se ha observado un crecimiento promedio del 1.54% en los últimos dos trimestres, aunque este crecimiento aún está por debajo de la meta del 4.5% anual.</w:t>
      </w:r>
    </w:p>
    <w:p w14:paraId="2CC4861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Se espera que Tlaxcala siga registrando márgenes operativos positivos en 2025, pero menores a los observados en años previos a la pandemia, debido principalmente a la disminución en las transferencias federales no etiquetadas (participaciones) al cierre de 2024. Si bien, se espera que las participaciones se ubiquen en términos de lo programado, en caso de no cumplirse la estimación ante la reducción de la recaudación federal participable, el Gobierno Federal previó la potenciación del Fondo de Estabilización de los Ingresos de las Entidades Federativas (FEIEF) con miras a proteger la disponibilidad de recursos de los Estados y Municipios. </w:t>
      </w:r>
    </w:p>
    <w:p w14:paraId="030A140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2025, pero menores a los registrados en ejercicios anteriores. Los resultados financieros balanceados y la política de deuda conservadora, han permitido que desde el ejercicio 2008 el Estado de Tlaxcala haya registrado una posición libre de endeudamiento.</w:t>
      </w:r>
    </w:p>
    <w:p w14:paraId="5BCF772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672A08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Se estima que para 2025, los ingresos propios se mantengan en niveles similares a los de 2024, en línea con las previsiones efectuadas por el Gobierno Federal, considerando que los recursos destinados a las entidades federativas por participaciones, al mes de mayo corresponde a 624,038.8 millones de pesos, lo que representa un crecimiento de 3% con respecto al 2024.</w:t>
      </w:r>
    </w:p>
    <w:p w14:paraId="2D957FB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liquidez del Estado de Tlaxcala es un factor que permite enfrentar choques externos imprevistos, por lo que se espera que el efectivo del Estado cubra al menos el 0.5% de los pasivos promedio para 2024 y 2025, como resultado del buen manejo del presupuesto.</w:t>
      </w:r>
    </w:p>
    <w:p w14:paraId="6543C44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la COVID-19.</w:t>
      </w:r>
    </w:p>
    <w:p w14:paraId="0F2DBAC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gasto público, permitiendo </w:t>
      </w:r>
      <w:proofErr w:type="spellStart"/>
      <w:r w:rsidRPr="00A444DB">
        <w:rPr>
          <w:rFonts w:ascii="Arial" w:hAnsi="Arial" w:cs="Arial"/>
          <w:sz w:val="18"/>
          <w:szCs w:val="18"/>
        </w:rPr>
        <w:t>eficientar</w:t>
      </w:r>
      <w:proofErr w:type="spellEnd"/>
      <w:r w:rsidRPr="00A444DB">
        <w:rPr>
          <w:rFonts w:ascii="Arial" w:hAnsi="Arial" w:cs="Arial"/>
          <w:sz w:val="18"/>
          <w:szCs w:val="18"/>
        </w:rPr>
        <w:t xml:space="preserve"> la administración y recaudación de las diferentes fuentes de ingresos.</w:t>
      </w:r>
    </w:p>
    <w:p w14:paraId="3DA1E61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54130D8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p>
    <w:p w14:paraId="0900339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 así como facilidades a los propietarios de motocicletas para su registro en el Padrón Estatal Vehicular.</w:t>
      </w:r>
    </w:p>
    <w:p w14:paraId="7DA86A5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permiten identificar plenamente los recursos que son ejercidos en estos rubros por las Dependencias del Estado, previniendo rezagos y desigualdades, para lo que se incorporarán propuestas y estrategias de desarrollo con perspectiva de género al interior de éstas.</w:t>
      </w:r>
    </w:p>
    <w:p w14:paraId="5D89FCA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Al mes de mayo de 2025 la tasa de ocupación reflejó una participación del 1% al total nacional, presentando un incremento de 1,666 puestos de trabajo permanentes respecto a diciembre de 2024. Al mes de mayo de 2025, se tienen registrados 117,952 trabajadores asegurados en el IMSS, tal y como se muestra en los cuadros siguientes:</w:t>
      </w:r>
    </w:p>
    <w:p w14:paraId="4BB05789" w14:textId="6FDDAC74"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75219CE6" wp14:editId="20A6F2AD">
            <wp:extent cx="5684292" cy="4523740"/>
            <wp:effectExtent l="0" t="0" r="0" b="0"/>
            <wp:docPr id="9226526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7582" t="20802" r="25317" b="8511"/>
                    <a:stretch>
                      <a:fillRect/>
                    </a:stretch>
                  </pic:blipFill>
                  <pic:spPr bwMode="auto">
                    <a:xfrm>
                      <a:off x="0" y="0"/>
                      <a:ext cx="5688982" cy="4527473"/>
                    </a:xfrm>
                    <a:prstGeom prst="rect">
                      <a:avLst/>
                    </a:prstGeom>
                    <a:noFill/>
                    <a:ln>
                      <a:noFill/>
                    </a:ln>
                  </pic:spPr>
                </pic:pic>
              </a:graphicData>
            </a:graphic>
          </wp:inline>
        </w:drawing>
      </w:r>
    </w:p>
    <w:p w14:paraId="471B10EA" w14:textId="77777777" w:rsidR="00A444DB" w:rsidRPr="00A444DB" w:rsidRDefault="00A444DB" w:rsidP="00A444DB">
      <w:pPr>
        <w:tabs>
          <w:tab w:val="left" w:pos="284"/>
        </w:tabs>
        <w:ind w:left="284"/>
        <w:jc w:val="both"/>
        <w:rPr>
          <w:rFonts w:ascii="Arial" w:hAnsi="Arial" w:cs="Arial"/>
          <w:bCs/>
          <w:sz w:val="18"/>
          <w:szCs w:val="18"/>
          <w:lang w:val="es-ES_tradnl"/>
        </w:rPr>
      </w:pPr>
      <w:r w:rsidRPr="00A444DB">
        <w:rPr>
          <w:rFonts w:ascii="Arial" w:hAnsi="Arial" w:cs="Arial"/>
          <w:bCs/>
          <w:sz w:val="18"/>
          <w:szCs w:val="18"/>
          <w:lang w:val="es-ES_tradnl"/>
        </w:rPr>
        <w:lastRenderedPageBreak/>
        <w:t>De acuerdo al Directorio Estadístico Nacional de Unidades Económicas, Tlaxcala cuenta con 98,711 Unidades Económicas al mes de junio de 2025, lo que representa una participación del 1% del Estado en el total nacional. Al primer trimestre de 2025 la Población Económicamente Activa (PEA) ascendió a 692,989 personas, representando el 60% de la población en edad de trabajar. Del total de la PEA, el 97% está ocupada y el 3% se encuentra desocupada.</w:t>
      </w:r>
    </w:p>
    <w:p w14:paraId="577227BA" w14:textId="72C84355"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258D0962" wp14:editId="39C26C79">
            <wp:extent cx="5943600" cy="4205605"/>
            <wp:effectExtent l="0" t="0" r="0" b="4445"/>
            <wp:docPr id="9371510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l="22670" t="22379" r="23805" b="6479"/>
                    <a:stretch>
                      <a:fillRect/>
                    </a:stretch>
                  </pic:blipFill>
                  <pic:spPr bwMode="auto">
                    <a:xfrm>
                      <a:off x="0" y="0"/>
                      <a:ext cx="5943600" cy="4205605"/>
                    </a:xfrm>
                    <a:prstGeom prst="rect">
                      <a:avLst/>
                    </a:prstGeom>
                    <a:noFill/>
                    <a:ln>
                      <a:noFill/>
                    </a:ln>
                  </pic:spPr>
                </pic:pic>
              </a:graphicData>
            </a:graphic>
          </wp:inline>
        </w:drawing>
      </w:r>
    </w:p>
    <w:p w14:paraId="516AF199"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El Indicador Trimestral de la Actividad Económica Estatal (ITAEE), reveló para el caso de Tlaxcala que la variación trimestral de la actividad económica al cuarto trimestre de 2024 es de -1.0 %, a tasa anual. Las actividades primarias reportaron un incremento anual de 1.2 %, las secundarias decrecieron 5.3 % y las terciarias aumentaron 1.6 por ciento.</w:t>
      </w:r>
    </w:p>
    <w:p w14:paraId="75233512"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rPr>
        <w:t>En el cuarto trimestre de 2024, las actividades primarias (sector Agricultura, cría y explotación de animales, aprovechamiento forestal, pesca y caza) reportaron un incremento anual de 1.2 por ciento. Con ello, Tlaxcala se situó en el lugar 14 a nivel nacional.</w:t>
      </w:r>
    </w:p>
    <w:p w14:paraId="42B3185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actividades secundarias corresponden a los sectores dedicados a la industria de la minería, manufacturas, construcción y electricidad. El descenso anual de 5.3 % en estas actividades ubicó a Tlaxcala en el lugar 26 de las 32 entidades federativas.</w:t>
      </w:r>
    </w:p>
    <w:p w14:paraId="6DA9C1A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actividades terciarias incluyen los sectores que se dedican a la distribución de bienes, a operaciones con información o con activos, así como a servicios cuyo insumo principal es el conocimiento y la experiencia del personal. Asimismo, incluyen lo relacionado con la recreación y el gobierno. En el cuarto trimestre de 2024, Tlaxcala registró una variación anual de 1.6 % en estas actividades. Así, se ubicó en el lugar 13 a nivel nacional.</w:t>
      </w:r>
    </w:p>
    <w:p w14:paraId="325EDED3" w14:textId="77777777" w:rsid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rPr>
        <w:t>Finalmente, en el cuarto trimestre de 2024, debido al retroceso de 1.0 % en el total de la actividad económica, Tlaxcala se ubicó en el lugar 24 a nivel nacional y contribuyó con -0.01 puntos porcentuales a la variación nacional</w:t>
      </w:r>
      <w:r w:rsidRPr="00A444DB">
        <w:rPr>
          <w:rFonts w:ascii="Arial" w:hAnsi="Arial" w:cs="Arial"/>
          <w:sz w:val="18"/>
          <w:szCs w:val="18"/>
          <w:lang w:val="es-ES"/>
        </w:rPr>
        <w:t>.</w:t>
      </w:r>
    </w:p>
    <w:p w14:paraId="30E19AF4" w14:textId="77777777" w:rsidR="00A444DB" w:rsidRDefault="00A444DB" w:rsidP="00A444DB">
      <w:pPr>
        <w:tabs>
          <w:tab w:val="left" w:pos="284"/>
        </w:tabs>
        <w:ind w:left="284"/>
        <w:jc w:val="both"/>
        <w:rPr>
          <w:rFonts w:ascii="Arial" w:hAnsi="Arial" w:cs="Arial"/>
          <w:sz w:val="18"/>
          <w:szCs w:val="18"/>
          <w:lang w:val="es-ES"/>
        </w:rPr>
      </w:pPr>
    </w:p>
    <w:p w14:paraId="260A7EB9" w14:textId="77777777" w:rsidR="00A444DB" w:rsidRPr="00A444DB" w:rsidRDefault="00A444DB" w:rsidP="00A444DB">
      <w:pPr>
        <w:tabs>
          <w:tab w:val="left" w:pos="284"/>
        </w:tabs>
        <w:ind w:left="284"/>
        <w:jc w:val="both"/>
        <w:rPr>
          <w:rFonts w:ascii="Arial" w:hAnsi="Arial" w:cs="Arial"/>
          <w:sz w:val="18"/>
          <w:szCs w:val="18"/>
          <w:lang w:val="es-ES"/>
        </w:rPr>
      </w:pPr>
    </w:p>
    <w:p w14:paraId="4A829014" w14:textId="5235F03B"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2EADC8BF" wp14:editId="493C4675">
            <wp:extent cx="5657850" cy="5854605"/>
            <wp:effectExtent l="0" t="0" r="0" b="0"/>
            <wp:docPr id="8442833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l="31490" t="25050" r="32506" b="6813"/>
                    <a:stretch>
                      <a:fillRect/>
                    </a:stretch>
                  </pic:blipFill>
                  <pic:spPr bwMode="auto">
                    <a:xfrm>
                      <a:off x="0" y="0"/>
                      <a:ext cx="5660728" cy="5857583"/>
                    </a:xfrm>
                    <a:prstGeom prst="rect">
                      <a:avLst/>
                    </a:prstGeom>
                    <a:noFill/>
                    <a:ln>
                      <a:noFill/>
                    </a:ln>
                  </pic:spPr>
                </pic:pic>
              </a:graphicData>
            </a:graphic>
          </wp:inline>
        </w:drawing>
      </w:r>
    </w:p>
    <w:p w14:paraId="0DDE2104" w14:textId="77777777" w:rsid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Al primer trimestre de 2025, la Inversión Extranjera Directa Acumulada del año 2006 al mes de marzo de 2025 en el Estado de Tlaxcala fue de 3,342.0 millones de dólares, lo que representó un aporte del 1.0% al total nacional, instalándose empresas de diversas nacionalidades en el país, tal y como se observa en el cuadro comparativo siguiente:</w:t>
      </w:r>
    </w:p>
    <w:p w14:paraId="1985A536" w14:textId="77777777" w:rsidR="00A444DB" w:rsidRDefault="00A444DB" w:rsidP="00A444DB">
      <w:pPr>
        <w:tabs>
          <w:tab w:val="left" w:pos="284"/>
        </w:tabs>
        <w:ind w:left="284"/>
        <w:jc w:val="both"/>
        <w:rPr>
          <w:rFonts w:ascii="Arial" w:hAnsi="Arial" w:cs="Arial"/>
          <w:sz w:val="18"/>
          <w:szCs w:val="18"/>
          <w:lang w:val="es-ES"/>
        </w:rPr>
      </w:pPr>
    </w:p>
    <w:p w14:paraId="5B5C89E7" w14:textId="77777777" w:rsidR="00A444DB" w:rsidRDefault="00A444DB" w:rsidP="00A444DB">
      <w:pPr>
        <w:tabs>
          <w:tab w:val="left" w:pos="284"/>
        </w:tabs>
        <w:ind w:left="284"/>
        <w:jc w:val="both"/>
        <w:rPr>
          <w:rFonts w:ascii="Arial" w:hAnsi="Arial" w:cs="Arial"/>
          <w:sz w:val="18"/>
          <w:szCs w:val="18"/>
          <w:lang w:val="es-ES"/>
        </w:rPr>
      </w:pPr>
    </w:p>
    <w:p w14:paraId="4B126DD2" w14:textId="77777777" w:rsidR="00A444DB" w:rsidRDefault="00A444DB" w:rsidP="00A444DB">
      <w:pPr>
        <w:tabs>
          <w:tab w:val="left" w:pos="284"/>
        </w:tabs>
        <w:ind w:left="284"/>
        <w:jc w:val="both"/>
        <w:rPr>
          <w:rFonts w:ascii="Arial" w:hAnsi="Arial" w:cs="Arial"/>
          <w:sz w:val="18"/>
          <w:szCs w:val="18"/>
          <w:lang w:val="es-ES"/>
        </w:rPr>
      </w:pPr>
    </w:p>
    <w:p w14:paraId="6D989F09" w14:textId="77777777" w:rsidR="00A444DB" w:rsidRDefault="00A444DB" w:rsidP="00A444DB">
      <w:pPr>
        <w:tabs>
          <w:tab w:val="left" w:pos="284"/>
        </w:tabs>
        <w:ind w:left="284"/>
        <w:jc w:val="both"/>
        <w:rPr>
          <w:rFonts w:ascii="Arial" w:hAnsi="Arial" w:cs="Arial"/>
          <w:sz w:val="18"/>
          <w:szCs w:val="18"/>
          <w:lang w:val="es-ES"/>
        </w:rPr>
      </w:pPr>
    </w:p>
    <w:p w14:paraId="6BA660FF" w14:textId="77777777" w:rsidR="00A444DB" w:rsidRDefault="00A444DB" w:rsidP="00A444DB">
      <w:pPr>
        <w:tabs>
          <w:tab w:val="left" w:pos="284"/>
        </w:tabs>
        <w:ind w:left="284"/>
        <w:jc w:val="both"/>
        <w:rPr>
          <w:rFonts w:ascii="Arial" w:hAnsi="Arial" w:cs="Arial"/>
          <w:sz w:val="18"/>
          <w:szCs w:val="18"/>
          <w:lang w:val="es-ES"/>
        </w:rPr>
      </w:pPr>
    </w:p>
    <w:p w14:paraId="0CF499D4" w14:textId="77777777" w:rsidR="00A444DB" w:rsidRDefault="00A444DB" w:rsidP="00A444DB">
      <w:pPr>
        <w:tabs>
          <w:tab w:val="left" w:pos="284"/>
        </w:tabs>
        <w:ind w:left="284"/>
        <w:jc w:val="both"/>
        <w:rPr>
          <w:rFonts w:ascii="Arial" w:hAnsi="Arial" w:cs="Arial"/>
          <w:sz w:val="18"/>
          <w:szCs w:val="18"/>
          <w:lang w:val="es-ES"/>
        </w:rPr>
      </w:pPr>
    </w:p>
    <w:p w14:paraId="7F516753" w14:textId="77777777" w:rsidR="00A444DB" w:rsidRPr="00A444DB" w:rsidRDefault="00A444DB" w:rsidP="00A444DB">
      <w:pPr>
        <w:tabs>
          <w:tab w:val="left" w:pos="284"/>
        </w:tabs>
        <w:ind w:left="284"/>
        <w:jc w:val="both"/>
        <w:rPr>
          <w:rFonts w:ascii="Arial" w:hAnsi="Arial" w:cs="Arial"/>
          <w:sz w:val="18"/>
          <w:szCs w:val="18"/>
          <w:lang w:val="es-ES"/>
        </w:rPr>
      </w:pPr>
    </w:p>
    <w:p w14:paraId="1DA55073" w14:textId="07705B9B"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5BFB208D" wp14:editId="2DC8B263">
            <wp:extent cx="5943600" cy="3639820"/>
            <wp:effectExtent l="0" t="0" r="0" b="0"/>
            <wp:docPr id="5167442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39820"/>
                    </a:xfrm>
                    <a:prstGeom prst="rect">
                      <a:avLst/>
                    </a:prstGeom>
                    <a:noFill/>
                    <a:ln>
                      <a:noFill/>
                    </a:ln>
                  </pic:spPr>
                </pic:pic>
              </a:graphicData>
            </a:graphic>
          </wp:inline>
        </w:drawing>
      </w:r>
    </w:p>
    <w:p w14:paraId="6A0C15E1"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315B2DB" w14:textId="6417DDA3"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51F6FBE" w14:textId="77777777" w:rsidR="008C10B0" w:rsidRPr="001240AA" w:rsidRDefault="008C10B0" w:rsidP="008C10B0">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w:t>
      </w:r>
      <w:r>
        <w:rPr>
          <w:rFonts w:ascii="Arial" w:hAnsi="Arial" w:cs="Arial"/>
          <w:sz w:val="18"/>
          <w:szCs w:val="18"/>
        </w:rPr>
        <w:lastRenderedPageBreak/>
        <w:t>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61DAF66E"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3</w:t>
      </w:r>
      <w:r w:rsidR="00A444DB">
        <w:rPr>
          <w:rFonts w:ascii="Arial" w:hAnsi="Arial" w:cs="Arial"/>
          <w:sz w:val="18"/>
          <w:szCs w:val="18"/>
        </w:rPr>
        <w:t>0</w:t>
      </w:r>
      <w:r w:rsidR="008736CF">
        <w:rPr>
          <w:rFonts w:ascii="Arial" w:hAnsi="Arial" w:cs="Arial"/>
          <w:sz w:val="18"/>
          <w:szCs w:val="18"/>
        </w:rPr>
        <w:t xml:space="preserve"> de </w:t>
      </w:r>
      <w:r w:rsidR="00A444DB">
        <w:rPr>
          <w:rFonts w:ascii="Arial" w:hAnsi="Arial" w:cs="Arial"/>
          <w:sz w:val="18"/>
          <w:szCs w:val="18"/>
        </w:rPr>
        <w:t>junio</w:t>
      </w:r>
      <w:r w:rsidR="008736CF">
        <w:rPr>
          <w:rFonts w:ascii="Arial" w:hAnsi="Arial" w:cs="Arial"/>
          <w:sz w:val="18"/>
          <w:szCs w:val="18"/>
        </w:rPr>
        <w:t xml:space="preserve">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08E7891D" w:rsidR="008C10B0" w:rsidRPr="001A2210" w:rsidRDefault="008C10B0" w:rsidP="008C10B0">
      <w:pPr>
        <w:tabs>
          <w:tab w:val="left" w:pos="284"/>
        </w:tabs>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3</w:t>
      </w:r>
      <w:r w:rsidR="00A444DB">
        <w:rPr>
          <w:rFonts w:ascii="Arial" w:hAnsi="Arial" w:cs="Arial"/>
          <w:sz w:val="18"/>
          <w:szCs w:val="18"/>
        </w:rPr>
        <w:t>0</w:t>
      </w:r>
      <w:r w:rsidR="008736CF">
        <w:rPr>
          <w:rFonts w:ascii="Arial" w:hAnsi="Arial" w:cs="Arial"/>
          <w:sz w:val="18"/>
          <w:szCs w:val="18"/>
        </w:rPr>
        <w:t xml:space="preserve"> de </w:t>
      </w:r>
      <w:r w:rsidR="00A444DB">
        <w:rPr>
          <w:rFonts w:ascii="Arial" w:hAnsi="Arial" w:cs="Arial"/>
          <w:sz w:val="18"/>
          <w:szCs w:val="18"/>
        </w:rPr>
        <w:t>juni</w:t>
      </w:r>
      <w:r w:rsidR="008736CF">
        <w:rPr>
          <w:rFonts w:ascii="Arial" w:hAnsi="Arial" w:cs="Arial"/>
          <w:sz w:val="18"/>
          <w:szCs w:val="18"/>
        </w:rPr>
        <w:t>o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8736CF" w:rsidRPr="008736CF">
        <w:rPr>
          <w:rFonts w:ascii="Arial" w:hAnsi="Arial" w:cs="Arial"/>
          <w:sz w:val="18"/>
          <w:szCs w:val="18"/>
        </w:rPr>
        <w:t>536</w:t>
      </w:r>
      <w:r w:rsidR="008736CF">
        <w:rPr>
          <w:rFonts w:ascii="Arial" w:hAnsi="Arial" w:cs="Arial"/>
          <w:sz w:val="18"/>
          <w:szCs w:val="18"/>
        </w:rPr>
        <w:t>,</w:t>
      </w:r>
      <w:r w:rsidR="008736CF" w:rsidRPr="008736CF">
        <w:rPr>
          <w:rFonts w:ascii="Arial" w:hAnsi="Arial" w:cs="Arial"/>
          <w:sz w:val="18"/>
          <w:szCs w:val="18"/>
        </w:rPr>
        <w:t>942</w:t>
      </w:r>
      <w:r w:rsidR="003A3004">
        <w:rPr>
          <w:rFonts w:ascii="Arial" w:hAnsi="Arial" w:cs="Arial"/>
          <w:sz w:val="18"/>
          <w:szCs w:val="18"/>
        </w:rPr>
        <w:t>,</w:t>
      </w:r>
      <w:r w:rsidR="008736CF"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3A3004" w:rsidRPr="003A3004">
        <w:rPr>
          <w:rFonts w:ascii="Arial" w:hAnsi="Arial" w:cs="Arial"/>
          <w:sz w:val="18"/>
          <w:szCs w:val="18"/>
        </w:rPr>
        <w:t>11</w:t>
      </w:r>
      <w:r w:rsidR="003A3004">
        <w:rPr>
          <w:rFonts w:ascii="Arial" w:hAnsi="Arial" w:cs="Arial"/>
          <w:sz w:val="18"/>
          <w:szCs w:val="18"/>
        </w:rPr>
        <w:t>,</w:t>
      </w:r>
      <w:r w:rsidR="003A3004" w:rsidRPr="003A3004">
        <w:rPr>
          <w:rFonts w:ascii="Arial" w:hAnsi="Arial" w:cs="Arial"/>
          <w:sz w:val="18"/>
          <w:szCs w:val="18"/>
        </w:rPr>
        <w:t>006</w:t>
      </w:r>
      <w:r w:rsidR="003A3004">
        <w:rPr>
          <w:rFonts w:ascii="Arial" w:hAnsi="Arial" w:cs="Arial"/>
          <w:sz w:val="18"/>
          <w:szCs w:val="18"/>
        </w:rPr>
        <w:t>,</w:t>
      </w:r>
      <w:r w:rsidR="003A3004" w:rsidRPr="003A3004">
        <w:rPr>
          <w:rFonts w:ascii="Arial" w:hAnsi="Arial" w:cs="Arial"/>
          <w:sz w:val="18"/>
          <w:szCs w:val="18"/>
        </w:rPr>
        <w:t>896</w:t>
      </w:r>
      <w:r w:rsidR="003A3004">
        <w:rPr>
          <w:rFonts w:ascii="Arial" w:hAnsi="Arial" w:cs="Arial"/>
          <w:sz w:val="18"/>
          <w:szCs w:val="18"/>
        </w:rPr>
        <w:t>,</w:t>
      </w:r>
      <w:r w:rsidR="003A3004"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7F8EAC27"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3</w:t>
      </w:r>
      <w:r w:rsidR="00A444DB">
        <w:rPr>
          <w:rFonts w:ascii="Arial" w:hAnsi="Arial" w:cs="Arial"/>
          <w:sz w:val="18"/>
          <w:szCs w:val="18"/>
        </w:rPr>
        <w:t>0</w:t>
      </w:r>
      <w:r w:rsidR="003A3004">
        <w:rPr>
          <w:rFonts w:ascii="Arial" w:hAnsi="Arial" w:cs="Arial"/>
          <w:sz w:val="18"/>
          <w:szCs w:val="18"/>
        </w:rPr>
        <w:t xml:space="preserve"> de </w:t>
      </w:r>
      <w:r w:rsidR="00A444DB">
        <w:rPr>
          <w:rFonts w:ascii="Arial" w:hAnsi="Arial" w:cs="Arial"/>
          <w:sz w:val="18"/>
          <w:szCs w:val="18"/>
        </w:rPr>
        <w:t>juni</w:t>
      </w:r>
      <w:r w:rsidR="003A3004">
        <w:rPr>
          <w:rFonts w:ascii="Arial" w:hAnsi="Arial" w:cs="Arial"/>
          <w:sz w:val="18"/>
          <w:szCs w:val="18"/>
        </w:rPr>
        <w:t>o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486</w:t>
      </w:r>
      <w:r>
        <w:rPr>
          <w:rFonts w:ascii="Arial" w:hAnsi="Arial" w:cs="Arial"/>
          <w:sz w:val="18"/>
          <w:szCs w:val="18"/>
        </w:rPr>
        <w:t>,</w:t>
      </w:r>
      <w:r w:rsidR="003A3004">
        <w:rPr>
          <w:rFonts w:ascii="Arial" w:hAnsi="Arial" w:cs="Arial"/>
          <w:sz w:val="18"/>
          <w:szCs w:val="18"/>
        </w:rPr>
        <w:t>136</w:t>
      </w:r>
      <w:r>
        <w:rPr>
          <w:rFonts w:ascii="Arial" w:hAnsi="Arial" w:cs="Arial"/>
          <w:sz w:val="18"/>
          <w:szCs w:val="18"/>
        </w:rPr>
        <w:t>,</w:t>
      </w:r>
      <w:r w:rsidR="003A3004">
        <w:rPr>
          <w:rFonts w:ascii="Arial" w:hAnsi="Arial" w:cs="Arial"/>
          <w:sz w:val="18"/>
          <w:szCs w:val="18"/>
        </w:rPr>
        <w:t>823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166364F5" w:rsidR="008C10B0" w:rsidRDefault="008C10B0" w:rsidP="008C10B0">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w:t>
      </w:r>
      <w:r w:rsidR="00A444DB">
        <w:rPr>
          <w:rFonts w:ascii="Arial" w:eastAsia="Times New Roman" w:hAnsi="Arial" w:cs="Arial"/>
          <w:sz w:val="18"/>
          <w:szCs w:val="18"/>
          <w:lang w:eastAsia="es-ES"/>
        </w:rPr>
        <w:t>segundo</w:t>
      </w:r>
      <w:r w:rsidR="000243C9">
        <w:rPr>
          <w:rFonts w:ascii="Arial" w:eastAsia="Times New Roman" w:hAnsi="Arial" w:cs="Arial"/>
          <w:sz w:val="18"/>
          <w:szCs w:val="18"/>
          <w:lang w:eastAsia="es-ES"/>
        </w:rPr>
        <w:t xml:space="preserve"> trimestre</w:t>
      </w:r>
      <w:r>
        <w:rPr>
          <w:rFonts w:ascii="Arial" w:eastAsia="Times New Roman" w:hAnsi="Arial" w:cs="Arial"/>
          <w:sz w:val="18"/>
          <w:szCs w:val="18"/>
          <w:lang w:eastAsia="es-ES"/>
        </w:rPr>
        <w:t xml:space="preserve"> del ejercicio fiscal 202</w:t>
      </w:r>
      <w:r w:rsidR="000243C9">
        <w:rPr>
          <w:rFonts w:ascii="Arial" w:eastAsia="Times New Roman" w:hAnsi="Arial" w:cs="Arial"/>
          <w:sz w:val="18"/>
          <w:szCs w:val="18"/>
          <w:lang w:eastAsia="es-ES"/>
        </w:rPr>
        <w:t>5</w:t>
      </w:r>
      <w:r>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8B4067">
        <w:rPr>
          <w:rFonts w:ascii="Arial" w:eastAsia="Times New Roman" w:hAnsi="Arial" w:cs="Arial"/>
          <w:sz w:val="18"/>
          <w:szCs w:val="18"/>
          <w:lang w:eastAsia="es-ES"/>
        </w:rPr>
        <w:t>$1,081</w:t>
      </w:r>
      <w:r w:rsidR="000243C9">
        <w:rPr>
          <w:rFonts w:ascii="Arial" w:eastAsia="Times New Roman" w:hAnsi="Arial" w:cs="Arial"/>
          <w:sz w:val="18"/>
          <w:szCs w:val="18"/>
          <w:lang w:eastAsia="es-ES"/>
        </w:rPr>
        <w:t>,9</w:t>
      </w:r>
      <w:r w:rsidR="008B4067">
        <w:rPr>
          <w:rFonts w:ascii="Arial" w:eastAsia="Times New Roman" w:hAnsi="Arial" w:cs="Arial"/>
          <w:sz w:val="18"/>
          <w:szCs w:val="18"/>
          <w:lang w:eastAsia="es-ES"/>
        </w:rPr>
        <w:t>70</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062</w:t>
      </w:r>
      <w:r>
        <w:rPr>
          <w:rFonts w:ascii="Arial" w:eastAsia="Times New Roman" w:hAnsi="Arial" w:cs="Arial"/>
          <w:sz w:val="18"/>
          <w:szCs w:val="18"/>
          <w:lang w:eastAsia="es-ES"/>
        </w:rPr>
        <w:t xml:space="preserve"> y al </w:t>
      </w:r>
      <w:r w:rsidR="00A444DB">
        <w:rPr>
          <w:rFonts w:ascii="Arial" w:eastAsia="Times New Roman" w:hAnsi="Arial" w:cs="Arial"/>
          <w:sz w:val="18"/>
          <w:szCs w:val="18"/>
          <w:lang w:eastAsia="es-ES"/>
        </w:rPr>
        <w:t>segundo</w:t>
      </w:r>
      <w:r w:rsidR="000243C9">
        <w:rPr>
          <w:rFonts w:ascii="Arial" w:eastAsia="Times New Roman" w:hAnsi="Arial" w:cs="Arial"/>
          <w:sz w:val="18"/>
          <w:szCs w:val="18"/>
          <w:lang w:eastAsia="es-ES"/>
        </w:rPr>
        <w:t xml:space="preserve"> trimestre</w:t>
      </w:r>
      <w:r>
        <w:rPr>
          <w:rFonts w:ascii="Arial" w:eastAsia="Times New Roman" w:hAnsi="Arial" w:cs="Arial"/>
          <w:sz w:val="18"/>
          <w:szCs w:val="18"/>
          <w:lang w:eastAsia="es-ES"/>
        </w:rPr>
        <w:t xml:space="preserve"> se recaudó un monto de </w:t>
      </w:r>
      <w:r w:rsidR="008B4067">
        <w:rPr>
          <w:rFonts w:ascii="Arial" w:eastAsia="Times New Roman" w:hAnsi="Arial" w:cs="Arial"/>
          <w:sz w:val="18"/>
          <w:szCs w:val="18"/>
          <w:lang w:eastAsia="es-ES"/>
        </w:rPr>
        <w:t>$1,262</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913</w:t>
      </w:r>
      <w:r w:rsidR="000243C9">
        <w:rPr>
          <w:rFonts w:ascii="Arial" w:eastAsia="Times New Roman" w:hAnsi="Arial" w:cs="Arial"/>
          <w:sz w:val="18"/>
          <w:szCs w:val="18"/>
          <w:lang w:eastAsia="es-ES"/>
        </w:rPr>
        <w:t>,6</w:t>
      </w:r>
      <w:r w:rsidR="008B4067">
        <w:rPr>
          <w:rFonts w:ascii="Arial" w:eastAsia="Times New Roman" w:hAnsi="Arial" w:cs="Arial"/>
          <w:sz w:val="18"/>
          <w:szCs w:val="18"/>
          <w:lang w:eastAsia="es-ES"/>
        </w:rPr>
        <w:t>87</w:t>
      </w:r>
      <w:r>
        <w:rPr>
          <w:rFonts w:ascii="Arial" w:eastAsia="Times New Roman" w:hAnsi="Arial" w:cs="Arial"/>
          <w:sz w:val="18"/>
          <w:szCs w:val="18"/>
          <w:lang w:eastAsia="es-ES"/>
        </w:rPr>
        <w:t xml:space="preserve"> que representa un monto de </w:t>
      </w:r>
      <w:r w:rsidR="000243C9">
        <w:rPr>
          <w:rFonts w:ascii="Arial" w:eastAsia="Times New Roman" w:hAnsi="Arial" w:cs="Arial"/>
          <w:sz w:val="18"/>
          <w:szCs w:val="18"/>
          <w:lang w:eastAsia="es-ES"/>
        </w:rPr>
        <w:t>1</w:t>
      </w:r>
      <w:r w:rsidR="008B4067">
        <w:rPr>
          <w:rFonts w:ascii="Arial" w:eastAsia="Times New Roman" w:hAnsi="Arial" w:cs="Arial"/>
          <w:sz w:val="18"/>
          <w:szCs w:val="18"/>
          <w:lang w:eastAsia="es-ES"/>
        </w:rPr>
        <w:t>80</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943</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625</w:t>
      </w:r>
      <w:r>
        <w:rPr>
          <w:rFonts w:ascii="Arial" w:eastAsia="Times New Roman" w:hAnsi="Arial" w:cs="Arial"/>
          <w:sz w:val="18"/>
          <w:szCs w:val="18"/>
          <w:lang w:eastAsia="es-ES"/>
        </w:rPr>
        <w:t xml:space="preserve"> con un crecimiento de </w:t>
      </w:r>
      <w:r w:rsidR="008B4067">
        <w:rPr>
          <w:rFonts w:ascii="Arial" w:eastAsia="Times New Roman" w:hAnsi="Arial" w:cs="Arial"/>
          <w:sz w:val="18"/>
          <w:szCs w:val="18"/>
          <w:lang w:eastAsia="es-ES"/>
        </w:rPr>
        <w:t>17</w:t>
      </w:r>
      <w:r>
        <w:rPr>
          <w:rFonts w:ascii="Arial" w:eastAsia="Times New Roman" w:hAnsi="Arial" w:cs="Arial"/>
          <w:sz w:val="18"/>
          <w:szCs w:val="18"/>
          <w:lang w:eastAsia="es-ES"/>
        </w:rPr>
        <w:t>%.</w:t>
      </w:r>
    </w:p>
    <w:p w14:paraId="673D1E6F" w14:textId="77777777" w:rsidR="008C10B0" w:rsidRPr="00307D7E"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Pr>
          <w:rFonts w:ascii="Arial" w:eastAsia="Times New Roman" w:hAnsi="Arial" w:cs="Arial"/>
          <w:sz w:val="18"/>
          <w:szCs w:val="18"/>
          <w:lang w:eastAsia="es-ES"/>
        </w:rPr>
        <w:t>dar 1,958,188,805, esto es 85,8</w:t>
      </w:r>
      <w:r>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En un ambiente macroeconómico mundial de incertidumbre y volatilidad, teniendo como premisa el mantener la disciplina en las finanzas públicas, a través de un programa de austeridad y eficiencia en el gasto </w:t>
      </w:r>
      <w:r w:rsidRPr="00A11793">
        <w:rPr>
          <w:rFonts w:ascii="Arial" w:eastAsia="Times New Roman" w:hAnsi="Arial" w:cs="Arial"/>
          <w:sz w:val="18"/>
          <w:szCs w:val="18"/>
          <w:lang w:eastAsia="es-ES"/>
        </w:rPr>
        <w:lastRenderedPageBreak/>
        <w:t>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y el patrimonio de las Instituciones de Fomento.</w:t>
      </w:r>
    </w:p>
    <w:p w14:paraId="5DC14A4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el primer trimestre de 2025, la política de deuda pública priorizó el financiamiento en el mercado local, con instrumentos a tasa fija y de largo plazo, con el objetivo principal de cubrir las necesidades de financiamiento con un nivel de costo y riesgo adecuados. Además, se implementó una estrategia de manejo de pasivos y se aprovecharon eficientemente ventanas de oportunidad en los mercados financieros. De esta forma, se mejoró el perfil de vencimientos del portafolio de deuda y se mantuvo un nivel de costo y riesgos acotados; asimismo, la trayectoria de la deuda se mantuvo en una senda sostenible como porcentaje del PIB.</w:t>
      </w:r>
    </w:p>
    <w:p w14:paraId="0624FD4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En el primer trimestre de 2025, las operaciones en el mercado interno mejoraron el perfil de vencimientos e incrementaron el plazo promedio del portafolio y mantuvieron un buen funcionamiento de las curvas de rendimiento nominal. En este sentido, el 31 de enero se realizó un intercambio de pasivos de 2025 en el mercado local, el cual consistió en una recompra de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2029 por un monto de 185 mil 681.7 millones de pesos. El 20 de febrero se recompraron Cetes, Bonos M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un monto de 148 mil 74.9 millones de pesos y el 14 de marzo, se recompraron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33 mil 319.6 millones de pesos.</w:t>
      </w:r>
    </w:p>
    <w:p w14:paraId="5F63840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cuanto al financiamiento externo, en el primer trimestre de 2025 se realizaron dos colocaciones en los mercados internacionales, en línea con la estrategia de utilizar este financiamiento como fuente complementaria de crédito. Así, el 6 de enero se realizó la primera colocación de la administración en los mercados externos por 8 mil 500 millones de dólares; y, el 27 de enero, se realizó la segunda colocación en los mercados externos por un total de 2 mil 400 millones de euros (equivalente a 2 mil 518 millones de dólares). Dichas operaciones mejoraron las características del portafolio de deuda, en términos de diversificación de monedas, reducción de las necesidades de liquidez de corto plazo, y composición de la deuda.</w:t>
      </w:r>
    </w:p>
    <w:p w14:paraId="6214E95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De esta forma, a marzo de 2025, el 82.8% de la deuda es interna, el plazo promedio de los valores gubernamentales es de 7.9 años, y el 78.9% está contratada a tasa fija y a largo plazo; para los bonos externos, </w:t>
      </w:r>
      <w:r w:rsidRPr="008B4067">
        <w:rPr>
          <w:rFonts w:ascii="Arial" w:eastAsia="Times New Roman" w:hAnsi="Arial" w:cs="Arial"/>
          <w:sz w:val="18"/>
          <w:szCs w:val="18"/>
          <w:lang w:eastAsia="es-ES"/>
        </w:rPr>
        <w:lastRenderedPageBreak/>
        <w:t>su plazo promedio es de 18.0 años, y el 100% está denominado a tasa fija. Cabe mencionar que, todas las colocaciones de deuda se enmarcaron en el Programa Anual de Financiamiento, son congruentes con la Ley Federal de Deuda Pública y están en línea con los techos de endeudamiento aprobados por el H. Congreso de la Unión para el ejercicio fiscal 2025.</w:t>
      </w:r>
    </w:p>
    <w:p w14:paraId="2BB4A59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Al primer trimestre de 2025, la deuda neta del Gobierno Federal se ubicó en 15 billones 521 mil 181.9 millones de pesos. La estructura del portafolio de la deuda mantuvo la mayor parte de sus pasivos denominados en moneda nacional, representando el 82.8% del saldo de la deuda neta del Gobierno Federal, al 31 de marzo de 2025.</w:t>
      </w:r>
    </w:p>
    <w:p w14:paraId="7626261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interna neta del Gobierno Federal ascendió a 12 billones 857 mil 774.8 millones de pesos. La variación del saldo de la deuda interna respecto del cierre de 2024 fue el resultado de: i) un endeudamiento interno neto por 285 mil 910.1 millones de pesos; </w:t>
      </w: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un incremento en las disponibilidades del Gobierno Federal por 161 mil 164.3 millones de pesos; y, </w:t>
      </w: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ajustes contables positivos por 29 mil 236.1 millones de pesos, derivados del efecto inflacionario de la deuda interna indizada y del ajuste por las operaciones de permuta de deuda. Este desempeño fue congruente con el techo de endeudamiento interno neto aprobado por el H. Congreso de la Unión para 2025.</w:t>
      </w:r>
    </w:p>
    <w:p w14:paraId="3B488D7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cuanto a la composición de la deuda interna del Gobierno Federal, al cierre del primer trimestre de 2025, el 48.2% se encontró contratada en instrumentos a tasa nominal fija y de largo plazo. Adicionalmente, como resultado de la colocación de instrumentos a largo plazo, se observó una participación de 78.9% de los valores a tasa fija nominal y real a plazo mayor de un año en el saldo de valores gubernamentales al cierre del primer trimestre de 2025. Por su parte, el plazo promedio de vencimiento de valores gubernamentales emitidos en el mercado local a marzo de 2025 fue de 7.9 años.</w:t>
      </w:r>
    </w:p>
    <w:p w14:paraId="54B44FE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Entre los cierres de 2024 y marzo de 2025, los Cetes incrementaron su participación en el saldo total de los valores gubernamentales al pasar de 14.5% a 14.8%, al igual que los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que pasaron de 30.2% a 30.7%, los Bondes G al pasar de 1.0% a 1.2% y los Bonos Tasa Fija Bono M que pasaron de 37.6% a 37.8%. Por su parte, la participación de los Bondes F disminuyó de 15.5% a 14.5%, igual que los Bondes D que pasaron de 1.0% a 0.8%. Mientras tanto, los Bonos Tasa Fija Bono MS, durante el periodo, permanecieron sin cambio en 0.2%. </w:t>
      </w:r>
    </w:p>
    <w:p w14:paraId="03A1705D"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Con respecto al perfil de amortizaciones de la deuda interna del Gobierno Federal, de acuerdo con su saldo contractual registrado al 31 de marzo de 2025, se espera que, durante el resto del año (abril a diciembre de 2025), las amortizaciones alcancen un monto de 1 billón 913 mil 139.8 millones de pesos. Del total de amortizaciones, sin incluir Cetes, 784 mil 425.0 millones de pesos se encuentran asociadas a los vencimientos de valores gubernamentales, cuyo refinanciamiento se realizará a través del programa de subastas que lleva a cabo el Gobierno Federal.</w:t>
      </w:r>
    </w:p>
    <w:p w14:paraId="7EB2422D"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Durante el primer trimestre de 2025, se realizaron las siguientes acciones para el manejo de deuda en el mercado interno: </w:t>
      </w:r>
    </w:p>
    <w:p w14:paraId="317CB30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Colocaciones sindicadas </w:t>
      </w:r>
    </w:p>
    <w:p w14:paraId="17ED7D7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30 de enero se llevó a cabo una colocación sindicada de una nueva referencia de Bonos M a 5 años por 16 mil millones de pesos, con vencimiento en febrero de 2030 y tasa cupón de 8.5%. </w:t>
      </w:r>
    </w:p>
    <w:p w14:paraId="6B27B49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19 de febrero se ejecutó una colocación sindicada de Bondes G por 28 mil millones de pesos en plazos de 2, 3.7 y 5 años. La colocación consistió en un monto de 9 mil 55 millones de pesos para el plazo de 2 años, un monto de 10 mil millones de pesos para el plazo de 3.7 años y un monto de 8 mil 945 millones de pesos para la reapertura del plazo de 5 años, con una sobretasa de 0.1294%, 0.1739% y 0.1929%, respectivamente. </w:t>
      </w:r>
    </w:p>
    <w:p w14:paraId="53B6545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Por último, el 13 de marzo se efectuó una colocación sindicada de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a 3 años por 7 mil 991.6 millones de pesos (950 millones de </w:t>
      </w:r>
      <w:proofErr w:type="spellStart"/>
      <w:r w:rsidRPr="008B4067">
        <w:rPr>
          <w:rFonts w:ascii="Arial" w:eastAsia="Times New Roman" w:hAnsi="Arial" w:cs="Arial"/>
          <w:sz w:val="18"/>
          <w:szCs w:val="18"/>
          <w:lang w:eastAsia="es-ES"/>
        </w:rPr>
        <w:t>Udis</w:t>
      </w:r>
      <w:proofErr w:type="spellEnd"/>
      <w:r w:rsidRPr="008B4067">
        <w:rPr>
          <w:rFonts w:ascii="Arial" w:eastAsia="Times New Roman" w:hAnsi="Arial" w:cs="Arial"/>
          <w:sz w:val="18"/>
          <w:szCs w:val="18"/>
          <w:lang w:eastAsia="es-ES"/>
        </w:rPr>
        <w:t>), con vencimientos en agosto de 2029 y una tasa cupón de 4.0%.</w:t>
      </w:r>
    </w:p>
    <w:p w14:paraId="69E8899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Intercambio de valores gubernamentales y operaciones de manejo de pasivos</w:t>
      </w:r>
    </w:p>
    <w:p w14:paraId="18F391A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31 de enero se realizó el primer intercambio de pasivos de 2025 en el mercado local, el cual consistió en una recompra de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2029 por un monto de 185 mil 681.7 millones de pesos y una subasta de Cetes, Bonos M y Bondes F con vencimientos entre 2026 y 2030 por un </w:t>
      </w:r>
      <w:r w:rsidRPr="008B4067">
        <w:rPr>
          <w:rFonts w:ascii="Arial" w:eastAsia="Times New Roman" w:hAnsi="Arial" w:cs="Arial"/>
          <w:sz w:val="18"/>
          <w:szCs w:val="18"/>
          <w:lang w:eastAsia="es-ES"/>
        </w:rPr>
        <w:lastRenderedPageBreak/>
        <w:t xml:space="preserve">monto de 186 mil 439.4 millones de pesos. Con esta operación se mejoró el manejo de la liquidez para los próximos años y se incrementó el plazo promedio del portafolio. </w:t>
      </w:r>
    </w:p>
    <w:p w14:paraId="438E7E0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20 de febrero se recompraron Cetes, Bonos M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un monto de 148 mil 74.9 millones de pesos y se colocaron este mismo tipo de instrumentos con vencimientos entre 2027 y 2040 por 155 mil 829.9 millones de pesos. Con esta transacción se extendió el perfil de vencimientos y se fortaleció el manejo de liquidez. </w:t>
      </w:r>
    </w:p>
    <w:p w14:paraId="30244AB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Finalmente, el 14 de marzo se recompraron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33 mil 319.6 millones de pesos; asimismo se colocaron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a 3 años por 33 mil 882.3 millones de pesos. Todas las colocaciones de deuda se enmarcaron dentro del Programa Anual de Financiamiento, son congruentes con la Ley Federal de Deuda Pública y están en línea con los techos de endeudamiento aprobados por el H. Congreso de la Unión para el ejercicio fiscal 2025.</w:t>
      </w:r>
    </w:p>
    <w:p w14:paraId="7B52907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externa neta del Gobierno Federal fue de 131 mil 84.8 millones de dólares. La evolución de la deuda externa neta del Gobierno Federal durante el periodo enero a marzo de 2025 fue resultado de los siguientes factores: </w:t>
      </w:r>
    </w:p>
    <w:p w14:paraId="16894EF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Endeudamiento externo neto de 12 mil 97.8 millones de dólares, derivado de disposiciones por 12 mil 300.9 millones de dólares y amortizaciones por 203.1 millones de dólares.</w:t>
      </w:r>
    </w:p>
    <w:p w14:paraId="1A6E589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Incremento de los activos internacionales del Gobierno Federal asociados a la deuda externa por 6 mil 407.0 millones de dólares con respecto al cierre de 2024. Este cambio se debe a la variación en el saldo neto denominado en dólares de la Cuenta General de la Tesorería de la Federación. </w:t>
      </w:r>
    </w:p>
    <w:p w14:paraId="0BA1F68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Ajustes contables positivos por 1 mil 515.0 millones de dólares, derivados principalmente de la variación del dólar con respecto a otras monedas en las que se encuentra contratada la deuda.</w:t>
      </w:r>
    </w:p>
    <w:p w14:paraId="2D6387F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Con respecto al perfil de amortizaciones de la deuda externa del Gobierno Federal, con base en su saldo contractual al 31 de marzo de 2025, se espera que, las amortizaciones durante el resto del año (abril a diciembre de 2025), asciendan a 4 mil 605.5 millones de dólares, los cuales se encuentran asociados, principalmente, a los vencimientos de créditos contratados con los Organismos Financieros Internacionales (</w:t>
      </w:r>
      <w:proofErr w:type="spellStart"/>
      <w:r w:rsidRPr="008B4067">
        <w:rPr>
          <w:rFonts w:ascii="Arial" w:eastAsia="Times New Roman" w:hAnsi="Arial" w:cs="Arial"/>
          <w:sz w:val="18"/>
          <w:szCs w:val="18"/>
          <w:lang w:eastAsia="es-ES"/>
        </w:rPr>
        <w:t>OFIs</w:t>
      </w:r>
      <w:proofErr w:type="spellEnd"/>
      <w:r w:rsidRPr="008B4067">
        <w:rPr>
          <w:rFonts w:ascii="Arial" w:eastAsia="Times New Roman" w:hAnsi="Arial" w:cs="Arial"/>
          <w:sz w:val="18"/>
          <w:szCs w:val="18"/>
          <w:lang w:eastAsia="es-ES"/>
        </w:rPr>
        <w:t>).</w:t>
      </w:r>
    </w:p>
    <w:p w14:paraId="247FD0D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El 6 de enero se realizó la primera colocación de la administración en los mercados externos por 8 mil 500 millones de dólares. La transacción consistió en bonos a 5, 12 y 30 años, con tasas cupón de 6.000%, 6.875% y 7.375%, respectivamente; con esta operación se cubrió gran parte de las necesidades de financiamiento en moneda extranjera para 2025. Cabe resaltar que esta es la colocación con mayor demanda en la historia del Gobierno Federal (casi 33 mil millones de dólares), y se contó con la participación de 380 inversionistas globales, lo que reflejó una percepción favorable sobre la estabilidad de las finanzas públicas y de la economía de México.</w:t>
      </w:r>
    </w:p>
    <w:p w14:paraId="3FE0A49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El 27 de enero se realizó la segunda colocación en los mercados externos de la presente administración, por un total de 2 mil 400 millones de euros. La operación se distribuyó en un bono a 8 años con tasa cupón de 4.625% por 1 mil 400 millones de euros y un bono a 12 años con tasa cupón de 5.125% por 1 mil millones de euros. La transacción contó con una demanda superior a los 8 mil millones de euros, la mayor desde abril del 2019. Todas las operaciones realizadas en lo que va del año, están en línea con los techos de endeudamiento aprobados por el H. Congresos de la Unión para el ejercicio fiscal 2025.</w:t>
      </w:r>
    </w:p>
    <w:p w14:paraId="13B6213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el primer trimestre de 2025, el Gobierno Federal realizó erogaciones por concepto de costo financiero neto total de su deuda por 221 mil 147.7 millones de pesos (Ramo 24). Esta cifra comprende erogaciones por 189 mil 665.6 millones de pesos para el pago de intereses y gastos asociados a la deuda interna, la cual incluye un monto de 10 mil 596.2 millones de pesos para el pago anticipado de intereses derivados del intercambio de deuda a través de las operaciones de permuta de deuda, así como erogaciones por un monto de 1 mil 704.6 millones de dólares para cubrir el pago por concepto de intereses, comisiones y gastos asociados a la deuda externa. Adicionalmente, durante el primer trimestre de 2025, el Gobierno Federal realizó erogaciones para los Programas de Apoyo a Ahorradores y Deudores de la Banca (Ramo 34), por un monto de 26 mil 226.0 millones de pesos. Estos recursos se destinaron al Programa de Apoyo a Ahorradores a través del IPAB.</w:t>
      </w:r>
    </w:p>
    <w:p w14:paraId="1E60DEB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La estrategia de manejo del portafolio de deuda prioriza el financiamiento en el mercado interno, a tasas de interés fijas y de largo plazo. Asimismo, como parte de la gestión de riesgos, se busca contar con un portafolio de deuda diversificado en términos de divisas, así como llevar a cabo la implementación del programa de coberturas. Estas acciones mantienen acotada la sensibilidad del costo financiero de la deuda ante incrementos en la tasa de interés y el tipo de cambio, y favorecen a un portafolio sostenible, sólido y resistente ante choques externos.</w:t>
      </w:r>
    </w:p>
    <w:p w14:paraId="75DE9741"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Las tasas implícitas de costo financiero estimadas para 2025 son 7.21%, 7.25% y 7.00% para el costo total del Ramo 24, el costo interno y el costo externo, respectivamente. Si solo se toma en cuenta la deuda externa, el costo externo implícito es de 5.030%.</w:t>
      </w:r>
    </w:p>
    <w:p w14:paraId="5E1DEBD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con garantía explícita del Gobierno Federal se ubicó en 220 mil 66.1 millones de pesos, monto superior en 2 mil 117.2 millones de pesos al observado al cierre del año anterior. Dentro de los Programas de Apoyo a Deudores se encuentra el Programa de Reestructuración en </w:t>
      </w:r>
      <w:proofErr w:type="spellStart"/>
      <w:r w:rsidRPr="008B4067">
        <w:rPr>
          <w:rFonts w:ascii="Arial" w:eastAsia="Times New Roman" w:hAnsi="Arial" w:cs="Arial"/>
          <w:sz w:val="18"/>
          <w:szCs w:val="18"/>
          <w:lang w:eastAsia="es-ES"/>
        </w:rPr>
        <w:t>Udis</w:t>
      </w:r>
      <w:proofErr w:type="spellEnd"/>
      <w:r w:rsidRPr="008B4067">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marzo de 2025, el resultado preliminar de este intercambio ascendió a 32 mil 500.7 millones de pesos, mismos que no están incorporados en las obligaciones garantizadas reportadas por el Gobierno Federal, ya que su evolución futura es contingente al comportamiento de las tasas de interés.</w:t>
      </w:r>
    </w:p>
    <w:p w14:paraId="7CE1BC4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finalizar el primer trimestre de 2025, el saldo de la deuda interna neta del Sector Público Federal se ubicó en 13 billones 236 mil 932.3 millones de pesos. La variación de este saldo al primer trimestre de 2025, respecto al cierre de 2024, fue el resultado de los siguientes factores: </w:t>
      </w:r>
    </w:p>
    <w:p w14:paraId="63FA0F0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un endeudamiento interno neto por 300 mil 983.1 millones de pesos; </w:t>
      </w:r>
    </w:p>
    <w:p w14:paraId="25A7581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una variación positiva en los activos internos del Sector Público Federal por 223 mil 598.9 millones de pesos y </w:t>
      </w:r>
    </w:p>
    <w:p w14:paraId="009AE94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ajustes contables positivos por 30 mil 12.9 millones de pesos, que reflejaron, principalmente, el efecto inflacionario sobre los pasivos indizados a esta variable y operaciones de permuta de deuda. Con base en el saldo contractual de la deuda interna del Sector Público Federal registrado al 31 de marzo de 2025, las amortizaciones durante el resto del año (abril a diciembre de 2025), serán de 2 billones 99 mil 858.8 millones de pesos. De este monto, el 91.2% se encuentra asociado a los vencimientos de valores colocados en los mercados nacionales.</w:t>
      </w:r>
    </w:p>
    <w:p w14:paraId="3450B02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término del primer trimestre de 2025, el saldo de la deuda externa neta del Sector Público Federal se ubicó en 230 mil 639.5 millones de dólares. La evolución de la deuda externa neta del Sector Público Federal fue resultado de los siguientes factores: </w:t>
      </w:r>
    </w:p>
    <w:p w14:paraId="0DD83A1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un endeudamiento externo neto de 17 mil 113.1 millones de dólares; </w:t>
      </w:r>
    </w:p>
    <w:p w14:paraId="38A51B1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los activos internacionales del Sector Público Federal asociados a la deuda externa presentaron una variación positiva de 6 mil 627.1 millones de dólares, y </w:t>
      </w:r>
    </w:p>
    <w:p w14:paraId="461C9BBE"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xml:space="preserve">) ajustes contables positivos por 1 mil 826.8 millones de dólares, que reflejaron, principalmente, la variación del dólar con respecto a otras monedas en las que se encuentra contratada la deuda. Con base en el saldo contractual de la deuda externa del Sector Público Federal registrado al 31 de marzo de 2025, las amortizaciones durante el año (abril a diciembre de 2025), sumarán un monto de 20 mil 748.1 millones de dólares. </w:t>
      </w:r>
    </w:p>
    <w:p w14:paraId="692DA4E1"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De esta cifra, 21.7% se encuentra asociado a las amortizaciones proyectadas de los vencimientos de deuda de mercado de capitales; 54.9% a créditos directos y pasivos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y 23.4%, se refiere a las amortizaciones de líneas vinculadas al comercio exterior y a vencimientos de deuda con </w:t>
      </w:r>
      <w:proofErr w:type="spellStart"/>
      <w:r w:rsidRPr="008B4067">
        <w:rPr>
          <w:rFonts w:ascii="Arial" w:eastAsia="Times New Roman" w:hAnsi="Arial" w:cs="Arial"/>
          <w:sz w:val="18"/>
          <w:szCs w:val="18"/>
          <w:lang w:eastAsia="es-ES"/>
        </w:rPr>
        <w:t>OFIs</w:t>
      </w:r>
      <w:proofErr w:type="spellEnd"/>
      <w:r w:rsidRPr="008B4067">
        <w:rPr>
          <w:rFonts w:ascii="Arial" w:eastAsia="Times New Roman" w:hAnsi="Arial" w:cs="Arial"/>
          <w:sz w:val="18"/>
          <w:szCs w:val="18"/>
          <w:lang w:eastAsia="es-ES"/>
        </w:rPr>
        <w:t>.</w:t>
      </w:r>
    </w:p>
    <w:p w14:paraId="0C71176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De enero a marzo de 2025, el Sector Público Federal realizó erogaciones por concepto de costo financiero de su deuda pública interna por un monto de 205 mil 654.0 millones de pesos. Por otra parte, durante el mismo periodo se efectuaron erogaciones por un monto de 4 mil 194.1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1682C0E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8B4067">
        <w:rPr>
          <w:rFonts w:ascii="Arial" w:eastAsia="Times New Roman" w:hAnsi="Arial" w:cs="Arial"/>
          <w:sz w:val="18"/>
          <w:szCs w:val="18"/>
          <w:lang w:eastAsia="es-ES"/>
        </w:rPr>
        <w:t>Fonadin</w:t>
      </w:r>
      <w:proofErr w:type="spellEnd"/>
      <w:r w:rsidRPr="008B4067">
        <w:rPr>
          <w:rFonts w:ascii="Arial" w:eastAsia="Times New Roman" w:hAnsi="Arial" w:cs="Arial"/>
          <w:sz w:val="18"/>
          <w:szCs w:val="18"/>
          <w:lang w:eastAsia="es-ES"/>
        </w:rPr>
        <w:t xml:space="preserve">, los asociados a 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w:t>
      </w:r>
    </w:p>
    <w:p w14:paraId="07D7B0C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Al cierre del primer trimestre de 2025, el SHRFSP se ubicó en 17 billones 661 mil 957.5 millones de pesos. El 95.5% de la variación respecto al cierre de 2024, obedeció a un aumento por endeudamiento. El aumento por la depreciación del peso frente al dólar representó el 4.5% de la variación. Así, el componente interno del SHRFSP se ubicó en 13 billones 6 mil 823.9 millones de pesos y el componente externo fue de 229 mil 111.5 millones de dólares.</w:t>
      </w:r>
    </w:p>
    <w:p w14:paraId="6BC3D1A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LFDP y </w:t>
      </w: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aquellos proyectos propiedad del sector privado y que implican únicamente compromisos comerciales, salvo que se presenten causas de fuerza mayor que impliquen su adquisición por el Sector Público. </w:t>
      </w:r>
    </w:p>
    <w:p w14:paraId="1AB1AB8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Con el objeto de ampliar y mejorar la información relativa a los pasivos asociados a los proyectos de inversión financiada, se incluye información del pasivo de los proyectos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de Pemex como deuda directa en 2009, la única entidad que mantiene a la fecha este esquema es la CFE. </w:t>
      </w:r>
    </w:p>
    <w:p w14:paraId="2C020CC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2B73401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2024, el Ejecutivo Federal solicitó la asignación, en el Presupuesto de Egresos de la Federación para el 2025 (PEF 2025),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64E78FC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Asimismo, en el artículo 2o. de la Ley de Ingresos de la Federación para el Ejercicio Fiscal 2025 (LIF 2025),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21483A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31 de marzo de 2025, la deuda neta del Instituto ascendió a 1 billón 8 mil 371.0 millones de pesos, registrando una disminución en términos reales de 1.62% respecto a diciembre de 2024. Esta disminución se explica principalmente por un menor saldo de deuda observado en el periodo. Por otra parte, el saldo de la deuda neta del Instituto al cierre del primer trimestre de 2025 representó el 2.94% del PIB, dato menor en 0.13 puntos porcentuales respecto al presentado al cierre del primer trimestre de 2024. </w:t>
      </w:r>
    </w:p>
    <w:p w14:paraId="377C282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términos reales, el decremento de 0.13 puntos porcentuales se explica en 0.04 puntos porcentuales por el decrecimiento de la deuda del Instituto en términos reales y en 0.09 puntos porcentuales por el crecimiento estimado de la economía en términos reales de marzo de 2024 a marzo de 2025.</w:t>
      </w:r>
    </w:p>
    <w:p w14:paraId="4502E18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Al cierre del primer trimestre de 2025, el saldo de los activos totales del Instituto ascendió a 209 mil 863 millones de pesos, cifra que presentó una disminución de 5.22% en términos reales, respecto al cierre de diciembre de 2024. Cabe destacar que, el saldo del Fondo de Protección al Ahorro Bancario al cierre del mes de marzo de 2025 ascendió a 111 mil 218.0 millones de pesos, lo que significó un incremento nominal de 4.63% y de 3.72% en términos reales respecto del mes de diciembre de 2024.</w:t>
      </w:r>
    </w:p>
    <w:p w14:paraId="236FE09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Durante el primer trimestre de 2025, se recibieron recursos en el Instituto por un total de 97 mil 743.0 millones de pesos. Dichos recursos se componen de: </w:t>
      </w:r>
    </w:p>
    <w:p w14:paraId="4394D06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56 mil 868.0 millones de pesos correspondientes a operaciones de refinanciamiento a través de la colocación primaria y no competitiva de BPAS; </w:t>
      </w:r>
    </w:p>
    <w:p w14:paraId="4DF7DEC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26 mil 226.0 de concepto del 50.0% de la aportación correspondiente del Ramo 34 del Programa de Apoyo a Ahorradores de la Banca; </w:t>
      </w:r>
    </w:p>
    <w:p w14:paraId="3B2752FF"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xml:space="preserve">) 9 mil 499.0 millones de pesos por concepto de Cuotas cobradas a las Instituciones de Banca Múltiple (IBM); </w:t>
      </w:r>
    </w:p>
    <w:p w14:paraId="38E2871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iv</w:t>
      </w:r>
      <w:proofErr w:type="spellEnd"/>
      <w:r w:rsidRPr="008B4067">
        <w:rPr>
          <w:rFonts w:ascii="Arial" w:eastAsia="Times New Roman" w:hAnsi="Arial" w:cs="Arial"/>
          <w:sz w:val="18"/>
          <w:szCs w:val="18"/>
          <w:lang w:eastAsia="es-ES"/>
        </w:rPr>
        <w:t xml:space="preserve">) 5 mil 129.0 millones de pesos de intereses generados por la inversión de los activos líquidos del Instituto; y v) 21.0 millones de pesos por otros ingresos (actualización de cuotas omitidas, remanente de gastos de administración, reembolso a la Reserva de Resoluciones). </w:t>
      </w:r>
    </w:p>
    <w:p w14:paraId="6A05B7B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Por su parte, los pagos realizados durante el mismo periodo ascendieron a 107 mil 101.0 millones de pesos, de los cuales 80 mil 407.0 millones de pesos corresponden a la amortización de Bonos; 26 mil 597.0 millones de pesos al pago de intereses de dichos Bonos; 97.0 millones de pesos a pagos relacionados con gastos de administración del Instituto y 0.08 millones de pesos relacionados a procesos de resolución.</w:t>
      </w:r>
    </w:p>
    <w:p w14:paraId="4B4CBE6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20 de diciembre de 2024, el Instituto colocó Bonos de Protección al Ahorro (BPAS o Bonos) a través del Banco de México como su agente financiero. </w:t>
      </w:r>
    </w:p>
    <w:p w14:paraId="25746A7E"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Dado lo anterior, el IPAB colocó instrumentos por un monto nominal de 56 mil 316.0 millones de pesos, de los cuales 55 mil 900.0 millones de pesos corresponden a subastas primarias y 416.0 millones de pesos a asignaciones no competitivas a través de la plataforma de </w:t>
      </w:r>
      <w:proofErr w:type="spellStart"/>
      <w:r w:rsidRPr="008B4067">
        <w:rPr>
          <w:rFonts w:ascii="Arial" w:eastAsia="Times New Roman" w:hAnsi="Arial" w:cs="Arial"/>
          <w:sz w:val="18"/>
          <w:szCs w:val="18"/>
          <w:lang w:eastAsia="es-ES"/>
        </w:rPr>
        <w:t>Cetesdirecto</w:t>
      </w:r>
      <w:proofErr w:type="spellEnd"/>
      <w:r w:rsidRPr="008B4067">
        <w:rPr>
          <w:rFonts w:ascii="Arial" w:eastAsia="Times New Roman" w:hAnsi="Arial" w:cs="Arial"/>
          <w:sz w:val="18"/>
          <w:szCs w:val="18"/>
          <w:lang w:eastAsia="es-ES"/>
        </w:rPr>
        <w:t xml:space="preserve">; por otra parte, amortizó emisiones por un valor nominal de 80 mil 407.0 millones de pesos, de los cuales 80 mil 400.0 millones de pesos fueron de la subasta competitiva y 7.0 millones de pesos de la colocación no competitiva. Con lo anterior, el Instituto presentó una descolocación neta de 24 mil 91.0 millones de pesos. </w:t>
      </w:r>
    </w:p>
    <w:p w14:paraId="1B2ACC5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Las operaciones de refinanciamiento efectuadas durante el primer trimestre de 2025 contribuyeron con el objetivo estratégico del IPAB de hacer frente a sus obligaciones de pago de manera sostenible en el largo plazo.</w:t>
      </w:r>
    </w:p>
    <w:p w14:paraId="4304670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plazo promedio de los pasivos del Instituto fue de 2.73 años, dato 0.03 años mayor al observado en el primer trimestre de 2024 (2.70 años), derivado de que los porcentajes de la deuda con plazo menor a tres años han tenido una disminución y el plazo de tres a cinco años ha tenido un incremento. </w:t>
      </w:r>
    </w:p>
    <w:p w14:paraId="48F6DD0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Por otra parte, el 28 de marzo de 2025, el IPAB dio a conocer al público inversionista las subastas primarias programadas a realizar durante el segundo trimestre de 2025; para el cual, mantuvo el monto objetivo semanal a subastar respecto del primer trimestre de 2025, quedando en 4 mil 300.0 millones de pesos, distribuidos de la siguiente manera: 1 mil 500.0 millones de pesos de BPAG28 a plazo de hasta 3 años; 1 mil 500.0 millones de pesos de BPAG91 a plazo de hasta 5 años y 1 mil 300.0 millones de pesos de BPA182 a plazo de hasta 7 años.</w:t>
      </w:r>
    </w:p>
    <w:p w14:paraId="1B3C633F" w14:textId="7E24CC57" w:rsid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2024 de $0.00, y al primer trimestre del ejercicio 2025 se continúa con un saldo de $0.00 de endeudamiento, manteniendo las finanzas del Gobierno del Estado sanas.</w:t>
      </w:r>
    </w:p>
    <w:p w14:paraId="26C4632D" w14:textId="77777777" w:rsidR="008B4067" w:rsidRDefault="008B4067" w:rsidP="007058F3">
      <w:pPr>
        <w:tabs>
          <w:tab w:val="left" w:pos="284"/>
        </w:tabs>
        <w:ind w:left="284"/>
        <w:jc w:val="both"/>
        <w:rPr>
          <w:rFonts w:ascii="Arial" w:eastAsia="Times New Roman" w:hAnsi="Arial" w:cs="Arial"/>
          <w:sz w:val="18"/>
          <w:szCs w:val="18"/>
          <w:lang w:eastAsia="es-ES"/>
        </w:rPr>
      </w:pPr>
    </w:p>
    <w:p w14:paraId="2039A215" w14:textId="77777777" w:rsidR="008B4067" w:rsidRDefault="008B4067" w:rsidP="007058F3">
      <w:pPr>
        <w:tabs>
          <w:tab w:val="left" w:pos="284"/>
        </w:tabs>
        <w:ind w:left="284"/>
        <w:jc w:val="both"/>
        <w:rPr>
          <w:rFonts w:ascii="Arial" w:eastAsia="Times New Roman" w:hAnsi="Arial" w:cs="Arial"/>
          <w:sz w:val="18"/>
          <w:szCs w:val="18"/>
          <w:lang w:eastAsia="es-ES"/>
        </w:rPr>
      </w:pPr>
    </w:p>
    <w:p w14:paraId="04D4029A" w14:textId="77777777" w:rsidR="008B4067" w:rsidRPr="00A11793" w:rsidRDefault="008B4067" w:rsidP="007058F3">
      <w:pPr>
        <w:tabs>
          <w:tab w:val="left" w:pos="284"/>
        </w:tabs>
        <w:ind w:left="284"/>
        <w:jc w:val="both"/>
        <w:rPr>
          <w:rFonts w:ascii="Arial" w:eastAsia="Times New Roman" w:hAnsi="Arial" w:cs="Arial"/>
          <w:sz w:val="18"/>
          <w:szCs w:val="18"/>
          <w:lang w:eastAsia="es-ES"/>
        </w:rPr>
      </w:pP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29C999E3" w:rsidR="008C10B0" w:rsidRDefault="008C10B0" w:rsidP="008C10B0">
      <w:r>
        <w:t xml:space="preserve">      No aplica, toda vez que no se tiene contrato con empresas calificadoras al </w:t>
      </w:r>
      <w:r w:rsidR="003A3004">
        <w:t>3</w:t>
      </w:r>
      <w:r w:rsidR="008B4067">
        <w:t>0</w:t>
      </w:r>
      <w:r w:rsidR="003A3004">
        <w:t xml:space="preserve"> de </w:t>
      </w:r>
      <w:r w:rsidR="008B4067">
        <w:t>juni</w:t>
      </w:r>
      <w:r w:rsidR="003A3004">
        <w:t>o</w:t>
      </w:r>
      <w:r>
        <w:t xml:space="preserve"> del ejercicio 202</w:t>
      </w:r>
      <w:r w:rsidR="003A3004">
        <w:t>5</w:t>
      </w:r>
      <w: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B97B9A" w:rsidRDefault="008C10B0" w:rsidP="008C10B0">
      <w:r w:rsidRPr="00B97B9A">
        <w:t xml:space="preserve">     a) Principales políticas de control interno:</w:t>
      </w:r>
    </w:p>
    <w:p w14:paraId="434D0493" w14:textId="77777777" w:rsidR="008C10B0" w:rsidRDefault="008C10B0" w:rsidP="008C10B0">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B97B9A" w:rsidRDefault="008C10B0" w:rsidP="008C10B0">
      <w:pPr>
        <w:jc w:val="both"/>
      </w:pPr>
      <w:r>
        <w:t xml:space="preserve">   </w:t>
      </w:r>
      <w:r w:rsidRPr="00B97B9A">
        <w:t>b) Medidas de desempeño financiero, metas y alcance:</w:t>
      </w:r>
    </w:p>
    <w:p w14:paraId="552AA16C" w14:textId="431468FF" w:rsidR="008C10B0" w:rsidRDefault="008C10B0" w:rsidP="008C10B0">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3A3004">
        <w:t>5</w:t>
      </w:r>
      <w: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Default="008C10B0" w:rsidP="008C10B0">
      <w:pPr>
        <w:jc w:val="both"/>
      </w:pPr>
      <w:r>
        <w:t xml:space="preserve">No aplica, toda vez que el Poder Ejecutivo informa de manera pormenorizada de acuerdo a la estructura relativa a la Cuenta </w:t>
      </w:r>
      <w:r w:rsidR="002640DB">
        <w:t>Pública</w:t>
      </w:r>
      <w: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79083081" w:rsidR="008C10B0" w:rsidRDefault="008C10B0" w:rsidP="008C10B0">
      <w:pPr>
        <w:jc w:val="both"/>
      </w:pPr>
      <w:r>
        <w:t xml:space="preserve">No aplica, toda vez que no se registraron eventos posteriores al cierre del </w:t>
      </w:r>
      <w:r w:rsidR="008B4067">
        <w:t>segundo</w:t>
      </w:r>
      <w:r w:rsidR="00AD1464">
        <w:t xml:space="preserve"> trimestre del ejercicio fiscal 2025</w:t>
      </w:r>
      <w:r>
        <w:t>.</w:t>
      </w:r>
    </w:p>
    <w:p w14:paraId="7C0596D0" w14:textId="77777777" w:rsidR="008C10B0" w:rsidRDefault="008C10B0" w:rsidP="008C10B0">
      <w:pPr>
        <w:jc w:val="both"/>
        <w:rPr>
          <w:b/>
        </w:rPr>
      </w:pPr>
      <w:r w:rsidRPr="00AD1464">
        <w:rPr>
          <w:b/>
        </w:rPr>
        <w:t>15. Partes Relacionadas</w:t>
      </w:r>
    </w:p>
    <w:p w14:paraId="7D77AAE3" w14:textId="59CC0BF3" w:rsidR="008C10B0" w:rsidRDefault="008C10B0" w:rsidP="008C10B0">
      <w:pPr>
        <w:jc w:val="both"/>
      </w:pPr>
      <w:r>
        <w:t xml:space="preserve">No aplica, toda vez que el Poder Ejecutivo no cuenta con partes relacionadas al cierre del </w:t>
      </w:r>
      <w:r w:rsidR="008B4067">
        <w:t>segundo</w:t>
      </w:r>
      <w:r w:rsidR="00AD1464">
        <w:t xml:space="preserve"> trimestre del </w:t>
      </w:r>
      <w:r>
        <w:t>ejer</w:t>
      </w:r>
      <w:r w:rsidR="00AD1464">
        <w:t>cicio 2025</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035581AA" w14:textId="77777777" w:rsidR="008C10B0" w:rsidRDefault="008C10B0" w:rsidP="008C10B0">
      <w:pPr>
        <w:pStyle w:val="Texto"/>
        <w:spacing w:after="0" w:line="240" w:lineRule="exact"/>
        <w:rPr>
          <w:szCs w:val="18"/>
        </w:rPr>
      </w:pPr>
    </w:p>
    <w:p w14:paraId="7CEE11DB" w14:textId="77777777" w:rsidR="002D48B0" w:rsidRDefault="002D48B0" w:rsidP="008C10B0">
      <w:pPr>
        <w:pStyle w:val="Texto"/>
        <w:spacing w:after="0" w:line="276" w:lineRule="auto"/>
        <w:jc w:val="center"/>
        <w:rPr>
          <w:b/>
          <w:szCs w:val="18"/>
        </w:rPr>
      </w:pPr>
    </w:p>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281F58B3"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8B4067">
        <w:rPr>
          <w:rFonts w:ascii="Arial" w:hAnsi="Arial" w:cs="Arial"/>
          <w:sz w:val="18"/>
          <w:szCs w:val="18"/>
          <w:lang w:val="es-ES"/>
        </w:rPr>
        <w:t>segundo</w:t>
      </w:r>
      <w:r>
        <w:rPr>
          <w:rFonts w:ascii="Arial" w:hAnsi="Arial" w:cs="Arial"/>
          <w:sz w:val="18"/>
          <w:szCs w:val="18"/>
          <w:lang w:val="es-ES"/>
        </w:rPr>
        <w:t xml:space="preserve"> trimestre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8B4067">
        <w:rPr>
          <w:rFonts w:ascii="Arial" w:hAnsi="Arial" w:cs="Arial"/>
          <w:sz w:val="18"/>
          <w:szCs w:val="18"/>
        </w:rPr>
        <w:t>15</w:t>
      </w:r>
      <w:r>
        <w:rPr>
          <w:rFonts w:ascii="Arial" w:hAnsi="Arial" w:cs="Arial"/>
          <w:sz w:val="18"/>
          <w:szCs w:val="18"/>
        </w:rPr>
        <w:t>,</w:t>
      </w:r>
      <w:r w:rsidR="008B4067">
        <w:rPr>
          <w:rFonts w:ascii="Arial" w:hAnsi="Arial" w:cs="Arial"/>
          <w:sz w:val="18"/>
          <w:szCs w:val="18"/>
        </w:rPr>
        <w:t>919</w:t>
      </w:r>
      <w:r>
        <w:rPr>
          <w:rFonts w:ascii="Arial" w:hAnsi="Arial" w:cs="Arial"/>
          <w:sz w:val="18"/>
          <w:szCs w:val="18"/>
        </w:rPr>
        <w:t>,</w:t>
      </w:r>
      <w:r w:rsidR="008B4067">
        <w:rPr>
          <w:rFonts w:ascii="Arial" w:hAnsi="Arial" w:cs="Arial"/>
          <w:sz w:val="18"/>
          <w:szCs w:val="18"/>
        </w:rPr>
        <w:t>702</w:t>
      </w:r>
      <w:r>
        <w:rPr>
          <w:rFonts w:ascii="Arial" w:hAnsi="Arial" w:cs="Arial"/>
          <w:sz w:val="18"/>
          <w:szCs w:val="18"/>
        </w:rPr>
        <w:t>,</w:t>
      </w:r>
      <w:r w:rsidR="007058F3">
        <w:rPr>
          <w:rFonts w:ascii="Arial" w:hAnsi="Arial" w:cs="Arial"/>
          <w:sz w:val="18"/>
          <w:szCs w:val="18"/>
        </w:rPr>
        <w:t>4</w:t>
      </w:r>
      <w:r w:rsidR="008B4067">
        <w:rPr>
          <w:rFonts w:ascii="Arial" w:hAnsi="Arial" w:cs="Arial"/>
          <w:sz w:val="18"/>
          <w:szCs w:val="18"/>
        </w:rPr>
        <w:t>5</w:t>
      </w:r>
      <w:r w:rsidR="007058F3">
        <w:rPr>
          <w:rFonts w:ascii="Arial" w:hAnsi="Arial" w:cs="Arial"/>
          <w:sz w:val="18"/>
          <w:szCs w:val="18"/>
        </w:rPr>
        <w:t>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8B4067">
        <w:rPr>
          <w:rFonts w:ascii="Arial" w:hAnsi="Arial" w:cs="Arial"/>
          <w:sz w:val="18"/>
          <w:szCs w:val="18"/>
        </w:rPr>
        <w:t>13</w:t>
      </w:r>
      <w:r>
        <w:rPr>
          <w:rFonts w:ascii="Arial" w:hAnsi="Arial" w:cs="Arial"/>
          <w:sz w:val="18"/>
          <w:szCs w:val="18"/>
        </w:rPr>
        <w:t>,</w:t>
      </w:r>
      <w:r w:rsidR="008B4067">
        <w:rPr>
          <w:rFonts w:ascii="Arial" w:hAnsi="Arial" w:cs="Arial"/>
          <w:sz w:val="18"/>
          <w:szCs w:val="18"/>
        </w:rPr>
        <w:t>021</w:t>
      </w:r>
      <w:r>
        <w:rPr>
          <w:rFonts w:ascii="Arial" w:hAnsi="Arial" w:cs="Arial"/>
          <w:sz w:val="18"/>
          <w:szCs w:val="18"/>
        </w:rPr>
        <w:t>,</w:t>
      </w:r>
      <w:r w:rsidR="008B4067">
        <w:rPr>
          <w:rFonts w:ascii="Arial" w:hAnsi="Arial" w:cs="Arial"/>
          <w:sz w:val="18"/>
          <w:szCs w:val="18"/>
        </w:rPr>
        <w:t>785</w:t>
      </w:r>
      <w:r>
        <w:rPr>
          <w:rFonts w:ascii="Arial" w:hAnsi="Arial" w:cs="Arial"/>
          <w:sz w:val="18"/>
          <w:szCs w:val="18"/>
        </w:rPr>
        <w:t>,</w:t>
      </w:r>
      <w:r w:rsidR="008B4067">
        <w:rPr>
          <w:rFonts w:ascii="Arial" w:hAnsi="Arial" w:cs="Arial"/>
          <w:sz w:val="18"/>
          <w:szCs w:val="18"/>
        </w:rPr>
        <w:t>646</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652A10">
        <w:rPr>
          <w:rFonts w:ascii="Arial" w:hAnsi="Arial" w:cs="Arial"/>
          <w:sz w:val="18"/>
          <w:szCs w:val="18"/>
        </w:rPr>
        <w:t>2</w:t>
      </w:r>
      <w:r>
        <w:rPr>
          <w:rFonts w:ascii="Arial" w:hAnsi="Arial" w:cs="Arial"/>
          <w:sz w:val="18"/>
          <w:szCs w:val="18"/>
        </w:rPr>
        <w:t>,</w:t>
      </w:r>
      <w:r w:rsidR="007058F3">
        <w:rPr>
          <w:rFonts w:ascii="Arial" w:hAnsi="Arial" w:cs="Arial"/>
          <w:sz w:val="18"/>
          <w:szCs w:val="18"/>
        </w:rPr>
        <w:t>8</w:t>
      </w:r>
      <w:r w:rsidR="00652A10">
        <w:rPr>
          <w:rFonts w:ascii="Arial" w:hAnsi="Arial" w:cs="Arial"/>
          <w:sz w:val="18"/>
          <w:szCs w:val="18"/>
        </w:rPr>
        <w:t>97</w:t>
      </w:r>
      <w:r>
        <w:rPr>
          <w:rFonts w:ascii="Arial" w:hAnsi="Arial" w:cs="Arial"/>
          <w:sz w:val="18"/>
          <w:szCs w:val="18"/>
        </w:rPr>
        <w:t>,</w:t>
      </w:r>
      <w:r w:rsidR="00652A10">
        <w:rPr>
          <w:rFonts w:ascii="Arial" w:hAnsi="Arial" w:cs="Arial"/>
          <w:sz w:val="18"/>
          <w:szCs w:val="18"/>
        </w:rPr>
        <w:t>916</w:t>
      </w:r>
      <w:r>
        <w:rPr>
          <w:rFonts w:ascii="Arial" w:hAnsi="Arial" w:cs="Arial"/>
          <w:sz w:val="18"/>
          <w:szCs w:val="18"/>
        </w:rPr>
        <w:t>,</w:t>
      </w:r>
      <w:r w:rsidR="00652A10">
        <w:rPr>
          <w:rFonts w:ascii="Arial" w:hAnsi="Arial" w:cs="Arial"/>
          <w:sz w:val="18"/>
          <w:szCs w:val="18"/>
        </w:rPr>
        <w:t>808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w:t>
      </w:r>
      <w:r w:rsidR="00652A10">
        <w:rPr>
          <w:rFonts w:ascii="Arial" w:hAnsi="Arial" w:cs="Arial"/>
          <w:sz w:val="18"/>
          <w:szCs w:val="18"/>
        </w:rPr>
        <w:t>may</w:t>
      </w:r>
      <w:r w:rsidR="007058F3">
        <w:rPr>
          <w:rFonts w:ascii="Arial" w:hAnsi="Arial" w:cs="Arial"/>
          <w:sz w:val="18"/>
          <w:szCs w:val="18"/>
        </w:rPr>
        <w:t>or</w:t>
      </w:r>
      <w:r>
        <w:rPr>
          <w:rFonts w:ascii="Arial" w:hAnsi="Arial" w:cs="Arial"/>
          <w:sz w:val="18"/>
          <w:szCs w:val="18"/>
        </w:rPr>
        <w:t xml:space="preserve"> en un </w:t>
      </w:r>
      <w:r w:rsidR="00652A10">
        <w:rPr>
          <w:rFonts w:ascii="Arial" w:hAnsi="Arial" w:cs="Arial"/>
          <w:sz w:val="18"/>
          <w:szCs w:val="18"/>
        </w:rPr>
        <w:t>32</w:t>
      </w:r>
      <w:r>
        <w:rPr>
          <w:rFonts w:ascii="Arial" w:hAnsi="Arial" w:cs="Arial"/>
          <w:sz w:val="18"/>
          <w:szCs w:val="18"/>
        </w:rPr>
        <w:t>%, respecto al ejercicio de 202</w:t>
      </w:r>
      <w:r w:rsidR="007058F3">
        <w:rPr>
          <w:rFonts w:ascii="Arial" w:hAnsi="Arial" w:cs="Arial"/>
          <w:sz w:val="18"/>
          <w:szCs w:val="18"/>
        </w:rPr>
        <w:t>4</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41D6D5E9"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652A10">
        <w:rPr>
          <w:rFonts w:ascii="Arial" w:hAnsi="Arial" w:cs="Arial"/>
          <w:sz w:val="18"/>
          <w:szCs w:val="18"/>
        </w:rPr>
        <w:t>juni</w:t>
      </w:r>
      <w:r w:rsidR="007058F3">
        <w:rPr>
          <w:rFonts w:ascii="Arial" w:hAnsi="Arial" w:cs="Arial"/>
          <w:sz w:val="18"/>
          <w:szCs w:val="18"/>
        </w:rPr>
        <w:t>o</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652A10">
        <w:rPr>
          <w:rFonts w:ascii="Arial" w:hAnsi="Arial" w:cs="Arial"/>
          <w:sz w:val="18"/>
          <w:szCs w:val="18"/>
        </w:rPr>
        <w:t>594</w:t>
      </w:r>
      <w:r w:rsidR="007058F3">
        <w:rPr>
          <w:rFonts w:ascii="Arial" w:hAnsi="Arial" w:cs="Arial"/>
          <w:sz w:val="18"/>
          <w:szCs w:val="18"/>
        </w:rPr>
        <w:t>,</w:t>
      </w:r>
      <w:r w:rsidR="00652A10">
        <w:rPr>
          <w:rFonts w:ascii="Arial" w:hAnsi="Arial" w:cs="Arial"/>
          <w:sz w:val="18"/>
          <w:szCs w:val="18"/>
        </w:rPr>
        <w:t>058</w:t>
      </w:r>
      <w:r w:rsidR="007058F3">
        <w:rPr>
          <w:rFonts w:ascii="Arial" w:hAnsi="Arial" w:cs="Arial"/>
          <w:sz w:val="18"/>
          <w:szCs w:val="18"/>
        </w:rPr>
        <w:t>,</w:t>
      </w:r>
      <w:r w:rsidR="00652A10">
        <w:rPr>
          <w:rFonts w:ascii="Arial" w:hAnsi="Arial" w:cs="Arial"/>
          <w:sz w:val="18"/>
          <w:szCs w:val="18"/>
        </w:rPr>
        <w:t>486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652A10">
        <w:rPr>
          <w:rFonts w:ascii="Arial" w:hAnsi="Arial" w:cs="Arial"/>
          <w:sz w:val="18"/>
          <w:szCs w:val="18"/>
        </w:rPr>
        <w:t>554</w:t>
      </w:r>
      <w:r w:rsidR="007058F3">
        <w:rPr>
          <w:rFonts w:ascii="Arial" w:hAnsi="Arial" w:cs="Arial"/>
          <w:sz w:val="18"/>
          <w:szCs w:val="18"/>
        </w:rPr>
        <w:t>,</w:t>
      </w:r>
      <w:r w:rsidR="00652A10">
        <w:rPr>
          <w:rFonts w:ascii="Arial" w:hAnsi="Arial" w:cs="Arial"/>
          <w:sz w:val="18"/>
          <w:szCs w:val="18"/>
        </w:rPr>
        <w:t>257</w:t>
      </w:r>
      <w:r w:rsidR="007058F3">
        <w:rPr>
          <w:rFonts w:ascii="Arial" w:hAnsi="Arial" w:cs="Arial"/>
          <w:sz w:val="18"/>
          <w:szCs w:val="18"/>
        </w:rPr>
        <w:t>,7</w:t>
      </w:r>
      <w:r w:rsidR="00652A10">
        <w:rPr>
          <w:rFonts w:ascii="Arial" w:hAnsi="Arial" w:cs="Arial"/>
          <w:sz w:val="18"/>
          <w:szCs w:val="18"/>
        </w:rPr>
        <w:t>78</w:t>
      </w:r>
      <w:r>
        <w:rPr>
          <w:rFonts w:ascii="Arial" w:hAnsi="Arial" w:cs="Arial"/>
          <w:sz w:val="18"/>
          <w:szCs w:val="18"/>
        </w:rPr>
        <w:t>; sobre la Producción, el Consumo y las transacciones por un importe de $</w:t>
      </w:r>
      <w:r w:rsidR="00652A10">
        <w:rPr>
          <w:rFonts w:ascii="Arial" w:hAnsi="Arial" w:cs="Arial"/>
          <w:sz w:val="18"/>
          <w:szCs w:val="18"/>
        </w:rPr>
        <w:t>20</w:t>
      </w:r>
      <w:r>
        <w:rPr>
          <w:rFonts w:ascii="Arial" w:hAnsi="Arial" w:cs="Arial"/>
          <w:sz w:val="18"/>
          <w:szCs w:val="18"/>
        </w:rPr>
        <w:t>,</w:t>
      </w:r>
      <w:r w:rsidR="00652A10">
        <w:rPr>
          <w:rFonts w:ascii="Arial" w:hAnsi="Arial" w:cs="Arial"/>
          <w:sz w:val="18"/>
          <w:szCs w:val="18"/>
        </w:rPr>
        <w:t>078</w:t>
      </w:r>
      <w:r>
        <w:rPr>
          <w:rFonts w:ascii="Arial" w:hAnsi="Arial" w:cs="Arial"/>
          <w:sz w:val="18"/>
          <w:szCs w:val="18"/>
        </w:rPr>
        <w:t>,</w:t>
      </w:r>
      <w:r w:rsidR="00652A10">
        <w:rPr>
          <w:rFonts w:ascii="Arial" w:hAnsi="Arial" w:cs="Arial"/>
          <w:sz w:val="18"/>
          <w:szCs w:val="18"/>
        </w:rPr>
        <w:t>657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652A10">
        <w:rPr>
          <w:rFonts w:ascii="Arial" w:hAnsi="Arial" w:cs="Arial"/>
          <w:sz w:val="18"/>
          <w:szCs w:val="18"/>
        </w:rPr>
        <w:t>9</w:t>
      </w:r>
      <w:r>
        <w:rPr>
          <w:rFonts w:ascii="Arial" w:hAnsi="Arial" w:cs="Arial"/>
          <w:sz w:val="18"/>
          <w:szCs w:val="18"/>
        </w:rPr>
        <w:t>,</w:t>
      </w:r>
      <w:r w:rsidR="00652A10">
        <w:rPr>
          <w:rFonts w:ascii="Arial" w:hAnsi="Arial" w:cs="Arial"/>
          <w:sz w:val="18"/>
          <w:szCs w:val="18"/>
        </w:rPr>
        <w:t>469</w:t>
      </w:r>
      <w:r>
        <w:rPr>
          <w:rFonts w:ascii="Arial" w:hAnsi="Arial" w:cs="Arial"/>
          <w:sz w:val="18"/>
          <w:szCs w:val="18"/>
        </w:rPr>
        <w:t>,</w:t>
      </w:r>
      <w:r w:rsidR="00652A10">
        <w:rPr>
          <w:rFonts w:ascii="Arial" w:hAnsi="Arial" w:cs="Arial"/>
          <w:sz w:val="18"/>
          <w:szCs w:val="18"/>
        </w:rPr>
        <w:t>403</w:t>
      </w:r>
      <w:r>
        <w:rPr>
          <w:rFonts w:ascii="Arial" w:hAnsi="Arial" w:cs="Arial"/>
          <w:sz w:val="18"/>
          <w:szCs w:val="18"/>
        </w:rPr>
        <w:t xml:space="preserve">. Presentando un diferencial </w:t>
      </w:r>
      <w:r w:rsidR="00652A10">
        <w:rPr>
          <w:rFonts w:ascii="Arial" w:hAnsi="Arial" w:cs="Arial"/>
          <w:sz w:val="18"/>
          <w:szCs w:val="18"/>
        </w:rPr>
        <w:t>negat</w:t>
      </w:r>
      <w:r w:rsidR="00513508">
        <w:rPr>
          <w:rFonts w:ascii="Arial" w:hAnsi="Arial" w:cs="Arial"/>
          <w:sz w:val="18"/>
          <w:szCs w:val="18"/>
        </w:rPr>
        <w:t>ivo</w:t>
      </w:r>
      <w:r>
        <w:rPr>
          <w:rFonts w:ascii="Arial" w:hAnsi="Arial" w:cs="Arial"/>
          <w:sz w:val="18"/>
          <w:szCs w:val="18"/>
        </w:rPr>
        <w:t xml:space="preserve"> en impuestos del </w:t>
      </w:r>
      <w:r w:rsidR="00652A10">
        <w:rPr>
          <w:rFonts w:ascii="Arial" w:hAnsi="Arial" w:cs="Arial"/>
          <w:sz w:val="18"/>
          <w:szCs w:val="18"/>
        </w:rPr>
        <w:t>42</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1F28ED1F"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652A10">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652A10">
        <w:rPr>
          <w:rFonts w:ascii="Arial" w:hAnsi="Arial" w:cs="Arial"/>
          <w:sz w:val="18"/>
          <w:szCs w:val="18"/>
        </w:rPr>
        <w:t>404</w:t>
      </w:r>
      <w:r w:rsidR="00513508">
        <w:rPr>
          <w:rFonts w:ascii="Arial" w:hAnsi="Arial" w:cs="Arial"/>
          <w:sz w:val="18"/>
          <w:szCs w:val="18"/>
        </w:rPr>
        <w:t>,</w:t>
      </w:r>
      <w:r w:rsidR="00652A10">
        <w:rPr>
          <w:rFonts w:ascii="Arial" w:hAnsi="Arial" w:cs="Arial"/>
          <w:sz w:val="18"/>
          <w:szCs w:val="18"/>
        </w:rPr>
        <w:t>70</w:t>
      </w:r>
      <w:r w:rsidR="00513508">
        <w:rPr>
          <w:rFonts w:ascii="Arial" w:hAnsi="Arial" w:cs="Arial"/>
          <w:sz w:val="18"/>
          <w:szCs w:val="18"/>
        </w:rPr>
        <w:t>1,1</w:t>
      </w:r>
      <w:r w:rsidR="00652A10">
        <w:rPr>
          <w:rFonts w:ascii="Arial" w:hAnsi="Arial" w:cs="Arial"/>
          <w:sz w:val="18"/>
          <w:szCs w:val="18"/>
        </w:rPr>
        <w:t>29</w:t>
      </w:r>
      <w:r w:rsidRPr="0073056A">
        <w:rPr>
          <w:rFonts w:ascii="Arial" w:hAnsi="Arial" w:cs="Arial"/>
          <w:sz w:val="18"/>
          <w:szCs w:val="18"/>
        </w:rPr>
        <w:t>.</w:t>
      </w:r>
      <w:r>
        <w:rPr>
          <w:rFonts w:ascii="Arial" w:hAnsi="Arial" w:cs="Arial"/>
          <w:sz w:val="18"/>
          <w:szCs w:val="18"/>
        </w:rPr>
        <w:t xml:space="preserve"> Mostrando un </w:t>
      </w:r>
      <w:r w:rsidR="00A4719D">
        <w:rPr>
          <w:rFonts w:ascii="Arial" w:hAnsi="Arial" w:cs="Arial"/>
          <w:sz w:val="18"/>
          <w:szCs w:val="18"/>
        </w:rPr>
        <w:t>de</w:t>
      </w:r>
      <w:r>
        <w:rPr>
          <w:rFonts w:ascii="Arial" w:hAnsi="Arial" w:cs="Arial"/>
          <w:sz w:val="18"/>
          <w:szCs w:val="18"/>
        </w:rPr>
        <w:t xml:space="preserve">cremento del </w:t>
      </w:r>
      <w:r w:rsidR="00A4719D">
        <w:rPr>
          <w:rFonts w:ascii="Arial" w:hAnsi="Arial" w:cs="Arial"/>
          <w:sz w:val="18"/>
          <w:szCs w:val="18"/>
        </w:rPr>
        <w:t>4</w:t>
      </w:r>
      <w:r w:rsidR="00652A10">
        <w:rPr>
          <w:rFonts w:ascii="Arial" w:hAnsi="Arial" w:cs="Arial"/>
          <w:sz w:val="18"/>
          <w:szCs w:val="18"/>
        </w:rPr>
        <w:t>1</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73E0CA4B"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4719D">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es</w:t>
      </w:r>
      <w:r w:rsidRPr="0073056A">
        <w:rPr>
          <w:rFonts w:ascii="Arial" w:hAnsi="Arial" w:cs="Arial"/>
          <w:sz w:val="18"/>
          <w:szCs w:val="18"/>
        </w:rPr>
        <w:t xml:space="preserve"> de $</w:t>
      </w:r>
      <w:r w:rsidR="00A4719D">
        <w:rPr>
          <w:rFonts w:ascii="Arial" w:hAnsi="Arial" w:cs="Arial"/>
          <w:sz w:val="18"/>
          <w:szCs w:val="18"/>
        </w:rPr>
        <w:t>174</w:t>
      </w:r>
      <w:r w:rsidRPr="00502DDD">
        <w:rPr>
          <w:rFonts w:ascii="Arial" w:hAnsi="Arial" w:cs="Arial"/>
          <w:sz w:val="18"/>
          <w:szCs w:val="18"/>
        </w:rPr>
        <w:t>,</w:t>
      </w:r>
      <w:r w:rsidR="00A4719D">
        <w:rPr>
          <w:rFonts w:ascii="Arial" w:hAnsi="Arial" w:cs="Arial"/>
          <w:sz w:val="18"/>
          <w:szCs w:val="18"/>
        </w:rPr>
        <w:t>410</w:t>
      </w:r>
      <w:r w:rsidRPr="00502DDD">
        <w:rPr>
          <w:rFonts w:ascii="Arial" w:hAnsi="Arial" w:cs="Arial"/>
          <w:sz w:val="18"/>
          <w:szCs w:val="18"/>
        </w:rPr>
        <w:t>,</w:t>
      </w:r>
      <w:r w:rsidR="00A4719D">
        <w:rPr>
          <w:rFonts w:ascii="Arial" w:hAnsi="Arial" w:cs="Arial"/>
          <w:sz w:val="18"/>
          <w:szCs w:val="18"/>
        </w:rPr>
        <w:t>052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A4719D">
        <w:rPr>
          <w:rFonts w:ascii="Arial" w:hAnsi="Arial" w:cs="Arial"/>
          <w:sz w:val="18"/>
          <w:szCs w:val="18"/>
        </w:rPr>
        <w:t>58</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77F7ADB7"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6245D">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86245D">
        <w:rPr>
          <w:rFonts w:ascii="Arial" w:hAnsi="Arial" w:cs="Arial"/>
          <w:sz w:val="18"/>
          <w:szCs w:val="18"/>
        </w:rPr>
        <w:t>77</w:t>
      </w:r>
      <w:r w:rsidR="00513508">
        <w:rPr>
          <w:rFonts w:ascii="Arial" w:hAnsi="Arial" w:cs="Arial"/>
          <w:sz w:val="18"/>
          <w:szCs w:val="18"/>
        </w:rPr>
        <w:t>2,</w:t>
      </w:r>
      <w:r w:rsidR="0086245D">
        <w:rPr>
          <w:rFonts w:ascii="Arial" w:hAnsi="Arial" w:cs="Arial"/>
          <w:sz w:val="18"/>
          <w:szCs w:val="18"/>
        </w:rPr>
        <w:t>061</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461BD173"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86245D">
        <w:rPr>
          <w:rFonts w:ascii="Arial" w:hAnsi="Arial" w:cs="Arial"/>
          <w:sz w:val="18"/>
          <w:szCs w:val="18"/>
        </w:rPr>
        <w:t>88</w:t>
      </w:r>
      <w:r w:rsidR="00513508">
        <w:rPr>
          <w:rFonts w:ascii="Arial" w:hAnsi="Arial" w:cs="Arial"/>
          <w:sz w:val="18"/>
          <w:szCs w:val="18"/>
        </w:rPr>
        <w:t>,</w:t>
      </w:r>
      <w:r w:rsidR="0086245D">
        <w:rPr>
          <w:rFonts w:ascii="Arial" w:hAnsi="Arial" w:cs="Arial"/>
          <w:sz w:val="18"/>
          <w:szCs w:val="18"/>
        </w:rPr>
        <w:t>971</w:t>
      </w:r>
      <w:r w:rsidR="00513508">
        <w:rPr>
          <w:rFonts w:ascii="Arial" w:hAnsi="Arial" w:cs="Arial"/>
          <w:sz w:val="18"/>
          <w:szCs w:val="18"/>
        </w:rPr>
        <w:t>,</w:t>
      </w:r>
      <w:r w:rsidR="0086245D">
        <w:rPr>
          <w:rFonts w:ascii="Arial" w:hAnsi="Arial" w:cs="Arial"/>
          <w:sz w:val="18"/>
          <w:szCs w:val="18"/>
        </w:rPr>
        <w:t>959</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513508">
        <w:rPr>
          <w:rFonts w:ascii="Arial" w:hAnsi="Arial" w:cs="Arial"/>
          <w:sz w:val="18"/>
          <w:szCs w:val="18"/>
        </w:rPr>
        <w:t>de</w:t>
      </w:r>
      <w:r>
        <w:rPr>
          <w:rFonts w:ascii="Arial" w:hAnsi="Arial" w:cs="Arial"/>
          <w:sz w:val="18"/>
          <w:szCs w:val="18"/>
        </w:rPr>
        <w:t xml:space="preserve">cremento del </w:t>
      </w:r>
      <w:r w:rsidR="0086245D">
        <w:rPr>
          <w:rFonts w:ascii="Arial" w:hAnsi="Arial" w:cs="Arial"/>
          <w:sz w:val="18"/>
          <w:szCs w:val="18"/>
        </w:rPr>
        <w:t>35</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08273186"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86245D">
        <w:rPr>
          <w:rFonts w:ascii="Arial" w:hAnsi="Arial" w:cs="Arial"/>
          <w:sz w:val="18"/>
          <w:szCs w:val="18"/>
        </w:rPr>
        <w:t>14</w:t>
      </w:r>
      <w:r>
        <w:rPr>
          <w:rFonts w:ascii="Arial" w:hAnsi="Arial" w:cs="Arial"/>
          <w:sz w:val="18"/>
          <w:szCs w:val="18"/>
        </w:rPr>
        <w:t>,</w:t>
      </w:r>
      <w:r w:rsidR="0086245D">
        <w:rPr>
          <w:rFonts w:ascii="Arial" w:hAnsi="Arial" w:cs="Arial"/>
          <w:sz w:val="18"/>
          <w:szCs w:val="18"/>
        </w:rPr>
        <w:t>656</w:t>
      </w:r>
      <w:r>
        <w:rPr>
          <w:rFonts w:ascii="Arial" w:hAnsi="Arial" w:cs="Arial"/>
          <w:sz w:val="18"/>
          <w:szCs w:val="18"/>
        </w:rPr>
        <w:t>,</w:t>
      </w:r>
      <w:r w:rsidR="0086245D">
        <w:rPr>
          <w:rFonts w:ascii="Arial" w:hAnsi="Arial" w:cs="Arial"/>
          <w:sz w:val="18"/>
          <w:szCs w:val="18"/>
        </w:rPr>
        <w:t>788</w:t>
      </w:r>
      <w:r>
        <w:rPr>
          <w:rFonts w:ascii="Arial" w:hAnsi="Arial" w:cs="Arial"/>
          <w:sz w:val="18"/>
          <w:szCs w:val="18"/>
        </w:rPr>
        <w:t>,</w:t>
      </w:r>
      <w:r w:rsidR="0086245D">
        <w:rPr>
          <w:rFonts w:ascii="Arial" w:hAnsi="Arial" w:cs="Arial"/>
          <w:sz w:val="18"/>
          <w:szCs w:val="18"/>
        </w:rPr>
        <w:t>767</w:t>
      </w:r>
      <w:r>
        <w:rPr>
          <w:rFonts w:ascii="Arial" w:hAnsi="Arial" w:cs="Arial"/>
          <w:sz w:val="18"/>
          <w:szCs w:val="18"/>
        </w:rPr>
        <w:t xml:space="preserve"> al mes de </w:t>
      </w:r>
      <w:r w:rsidR="0086245D">
        <w:rPr>
          <w:rFonts w:ascii="Arial" w:hAnsi="Arial" w:cs="Arial"/>
          <w:sz w:val="18"/>
          <w:szCs w:val="18"/>
        </w:rPr>
        <w:t>juni</w:t>
      </w:r>
      <w:r w:rsidR="009B7AB2">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9B7AB2">
        <w:rPr>
          <w:rFonts w:ascii="Arial" w:hAnsi="Arial" w:cs="Arial"/>
          <w:sz w:val="18"/>
          <w:szCs w:val="18"/>
        </w:rPr>
        <w:t>de</w:t>
      </w:r>
      <w:r>
        <w:rPr>
          <w:rFonts w:ascii="Arial" w:hAnsi="Arial" w:cs="Arial"/>
          <w:sz w:val="18"/>
          <w:szCs w:val="18"/>
        </w:rPr>
        <w:t xml:space="preserve">cremento del </w:t>
      </w:r>
      <w:r w:rsidR="0086245D">
        <w:rPr>
          <w:rFonts w:ascii="Arial" w:hAnsi="Arial" w:cs="Arial"/>
          <w:sz w:val="18"/>
          <w:szCs w:val="18"/>
        </w:rPr>
        <w:t>48</w:t>
      </w:r>
      <w:r>
        <w:rPr>
          <w:rFonts w:ascii="Arial" w:hAnsi="Arial" w:cs="Arial"/>
          <w:sz w:val="18"/>
          <w:szCs w:val="18"/>
        </w:rPr>
        <w:t>%.</w:t>
      </w:r>
    </w:p>
    <w:p w14:paraId="08FC2D1E" w14:textId="77777777" w:rsidR="008C10B0" w:rsidRPr="0073056A" w:rsidRDefault="008C10B0"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6F5625B0" w14:textId="05A1D741"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86245D">
        <w:rPr>
          <w:rFonts w:ascii="Arial" w:hAnsi="Arial" w:cs="Arial"/>
          <w:sz w:val="18"/>
          <w:szCs w:val="18"/>
        </w:rPr>
        <w:t>7</w:t>
      </w:r>
      <w:r>
        <w:rPr>
          <w:rFonts w:ascii="Arial" w:hAnsi="Arial" w:cs="Arial"/>
          <w:sz w:val="18"/>
          <w:szCs w:val="18"/>
        </w:rPr>
        <w:t>,</w:t>
      </w:r>
      <w:r w:rsidR="0086245D">
        <w:rPr>
          <w:rFonts w:ascii="Arial" w:hAnsi="Arial" w:cs="Arial"/>
          <w:sz w:val="18"/>
          <w:szCs w:val="18"/>
        </w:rPr>
        <w:t>476</w:t>
      </w:r>
      <w:r>
        <w:rPr>
          <w:rFonts w:ascii="Arial" w:hAnsi="Arial" w:cs="Arial"/>
          <w:sz w:val="18"/>
          <w:szCs w:val="18"/>
        </w:rPr>
        <w:t>,</w:t>
      </w:r>
      <w:r w:rsidR="0086245D">
        <w:rPr>
          <w:rFonts w:ascii="Arial" w:hAnsi="Arial" w:cs="Arial"/>
          <w:sz w:val="18"/>
          <w:szCs w:val="18"/>
        </w:rPr>
        <w:t>396</w:t>
      </w:r>
      <w:r>
        <w:rPr>
          <w:rFonts w:ascii="Arial" w:hAnsi="Arial" w:cs="Arial"/>
          <w:sz w:val="18"/>
          <w:szCs w:val="18"/>
        </w:rPr>
        <w:t>,</w:t>
      </w:r>
      <w:r w:rsidR="0086245D">
        <w:rPr>
          <w:rFonts w:ascii="Arial" w:hAnsi="Arial" w:cs="Arial"/>
          <w:sz w:val="18"/>
          <w:szCs w:val="18"/>
        </w:rPr>
        <w:t>433</w:t>
      </w:r>
      <w:r>
        <w:rPr>
          <w:rFonts w:ascii="Arial" w:hAnsi="Arial" w:cs="Arial"/>
          <w:sz w:val="18"/>
          <w:szCs w:val="18"/>
        </w:rPr>
        <w:t>, siendo el rubro más importante el Fondo General de Participaciones ya que representa el 7</w:t>
      </w:r>
      <w:r w:rsidR="0086245D">
        <w:rPr>
          <w:rFonts w:ascii="Arial" w:hAnsi="Arial" w:cs="Arial"/>
          <w:sz w:val="18"/>
          <w:szCs w:val="18"/>
        </w:rPr>
        <w:t>4</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22D59585"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86245D">
        <w:rPr>
          <w:rFonts w:ascii="Arial" w:hAnsi="Arial" w:cs="Arial"/>
          <w:sz w:val="18"/>
          <w:szCs w:val="18"/>
        </w:rPr>
        <w:t>juni</w:t>
      </w:r>
      <w:r w:rsidR="009B7AB2">
        <w:rPr>
          <w:rFonts w:ascii="Arial" w:hAnsi="Arial" w:cs="Arial"/>
          <w:sz w:val="18"/>
          <w:szCs w:val="18"/>
        </w:rPr>
        <w:t>o</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86245D"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5370160"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5A3CC938" w14:textId="0DD31337"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2,590,566,450 </w:t>
            </w:r>
          </w:p>
        </w:tc>
        <w:tc>
          <w:tcPr>
            <w:tcW w:w="1371" w:type="dxa"/>
            <w:tcBorders>
              <w:top w:val="nil"/>
              <w:left w:val="nil"/>
              <w:bottom w:val="single" w:sz="8" w:space="0" w:color="auto"/>
              <w:right w:val="single" w:sz="8" w:space="0" w:color="auto"/>
            </w:tcBorders>
            <w:shd w:val="clear" w:color="auto" w:fill="auto"/>
            <w:noWrap/>
            <w:vAlign w:val="center"/>
          </w:tcPr>
          <w:p w14:paraId="6900413C" w14:textId="3220DD6F"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44.91</w:t>
            </w:r>
          </w:p>
        </w:tc>
      </w:tr>
      <w:tr w:rsidR="0086245D"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08D3E9E"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55A81E3F" w14:textId="6B3DC6CB"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591,663,061 </w:t>
            </w:r>
          </w:p>
        </w:tc>
        <w:tc>
          <w:tcPr>
            <w:tcW w:w="1371" w:type="dxa"/>
            <w:tcBorders>
              <w:top w:val="nil"/>
              <w:left w:val="nil"/>
              <w:bottom w:val="single" w:sz="8" w:space="0" w:color="auto"/>
              <w:right w:val="single" w:sz="8" w:space="0" w:color="auto"/>
            </w:tcBorders>
            <w:shd w:val="clear" w:color="auto" w:fill="auto"/>
            <w:noWrap/>
            <w:vAlign w:val="center"/>
          </w:tcPr>
          <w:p w14:paraId="2D9D317A" w14:textId="765066A3"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0.26</w:t>
            </w:r>
          </w:p>
        </w:tc>
      </w:tr>
      <w:tr w:rsidR="0086245D"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EBF43D1" w14:textId="2A53E745"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shd w:val="clear" w:color="auto" w:fill="auto"/>
            <w:noWrap/>
            <w:vAlign w:val="center"/>
          </w:tcPr>
          <w:p w14:paraId="0A99A144" w14:textId="71E12F8B"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795,061,777 </w:t>
            </w:r>
          </w:p>
        </w:tc>
        <w:tc>
          <w:tcPr>
            <w:tcW w:w="1371" w:type="dxa"/>
            <w:tcBorders>
              <w:top w:val="nil"/>
              <w:left w:val="nil"/>
              <w:bottom w:val="single" w:sz="8" w:space="0" w:color="auto"/>
              <w:right w:val="single" w:sz="8" w:space="0" w:color="auto"/>
            </w:tcBorders>
            <w:shd w:val="clear" w:color="auto" w:fill="auto"/>
            <w:noWrap/>
            <w:vAlign w:val="center"/>
          </w:tcPr>
          <w:p w14:paraId="42CC6D51" w14:textId="73F02CF2"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3.78</w:t>
            </w:r>
          </w:p>
        </w:tc>
      </w:tr>
      <w:tr w:rsidR="0086245D"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C57EC2"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5B9CC5B8" w14:textId="33AA4F89"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695,999,846 </w:t>
            </w:r>
          </w:p>
        </w:tc>
        <w:tc>
          <w:tcPr>
            <w:tcW w:w="1371" w:type="dxa"/>
            <w:tcBorders>
              <w:top w:val="nil"/>
              <w:left w:val="nil"/>
              <w:bottom w:val="single" w:sz="8" w:space="0" w:color="auto"/>
              <w:right w:val="single" w:sz="8" w:space="0" w:color="auto"/>
            </w:tcBorders>
            <w:shd w:val="clear" w:color="auto" w:fill="auto"/>
            <w:noWrap/>
            <w:vAlign w:val="center"/>
          </w:tcPr>
          <w:p w14:paraId="285A1D9B" w14:textId="1ACC5DF2"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2.06</w:t>
            </w:r>
          </w:p>
        </w:tc>
      </w:tr>
      <w:tr w:rsidR="0086245D"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68423B3" w14:textId="1A16B074"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shd w:val="clear" w:color="auto" w:fill="auto"/>
            <w:noWrap/>
            <w:vAlign w:val="center"/>
          </w:tcPr>
          <w:p w14:paraId="365A5E66" w14:textId="26CFAC34"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63,406,319 </w:t>
            </w:r>
          </w:p>
        </w:tc>
        <w:tc>
          <w:tcPr>
            <w:tcW w:w="1371" w:type="dxa"/>
            <w:tcBorders>
              <w:top w:val="nil"/>
              <w:left w:val="nil"/>
              <w:bottom w:val="single" w:sz="8" w:space="0" w:color="auto"/>
              <w:right w:val="single" w:sz="8" w:space="0" w:color="auto"/>
            </w:tcBorders>
            <w:shd w:val="clear" w:color="auto" w:fill="auto"/>
            <w:noWrap/>
            <w:vAlign w:val="center"/>
          </w:tcPr>
          <w:p w14:paraId="43E436C3" w14:textId="4334814C"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10</w:t>
            </w:r>
          </w:p>
        </w:tc>
      </w:tr>
      <w:tr w:rsidR="0086245D"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2DC022" w14:textId="74A3B53F"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3530BF01" w14:textId="1C1C9062"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123,994,107 </w:t>
            </w:r>
          </w:p>
        </w:tc>
        <w:tc>
          <w:tcPr>
            <w:tcW w:w="1371" w:type="dxa"/>
            <w:tcBorders>
              <w:top w:val="nil"/>
              <w:left w:val="nil"/>
              <w:bottom w:val="single" w:sz="8" w:space="0" w:color="auto"/>
              <w:right w:val="single" w:sz="8" w:space="0" w:color="auto"/>
            </w:tcBorders>
            <w:shd w:val="clear" w:color="auto" w:fill="auto"/>
            <w:noWrap/>
            <w:vAlign w:val="center"/>
          </w:tcPr>
          <w:p w14:paraId="2A1C5D5C" w14:textId="1D94CADA"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w:t>
            </w:r>
            <w:r w:rsidR="00066115">
              <w:rPr>
                <w:rFonts w:ascii="Arial" w:hAnsi="Arial" w:cs="Arial"/>
                <w:color w:val="000000"/>
                <w:sz w:val="18"/>
                <w:szCs w:val="18"/>
              </w:rPr>
              <w:t>15</w:t>
            </w:r>
          </w:p>
        </w:tc>
      </w:tr>
      <w:tr w:rsidR="0086245D"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2E46C46" w14:textId="737BFFEB"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201AACAC" w14:textId="1E496E3E"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392,631,362 </w:t>
            </w:r>
          </w:p>
        </w:tc>
        <w:tc>
          <w:tcPr>
            <w:tcW w:w="1371" w:type="dxa"/>
            <w:tcBorders>
              <w:top w:val="nil"/>
              <w:left w:val="nil"/>
              <w:bottom w:val="single" w:sz="8" w:space="0" w:color="auto"/>
              <w:right w:val="single" w:sz="8" w:space="0" w:color="auto"/>
            </w:tcBorders>
            <w:shd w:val="clear" w:color="auto" w:fill="auto"/>
            <w:noWrap/>
            <w:vAlign w:val="center"/>
          </w:tcPr>
          <w:p w14:paraId="3A5F03E6" w14:textId="2D1B1583"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6.81</w:t>
            </w:r>
          </w:p>
        </w:tc>
      </w:tr>
      <w:tr w:rsidR="0086245D"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5AD38B0"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51647F1E" w14:textId="4536DA33"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515,371,638 </w:t>
            </w:r>
          </w:p>
        </w:tc>
        <w:tc>
          <w:tcPr>
            <w:tcW w:w="1371" w:type="dxa"/>
            <w:tcBorders>
              <w:top w:val="nil"/>
              <w:left w:val="nil"/>
              <w:bottom w:val="single" w:sz="8" w:space="0" w:color="auto"/>
              <w:right w:val="single" w:sz="8" w:space="0" w:color="auto"/>
            </w:tcBorders>
            <w:shd w:val="clear" w:color="auto" w:fill="auto"/>
            <w:noWrap/>
            <w:vAlign w:val="center"/>
          </w:tcPr>
          <w:p w14:paraId="176D912B" w14:textId="2A49CC32"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8.93</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5C04E848" w14:textId="2FFD391A" w:rsidR="008C10B0" w:rsidRPr="000534C6" w:rsidRDefault="00066115"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768</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694</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560</w:t>
            </w:r>
          </w:p>
        </w:tc>
        <w:tc>
          <w:tcPr>
            <w:tcW w:w="1371" w:type="dxa"/>
            <w:tcBorders>
              <w:top w:val="nil"/>
              <w:left w:val="nil"/>
              <w:bottom w:val="single" w:sz="8" w:space="0" w:color="auto"/>
              <w:right w:val="single" w:sz="8" w:space="0" w:color="auto"/>
            </w:tcBorders>
            <w:shd w:val="clear" w:color="auto" w:fill="auto"/>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6955EF46"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A6220">
        <w:rPr>
          <w:rFonts w:ascii="Arial" w:hAnsi="Arial" w:cs="Arial"/>
          <w:sz w:val="18"/>
          <w:szCs w:val="18"/>
        </w:rPr>
        <w:t>junio</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A6220">
        <w:rPr>
          <w:rFonts w:ascii="Arial" w:hAnsi="Arial" w:cs="Arial"/>
          <w:sz w:val="18"/>
          <w:szCs w:val="18"/>
        </w:rPr>
        <w:t>1</w:t>
      </w:r>
      <w:r w:rsidR="00732D19">
        <w:rPr>
          <w:rFonts w:ascii="Arial" w:hAnsi="Arial" w:cs="Arial"/>
          <w:sz w:val="18"/>
          <w:szCs w:val="18"/>
        </w:rPr>
        <w:t>,</w:t>
      </w:r>
      <w:r w:rsidR="009A6220">
        <w:rPr>
          <w:rFonts w:ascii="Arial" w:hAnsi="Arial" w:cs="Arial"/>
          <w:sz w:val="18"/>
          <w:szCs w:val="18"/>
        </w:rPr>
        <w:t>41</w:t>
      </w:r>
      <w:r w:rsidR="00732D19">
        <w:rPr>
          <w:rFonts w:ascii="Arial" w:hAnsi="Arial" w:cs="Arial"/>
          <w:sz w:val="18"/>
          <w:szCs w:val="18"/>
        </w:rPr>
        <w:t>1,</w:t>
      </w:r>
      <w:r w:rsidR="009A6220">
        <w:rPr>
          <w:rFonts w:ascii="Arial" w:hAnsi="Arial" w:cs="Arial"/>
          <w:sz w:val="18"/>
          <w:szCs w:val="18"/>
        </w:rPr>
        <w:t>697</w:t>
      </w:r>
      <w:r w:rsidR="00732D19">
        <w:rPr>
          <w:rFonts w:ascii="Arial" w:hAnsi="Arial" w:cs="Arial"/>
          <w:sz w:val="18"/>
          <w:szCs w:val="18"/>
        </w:rPr>
        <w:t>,</w:t>
      </w:r>
      <w:r w:rsidR="009A6220">
        <w:rPr>
          <w:rFonts w:ascii="Arial" w:hAnsi="Arial" w:cs="Arial"/>
          <w:sz w:val="18"/>
          <w:szCs w:val="18"/>
        </w:rPr>
        <w:t>773</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191EF0AA"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del </w:t>
      </w:r>
      <w:r w:rsidR="009A6220">
        <w:rPr>
          <w:rFonts w:ascii="Arial" w:hAnsi="Arial" w:cs="Arial"/>
          <w:sz w:val="18"/>
          <w:szCs w:val="18"/>
        </w:rPr>
        <w:t>segundo</w:t>
      </w:r>
      <w:r>
        <w:rPr>
          <w:rFonts w:ascii="Arial" w:hAnsi="Arial" w:cs="Arial"/>
          <w:sz w:val="18"/>
          <w:szCs w:val="18"/>
        </w:rPr>
        <w:t xml:space="preserve"> trimestre del ejercicio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xml:space="preserve">, lo que ha redundado en ahorros significativos al disminuir la duplicidad de funciones y reducir las estructuras administrativas, teniéndose al mes de </w:t>
      </w:r>
      <w:r w:rsidR="009A6220">
        <w:rPr>
          <w:rFonts w:ascii="Arial" w:hAnsi="Arial" w:cs="Arial"/>
          <w:sz w:val="18"/>
          <w:szCs w:val="18"/>
        </w:rPr>
        <w:t>junio</w:t>
      </w:r>
      <w:r>
        <w:rPr>
          <w:rFonts w:ascii="Arial" w:hAnsi="Arial" w:cs="Arial"/>
          <w:sz w:val="18"/>
          <w:szCs w:val="18"/>
        </w:rPr>
        <w:t xml:space="preserve"> por este concepto un monto de $</w:t>
      </w:r>
      <w:r w:rsidR="009A6220">
        <w:rPr>
          <w:rFonts w:ascii="Arial" w:hAnsi="Arial" w:cs="Arial"/>
          <w:sz w:val="18"/>
          <w:szCs w:val="18"/>
        </w:rPr>
        <w:t>1,665</w:t>
      </w:r>
      <w:r w:rsidR="00732D19">
        <w:rPr>
          <w:rFonts w:ascii="Arial" w:hAnsi="Arial" w:cs="Arial"/>
          <w:sz w:val="18"/>
          <w:szCs w:val="18"/>
        </w:rPr>
        <w:t>,</w:t>
      </w:r>
      <w:r w:rsidR="009A6220">
        <w:rPr>
          <w:rFonts w:ascii="Arial" w:hAnsi="Arial" w:cs="Arial"/>
          <w:sz w:val="18"/>
          <w:szCs w:val="18"/>
        </w:rPr>
        <w:t>082</w:t>
      </w:r>
      <w:r w:rsidR="00732D19">
        <w:rPr>
          <w:rFonts w:ascii="Arial" w:hAnsi="Arial" w:cs="Arial"/>
          <w:sz w:val="18"/>
          <w:szCs w:val="18"/>
        </w:rPr>
        <w:t>,4</w:t>
      </w:r>
      <w:r w:rsidR="009A6220">
        <w:rPr>
          <w:rFonts w:ascii="Arial" w:hAnsi="Arial" w:cs="Arial"/>
          <w:sz w:val="18"/>
          <w:szCs w:val="18"/>
        </w:rPr>
        <w:t>7</w:t>
      </w:r>
      <w:r w:rsidR="00732D19">
        <w:rPr>
          <w:rFonts w:ascii="Arial" w:hAnsi="Arial" w:cs="Arial"/>
          <w:sz w:val="18"/>
          <w:szCs w:val="18"/>
        </w:rPr>
        <w:t>6</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9A6220">
        <w:rPr>
          <w:rFonts w:ascii="Arial" w:hAnsi="Arial" w:cs="Arial"/>
          <w:sz w:val="18"/>
          <w:szCs w:val="18"/>
        </w:rPr>
        <w:t>49</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177FE95A"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32D19">
        <w:rPr>
          <w:rFonts w:ascii="Arial" w:hAnsi="Arial" w:cs="Arial"/>
          <w:sz w:val="18"/>
          <w:szCs w:val="18"/>
        </w:rPr>
        <w:t>9</w:t>
      </w:r>
      <w:r w:rsidR="009A6220">
        <w:rPr>
          <w:rFonts w:ascii="Arial" w:hAnsi="Arial" w:cs="Arial"/>
          <w:sz w:val="18"/>
          <w:szCs w:val="18"/>
        </w:rPr>
        <w:t>4</w:t>
      </w:r>
      <w:r>
        <w:rPr>
          <w:rFonts w:ascii="Arial" w:hAnsi="Arial" w:cs="Arial"/>
          <w:sz w:val="18"/>
          <w:szCs w:val="18"/>
        </w:rPr>
        <w:t>,</w:t>
      </w:r>
      <w:r w:rsidR="009A6220">
        <w:rPr>
          <w:rFonts w:ascii="Arial" w:hAnsi="Arial" w:cs="Arial"/>
          <w:sz w:val="18"/>
          <w:szCs w:val="18"/>
        </w:rPr>
        <w:t>333</w:t>
      </w:r>
      <w:r>
        <w:rPr>
          <w:rFonts w:ascii="Arial" w:hAnsi="Arial" w:cs="Arial"/>
          <w:sz w:val="18"/>
          <w:szCs w:val="18"/>
        </w:rPr>
        <w:t>,</w:t>
      </w:r>
      <w:r w:rsidR="009A6220">
        <w:rPr>
          <w:rFonts w:ascii="Arial" w:hAnsi="Arial" w:cs="Arial"/>
          <w:sz w:val="18"/>
          <w:szCs w:val="18"/>
        </w:rPr>
        <w:t>676</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220B613E"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D62491">
        <w:rPr>
          <w:rFonts w:ascii="Arial" w:hAnsi="Arial" w:cs="Arial"/>
          <w:sz w:val="18"/>
          <w:szCs w:val="18"/>
        </w:rPr>
        <w:t>junio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D62491">
        <w:rPr>
          <w:rFonts w:ascii="Arial" w:hAnsi="Arial" w:cs="Arial"/>
          <w:sz w:val="18"/>
          <w:szCs w:val="18"/>
        </w:rPr>
        <w:t>1</w:t>
      </w:r>
      <w:r w:rsidR="00732D19">
        <w:rPr>
          <w:rFonts w:ascii="Arial" w:hAnsi="Arial" w:cs="Arial"/>
          <w:sz w:val="18"/>
          <w:szCs w:val="18"/>
        </w:rPr>
        <w:t>49</w:t>
      </w:r>
      <w:r>
        <w:rPr>
          <w:rFonts w:ascii="Arial" w:hAnsi="Arial" w:cs="Arial"/>
          <w:sz w:val="18"/>
          <w:szCs w:val="18"/>
        </w:rPr>
        <w:t>,</w:t>
      </w:r>
      <w:r w:rsidR="00732D19">
        <w:rPr>
          <w:rFonts w:ascii="Arial" w:hAnsi="Arial" w:cs="Arial"/>
          <w:sz w:val="18"/>
          <w:szCs w:val="18"/>
        </w:rPr>
        <w:t>1</w:t>
      </w:r>
      <w:r w:rsidR="00D62491">
        <w:rPr>
          <w:rFonts w:ascii="Arial" w:hAnsi="Arial" w:cs="Arial"/>
          <w:sz w:val="18"/>
          <w:szCs w:val="18"/>
        </w:rPr>
        <w:t>23</w:t>
      </w:r>
      <w:r>
        <w:rPr>
          <w:rFonts w:ascii="Arial" w:hAnsi="Arial" w:cs="Arial"/>
          <w:sz w:val="18"/>
          <w:szCs w:val="18"/>
        </w:rPr>
        <w:t>,</w:t>
      </w:r>
      <w:r w:rsidR="00D62491">
        <w:rPr>
          <w:rFonts w:ascii="Arial" w:hAnsi="Arial" w:cs="Arial"/>
          <w:sz w:val="18"/>
          <w:szCs w:val="18"/>
        </w:rPr>
        <w:t>828</w:t>
      </w:r>
      <w:r w:rsidRPr="0073056A">
        <w:rPr>
          <w:rFonts w:ascii="Arial" w:hAnsi="Arial" w:cs="Arial"/>
          <w:sz w:val="18"/>
          <w:szCs w:val="18"/>
        </w:rPr>
        <w:t>.</w:t>
      </w:r>
      <w:r>
        <w:rPr>
          <w:rFonts w:ascii="Arial" w:hAnsi="Arial" w:cs="Arial"/>
          <w:sz w:val="18"/>
          <w:szCs w:val="18"/>
        </w:rPr>
        <w:t xml:space="preserve"> Lo que representa un </w:t>
      </w:r>
      <w:r w:rsidR="00732D19">
        <w:rPr>
          <w:rFonts w:ascii="Arial" w:hAnsi="Arial" w:cs="Arial"/>
          <w:sz w:val="18"/>
          <w:szCs w:val="18"/>
        </w:rPr>
        <w:t>de</w:t>
      </w:r>
      <w:r>
        <w:rPr>
          <w:rFonts w:ascii="Arial" w:hAnsi="Arial" w:cs="Arial"/>
          <w:sz w:val="18"/>
          <w:szCs w:val="18"/>
        </w:rPr>
        <w:t xml:space="preserve">cremento del </w:t>
      </w:r>
      <w:r w:rsidR="00D62491">
        <w:rPr>
          <w:rFonts w:ascii="Arial" w:hAnsi="Arial" w:cs="Arial"/>
          <w:sz w:val="18"/>
          <w:szCs w:val="18"/>
        </w:rPr>
        <w:t>76</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71C402E8"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0B32C6">
        <w:rPr>
          <w:rFonts w:ascii="Arial" w:hAnsi="Arial" w:cs="Arial"/>
          <w:sz w:val="18"/>
          <w:szCs w:val="18"/>
        </w:rPr>
        <w:t>juni</w:t>
      </w:r>
      <w:r w:rsidR="00732D19">
        <w:rPr>
          <w:rFonts w:ascii="Arial" w:hAnsi="Arial" w:cs="Arial"/>
          <w:sz w:val="18"/>
          <w:szCs w:val="18"/>
        </w:rPr>
        <w:t>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0B32C6">
        <w:rPr>
          <w:rFonts w:ascii="Arial" w:hAnsi="Arial" w:cs="Arial"/>
          <w:sz w:val="18"/>
          <w:szCs w:val="18"/>
        </w:rPr>
        <w:t>7</w:t>
      </w:r>
      <w:r>
        <w:rPr>
          <w:rFonts w:ascii="Arial" w:hAnsi="Arial" w:cs="Arial"/>
          <w:sz w:val="18"/>
          <w:szCs w:val="18"/>
        </w:rPr>
        <w:t>,</w:t>
      </w:r>
      <w:r w:rsidR="000B32C6">
        <w:rPr>
          <w:rFonts w:ascii="Arial" w:hAnsi="Arial" w:cs="Arial"/>
          <w:sz w:val="18"/>
          <w:szCs w:val="18"/>
        </w:rPr>
        <w:t>94</w:t>
      </w:r>
      <w:r w:rsidR="00732D19">
        <w:rPr>
          <w:rFonts w:ascii="Arial" w:hAnsi="Arial" w:cs="Arial"/>
          <w:sz w:val="18"/>
          <w:szCs w:val="18"/>
        </w:rPr>
        <w:t>5</w:t>
      </w:r>
      <w:r>
        <w:rPr>
          <w:rFonts w:ascii="Arial" w:hAnsi="Arial" w:cs="Arial"/>
          <w:sz w:val="18"/>
          <w:szCs w:val="18"/>
        </w:rPr>
        <w:t>,</w:t>
      </w:r>
      <w:r w:rsidR="000B32C6">
        <w:rPr>
          <w:rFonts w:ascii="Arial" w:hAnsi="Arial" w:cs="Arial"/>
          <w:sz w:val="18"/>
          <w:szCs w:val="18"/>
        </w:rPr>
        <w:t>902</w:t>
      </w:r>
      <w:r>
        <w:rPr>
          <w:rFonts w:ascii="Arial" w:hAnsi="Arial" w:cs="Arial"/>
          <w:sz w:val="18"/>
          <w:szCs w:val="18"/>
        </w:rPr>
        <w:t>,</w:t>
      </w:r>
      <w:r w:rsidR="000B32C6">
        <w:rPr>
          <w:rFonts w:ascii="Arial" w:hAnsi="Arial" w:cs="Arial"/>
          <w:sz w:val="18"/>
          <w:szCs w:val="18"/>
        </w:rPr>
        <w:t>828</w:t>
      </w:r>
      <w:r w:rsidR="008655F4">
        <w:rPr>
          <w:rFonts w:ascii="Arial" w:hAnsi="Arial" w:cs="Arial"/>
          <w:sz w:val="18"/>
          <w:szCs w:val="18"/>
        </w:rPr>
        <w:t xml:space="preserve">, observando un decremento del </w:t>
      </w:r>
      <w:r w:rsidR="000B32C6">
        <w:rPr>
          <w:rFonts w:ascii="Arial" w:hAnsi="Arial" w:cs="Arial"/>
          <w:sz w:val="18"/>
          <w:szCs w:val="18"/>
        </w:rPr>
        <w:t>43</w:t>
      </w:r>
      <w:r w:rsidR="008655F4">
        <w:rPr>
          <w:rFonts w:ascii="Arial" w:hAnsi="Arial" w:cs="Arial"/>
          <w:sz w:val="18"/>
          <w:szCs w:val="18"/>
        </w:rPr>
        <w:t>%, respecto del ejercicio 2024.</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4A79D7C8" w14:textId="6E430FE9"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0B32C6">
        <w:rPr>
          <w:rFonts w:ascii="Arial" w:hAnsi="Arial" w:cs="Arial"/>
          <w:sz w:val="18"/>
          <w:szCs w:val="18"/>
        </w:rPr>
        <w:t>juni</w:t>
      </w:r>
      <w:r w:rsidR="008655F4">
        <w:rPr>
          <w:rFonts w:ascii="Arial" w:hAnsi="Arial" w:cs="Arial"/>
          <w:sz w:val="18"/>
          <w:szCs w:val="18"/>
        </w:rPr>
        <w:t>o</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0B32C6">
        <w:rPr>
          <w:rFonts w:ascii="Arial" w:hAnsi="Arial" w:cs="Arial"/>
          <w:sz w:val="18"/>
          <w:szCs w:val="18"/>
        </w:rPr>
        <w:t>2</w:t>
      </w:r>
      <w:r>
        <w:rPr>
          <w:rFonts w:ascii="Arial" w:hAnsi="Arial" w:cs="Arial"/>
          <w:sz w:val="18"/>
          <w:szCs w:val="18"/>
        </w:rPr>
        <w:t>,</w:t>
      </w:r>
      <w:r w:rsidR="008655F4">
        <w:rPr>
          <w:rFonts w:ascii="Arial" w:hAnsi="Arial" w:cs="Arial"/>
          <w:sz w:val="18"/>
          <w:szCs w:val="18"/>
        </w:rPr>
        <w:t>8</w:t>
      </w:r>
      <w:r w:rsidR="000B32C6">
        <w:rPr>
          <w:rFonts w:ascii="Arial" w:hAnsi="Arial" w:cs="Arial"/>
          <w:sz w:val="18"/>
          <w:szCs w:val="18"/>
        </w:rPr>
        <w:t>97</w:t>
      </w:r>
      <w:r>
        <w:rPr>
          <w:rFonts w:ascii="Arial" w:hAnsi="Arial" w:cs="Arial"/>
          <w:sz w:val="18"/>
          <w:szCs w:val="18"/>
        </w:rPr>
        <w:t>,</w:t>
      </w:r>
      <w:r w:rsidR="000B32C6">
        <w:rPr>
          <w:rFonts w:ascii="Arial" w:hAnsi="Arial" w:cs="Arial"/>
          <w:sz w:val="18"/>
          <w:szCs w:val="18"/>
        </w:rPr>
        <w:t>916</w:t>
      </w:r>
      <w:r>
        <w:rPr>
          <w:rFonts w:ascii="Arial" w:hAnsi="Arial" w:cs="Arial"/>
          <w:sz w:val="18"/>
          <w:szCs w:val="18"/>
        </w:rPr>
        <w:t>,</w:t>
      </w:r>
      <w:r w:rsidR="000B32C6">
        <w:rPr>
          <w:rFonts w:ascii="Arial" w:hAnsi="Arial" w:cs="Arial"/>
          <w:sz w:val="18"/>
          <w:szCs w:val="18"/>
        </w:rPr>
        <w:t>808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0B32C6">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0B32C6">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0B32C6">
        <w:rPr>
          <w:rFonts w:ascii="Arial" w:hAnsi="Arial" w:cs="Arial"/>
          <w:sz w:val="18"/>
          <w:szCs w:val="18"/>
        </w:rPr>
        <w:t>juni</w:t>
      </w:r>
      <w:r w:rsidR="008655F4">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marginalmente </w:t>
      </w:r>
      <w:r w:rsidR="000B32C6">
        <w:rPr>
          <w:rFonts w:ascii="Arial" w:hAnsi="Arial" w:cs="Arial"/>
          <w:sz w:val="18"/>
          <w:szCs w:val="18"/>
        </w:rPr>
        <w:t>positiva</w:t>
      </w:r>
      <w:r>
        <w:rPr>
          <w:rFonts w:ascii="Arial" w:hAnsi="Arial" w:cs="Arial"/>
          <w:sz w:val="18"/>
          <w:szCs w:val="18"/>
        </w:rPr>
        <w:t xml:space="preserve">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0E121B9D"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8655F4">
        <w:rPr>
          <w:rFonts w:ascii="Arial" w:hAnsi="Arial" w:cs="Arial"/>
          <w:sz w:val="18"/>
          <w:szCs w:val="18"/>
        </w:rPr>
        <w:t>4</w:t>
      </w:r>
      <w:r>
        <w:rPr>
          <w:rFonts w:ascii="Arial" w:hAnsi="Arial" w:cs="Arial"/>
          <w:sz w:val="18"/>
          <w:szCs w:val="18"/>
        </w:rPr>
        <w:t>,</w:t>
      </w:r>
      <w:r w:rsidR="000B32C6">
        <w:rPr>
          <w:rFonts w:ascii="Arial" w:hAnsi="Arial" w:cs="Arial"/>
          <w:sz w:val="18"/>
          <w:szCs w:val="18"/>
        </w:rPr>
        <w:t>908</w:t>
      </w:r>
      <w:r>
        <w:rPr>
          <w:rFonts w:ascii="Arial" w:hAnsi="Arial" w:cs="Arial"/>
          <w:sz w:val="18"/>
          <w:szCs w:val="18"/>
        </w:rPr>
        <w:t>,</w:t>
      </w:r>
      <w:r w:rsidR="000B32C6">
        <w:rPr>
          <w:rFonts w:ascii="Arial" w:hAnsi="Arial" w:cs="Arial"/>
          <w:sz w:val="18"/>
          <w:szCs w:val="18"/>
        </w:rPr>
        <w:t>754</w:t>
      </w:r>
      <w:r>
        <w:rPr>
          <w:rFonts w:ascii="Arial" w:hAnsi="Arial" w:cs="Arial"/>
          <w:sz w:val="18"/>
          <w:szCs w:val="18"/>
        </w:rPr>
        <w:t>,</w:t>
      </w:r>
      <w:r w:rsidR="000B32C6">
        <w:rPr>
          <w:rFonts w:ascii="Arial" w:hAnsi="Arial" w:cs="Arial"/>
          <w:sz w:val="18"/>
          <w:szCs w:val="18"/>
        </w:rPr>
        <w:t>437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B32C6">
        <w:rPr>
          <w:rFonts w:ascii="Arial" w:hAnsi="Arial" w:cs="Arial"/>
          <w:sz w:val="18"/>
          <w:szCs w:val="18"/>
        </w:rPr>
        <w:t>Segundo</w:t>
      </w:r>
      <w:r>
        <w:rPr>
          <w:rFonts w:ascii="Arial" w:hAnsi="Arial" w:cs="Arial"/>
          <w:sz w:val="18"/>
          <w:szCs w:val="18"/>
        </w:rPr>
        <w:t xml:space="preserve"> Ajuste Trimestral 202</w:t>
      </w:r>
      <w:r w:rsidR="008655F4">
        <w:rPr>
          <w:rFonts w:ascii="Arial" w:hAnsi="Arial" w:cs="Arial"/>
          <w:sz w:val="18"/>
          <w:szCs w:val="18"/>
        </w:rPr>
        <w:t>5</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0B32C6">
        <w:rPr>
          <w:rFonts w:ascii="Arial" w:hAnsi="Arial" w:cs="Arial"/>
          <w:sz w:val="18"/>
          <w:szCs w:val="18"/>
        </w:rPr>
        <w:t>1,771</w:t>
      </w:r>
      <w:r>
        <w:rPr>
          <w:rFonts w:ascii="Arial" w:hAnsi="Arial" w:cs="Arial"/>
          <w:sz w:val="18"/>
          <w:szCs w:val="18"/>
        </w:rPr>
        <w:t>,</w:t>
      </w:r>
      <w:r w:rsidR="000B32C6">
        <w:rPr>
          <w:rFonts w:ascii="Arial" w:hAnsi="Arial" w:cs="Arial"/>
          <w:sz w:val="18"/>
          <w:szCs w:val="18"/>
        </w:rPr>
        <w:t>212</w:t>
      </w:r>
      <w:r>
        <w:rPr>
          <w:rFonts w:ascii="Arial" w:hAnsi="Arial" w:cs="Arial"/>
          <w:sz w:val="18"/>
          <w:szCs w:val="18"/>
        </w:rPr>
        <w:t>,</w:t>
      </w:r>
      <w:r w:rsidR="000B32C6">
        <w:rPr>
          <w:rFonts w:ascii="Arial" w:hAnsi="Arial" w:cs="Arial"/>
          <w:sz w:val="18"/>
          <w:szCs w:val="18"/>
        </w:rPr>
        <w:t>433</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29ACC195"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sidR="003D0E2B">
        <w:rPr>
          <w:rFonts w:ascii="Arial" w:hAnsi="Arial" w:cs="Arial"/>
          <w:sz w:val="18"/>
          <w:szCs w:val="18"/>
        </w:rPr>
        <w:t>9</w:t>
      </w:r>
      <w:r>
        <w:rPr>
          <w:rFonts w:ascii="Arial" w:hAnsi="Arial" w:cs="Arial"/>
          <w:sz w:val="18"/>
          <w:szCs w:val="18"/>
        </w:rPr>
        <w:t>,</w:t>
      </w:r>
      <w:r w:rsidR="003D0E2B">
        <w:rPr>
          <w:rFonts w:ascii="Arial" w:hAnsi="Arial" w:cs="Arial"/>
          <w:sz w:val="18"/>
          <w:szCs w:val="18"/>
        </w:rPr>
        <w:t>284</w:t>
      </w:r>
      <w:r>
        <w:rPr>
          <w:rFonts w:ascii="Arial" w:hAnsi="Arial" w:cs="Arial"/>
          <w:sz w:val="18"/>
          <w:szCs w:val="18"/>
        </w:rPr>
        <w:t>,</w:t>
      </w:r>
      <w:r w:rsidR="003D0E2B">
        <w:rPr>
          <w:rFonts w:ascii="Arial" w:hAnsi="Arial" w:cs="Arial"/>
          <w:sz w:val="18"/>
          <w:szCs w:val="18"/>
        </w:rPr>
        <w:t>446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D0E2B">
        <w:rPr>
          <w:rFonts w:ascii="Arial" w:hAnsi="Arial" w:cs="Arial"/>
          <w:sz w:val="18"/>
          <w:szCs w:val="18"/>
        </w:rPr>
        <w:t>segundo</w:t>
      </w:r>
      <w:r w:rsidRPr="00F52C6D">
        <w:rPr>
          <w:rFonts w:ascii="Arial" w:hAnsi="Arial" w:cs="Arial"/>
          <w:sz w:val="18"/>
          <w:szCs w:val="18"/>
        </w:rPr>
        <w:t xml:space="preserve"> trimestre</w:t>
      </w:r>
      <w:r>
        <w:rPr>
          <w:rFonts w:ascii="Arial" w:hAnsi="Arial" w:cs="Arial"/>
          <w:sz w:val="18"/>
          <w:szCs w:val="18"/>
        </w:rPr>
        <w:t xml:space="preserve"> 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w:t>
      </w:r>
      <w:r w:rsidR="003D0E2B">
        <w:rPr>
          <w:rFonts w:ascii="Arial" w:hAnsi="Arial" w:cs="Arial"/>
          <w:sz w:val="18"/>
          <w:szCs w:val="18"/>
        </w:rPr>
        <w:t>enor</w:t>
      </w:r>
      <w:r>
        <w:rPr>
          <w:rFonts w:ascii="Arial" w:hAnsi="Arial" w:cs="Arial"/>
          <w:sz w:val="18"/>
          <w:szCs w:val="18"/>
        </w:rPr>
        <w:t xml:space="preserve"> en $</w:t>
      </w:r>
      <w:r w:rsidR="003D0E2B">
        <w:rPr>
          <w:rFonts w:ascii="Arial" w:hAnsi="Arial" w:cs="Arial"/>
          <w:sz w:val="18"/>
          <w:szCs w:val="18"/>
        </w:rPr>
        <w:t>26</w:t>
      </w:r>
      <w:r>
        <w:rPr>
          <w:rFonts w:ascii="Arial" w:hAnsi="Arial" w:cs="Arial"/>
          <w:sz w:val="18"/>
          <w:szCs w:val="18"/>
        </w:rPr>
        <w:t>,</w:t>
      </w:r>
      <w:r w:rsidR="003D0E2B">
        <w:rPr>
          <w:rFonts w:ascii="Arial" w:hAnsi="Arial" w:cs="Arial"/>
          <w:sz w:val="18"/>
          <w:szCs w:val="18"/>
        </w:rPr>
        <w:t>609</w:t>
      </w:r>
      <w:r>
        <w:rPr>
          <w:rFonts w:ascii="Arial" w:hAnsi="Arial" w:cs="Arial"/>
          <w:sz w:val="18"/>
          <w:szCs w:val="18"/>
        </w:rPr>
        <w:t>,</w:t>
      </w:r>
      <w:r w:rsidR="003D0E2B">
        <w:rPr>
          <w:rFonts w:ascii="Arial" w:hAnsi="Arial" w:cs="Arial"/>
          <w:sz w:val="18"/>
          <w:szCs w:val="18"/>
        </w:rPr>
        <w:t>942</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70F8554F"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454926">
        <w:rPr>
          <w:rFonts w:ascii="Arial" w:hAnsi="Arial" w:cs="Arial"/>
          <w:sz w:val="18"/>
          <w:szCs w:val="18"/>
        </w:rPr>
        <w:t>segundo</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3D0E2B">
        <w:rPr>
          <w:rFonts w:ascii="Arial" w:hAnsi="Arial" w:cs="Arial"/>
          <w:sz w:val="18"/>
          <w:szCs w:val="18"/>
        </w:rPr>
        <w:t>231,287,491</w:t>
      </w:r>
      <w:r>
        <w:rPr>
          <w:rFonts w:ascii="Arial" w:hAnsi="Arial" w:cs="Arial"/>
          <w:sz w:val="18"/>
          <w:szCs w:val="18"/>
        </w:rPr>
        <w:t xml:space="preserve">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78BEE69D"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3D0E2B">
        <w:rPr>
          <w:rFonts w:ascii="Arial" w:hAnsi="Arial" w:cs="Arial"/>
          <w:sz w:val="18"/>
          <w:szCs w:val="18"/>
        </w:rPr>
        <w:t>segundo</w:t>
      </w:r>
      <w:r>
        <w:rPr>
          <w:rFonts w:ascii="Arial" w:hAnsi="Arial" w:cs="Arial"/>
          <w:sz w:val="18"/>
          <w:szCs w:val="18"/>
        </w:rPr>
        <w:t xml:space="preserve"> trimestre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51D9C7BB"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3D0E2B">
        <w:rPr>
          <w:rFonts w:ascii="Arial" w:hAnsi="Arial" w:cs="Arial"/>
          <w:sz w:val="18"/>
          <w:szCs w:val="18"/>
        </w:rPr>
        <w:t>segundo</w:t>
      </w:r>
      <w:r>
        <w:rPr>
          <w:rFonts w:ascii="Arial" w:hAnsi="Arial" w:cs="Arial"/>
          <w:sz w:val="18"/>
          <w:szCs w:val="18"/>
        </w:rPr>
        <w:t xml:space="preserve"> trimestre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E328A2">
        <w:rPr>
          <w:rFonts w:ascii="Arial" w:hAnsi="Arial" w:cs="Arial"/>
          <w:sz w:val="18"/>
          <w:szCs w:val="18"/>
        </w:rPr>
        <w:t>4</w:t>
      </w:r>
      <w:r w:rsidR="003D0E2B">
        <w:rPr>
          <w:rFonts w:ascii="Arial" w:hAnsi="Arial" w:cs="Arial"/>
          <w:sz w:val="18"/>
          <w:szCs w:val="18"/>
        </w:rPr>
        <w:t>90</w:t>
      </w:r>
      <w:r>
        <w:rPr>
          <w:rFonts w:ascii="Arial" w:hAnsi="Arial" w:cs="Arial"/>
          <w:sz w:val="18"/>
          <w:szCs w:val="18"/>
        </w:rPr>
        <w:t>,</w:t>
      </w:r>
      <w:r w:rsidR="003D0E2B">
        <w:rPr>
          <w:rFonts w:ascii="Arial" w:hAnsi="Arial" w:cs="Arial"/>
          <w:sz w:val="18"/>
          <w:szCs w:val="18"/>
        </w:rPr>
        <w:t>947</w:t>
      </w:r>
      <w:r>
        <w:rPr>
          <w:rFonts w:ascii="Arial" w:hAnsi="Arial" w:cs="Arial"/>
          <w:sz w:val="18"/>
          <w:szCs w:val="18"/>
        </w:rPr>
        <w:t>,</w:t>
      </w:r>
      <w:r w:rsidR="003D0E2B">
        <w:rPr>
          <w:rFonts w:ascii="Arial" w:hAnsi="Arial" w:cs="Arial"/>
          <w:sz w:val="18"/>
          <w:szCs w:val="18"/>
        </w:rPr>
        <w:t>753</w:t>
      </w:r>
      <w:r>
        <w:rPr>
          <w:rFonts w:ascii="Arial" w:hAnsi="Arial" w:cs="Arial"/>
          <w:sz w:val="18"/>
          <w:szCs w:val="18"/>
        </w:rPr>
        <w:t>,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015A0B0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cierre del </w:t>
      </w:r>
      <w:r w:rsidR="00F138AE">
        <w:rPr>
          <w:rFonts w:ascii="Arial" w:hAnsi="Arial" w:cs="Arial"/>
          <w:sz w:val="18"/>
          <w:szCs w:val="18"/>
        </w:rPr>
        <w:t>segundo</w:t>
      </w:r>
      <w:r>
        <w:rPr>
          <w:rFonts w:ascii="Arial" w:hAnsi="Arial" w:cs="Arial"/>
          <w:sz w:val="18"/>
          <w:szCs w:val="18"/>
        </w:rPr>
        <w:t xml:space="preserve"> trimestre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3,36</w:t>
      </w:r>
      <w:r w:rsidR="00F138AE">
        <w:rPr>
          <w:rFonts w:ascii="Arial" w:hAnsi="Arial" w:cs="Arial"/>
          <w:sz w:val="18"/>
          <w:szCs w:val="18"/>
        </w:rPr>
        <w:t>4</w:t>
      </w:r>
      <w:r>
        <w:rPr>
          <w:rFonts w:ascii="Arial" w:hAnsi="Arial" w:cs="Arial"/>
          <w:sz w:val="18"/>
          <w:szCs w:val="18"/>
        </w:rPr>
        <w:t>,</w:t>
      </w:r>
      <w:r w:rsidR="00F138AE">
        <w:rPr>
          <w:rFonts w:ascii="Arial" w:hAnsi="Arial" w:cs="Arial"/>
          <w:sz w:val="18"/>
          <w:szCs w:val="18"/>
        </w:rPr>
        <w:t>219</w:t>
      </w:r>
      <w:r>
        <w:rPr>
          <w:rFonts w:ascii="Arial" w:hAnsi="Arial" w:cs="Arial"/>
          <w:sz w:val="18"/>
          <w:szCs w:val="18"/>
        </w:rPr>
        <w:t>,</w:t>
      </w:r>
      <w:r w:rsidR="00E328A2">
        <w:rPr>
          <w:rFonts w:ascii="Arial" w:hAnsi="Arial" w:cs="Arial"/>
          <w:sz w:val="18"/>
          <w:szCs w:val="18"/>
        </w:rPr>
        <w:t>3</w:t>
      </w:r>
      <w:r w:rsidR="00F138AE">
        <w:rPr>
          <w:rFonts w:ascii="Arial" w:hAnsi="Arial" w:cs="Arial"/>
          <w:sz w:val="18"/>
          <w:szCs w:val="18"/>
        </w:rPr>
        <w:t>36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w:t>
      </w:r>
      <w:r w:rsidR="00F138AE">
        <w:rPr>
          <w:rFonts w:ascii="Arial" w:hAnsi="Arial" w:cs="Arial"/>
          <w:sz w:val="18"/>
          <w:szCs w:val="18"/>
        </w:rPr>
        <w:t>de</w:t>
      </w:r>
      <w:r>
        <w:rPr>
          <w:rFonts w:ascii="Arial" w:hAnsi="Arial" w:cs="Arial"/>
          <w:sz w:val="18"/>
          <w:szCs w:val="18"/>
        </w:rPr>
        <w:t>cremento de</w:t>
      </w:r>
      <w:r w:rsidR="00E328A2">
        <w:rPr>
          <w:rFonts w:ascii="Arial" w:hAnsi="Arial" w:cs="Arial"/>
          <w:sz w:val="18"/>
          <w:szCs w:val="18"/>
        </w:rPr>
        <w:t xml:space="preserve"> $</w:t>
      </w:r>
      <w:r w:rsidR="00F138AE">
        <w:rPr>
          <w:rFonts w:ascii="Arial" w:hAnsi="Arial" w:cs="Arial"/>
          <w:sz w:val="18"/>
          <w:szCs w:val="18"/>
        </w:rPr>
        <w:t>172</w:t>
      </w:r>
      <w:r w:rsidR="00E328A2">
        <w:rPr>
          <w:rFonts w:ascii="Arial" w:hAnsi="Arial" w:cs="Arial"/>
          <w:sz w:val="18"/>
          <w:szCs w:val="18"/>
        </w:rPr>
        <w:t>,</w:t>
      </w:r>
      <w:r w:rsidR="00F138AE">
        <w:rPr>
          <w:rFonts w:ascii="Arial" w:hAnsi="Arial" w:cs="Arial"/>
          <w:sz w:val="18"/>
          <w:szCs w:val="18"/>
        </w:rPr>
        <w:t>519,831</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16846C7B"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5929BB">
        <w:rPr>
          <w:rFonts w:ascii="Arial" w:hAnsi="Arial" w:cs="Arial"/>
          <w:sz w:val="18"/>
          <w:szCs w:val="18"/>
        </w:rPr>
        <w:t>10,</w:t>
      </w:r>
      <w:r w:rsidR="00E328A2">
        <w:rPr>
          <w:rFonts w:ascii="Arial" w:hAnsi="Arial" w:cs="Arial"/>
          <w:sz w:val="18"/>
          <w:szCs w:val="18"/>
        </w:rPr>
        <w:t>2</w:t>
      </w:r>
      <w:r w:rsidR="005929BB">
        <w:rPr>
          <w:rFonts w:ascii="Arial" w:hAnsi="Arial" w:cs="Arial"/>
          <w:sz w:val="18"/>
          <w:szCs w:val="18"/>
        </w:rPr>
        <w:t>1</w:t>
      </w:r>
      <w:r w:rsidR="00F138AE">
        <w:rPr>
          <w:rFonts w:ascii="Arial" w:hAnsi="Arial" w:cs="Arial"/>
          <w:sz w:val="18"/>
          <w:szCs w:val="18"/>
        </w:rPr>
        <w:t>1</w:t>
      </w:r>
      <w:r w:rsidR="00E328A2">
        <w:rPr>
          <w:rFonts w:ascii="Arial" w:hAnsi="Arial" w:cs="Arial"/>
          <w:sz w:val="18"/>
          <w:szCs w:val="18"/>
        </w:rPr>
        <w:t>,</w:t>
      </w:r>
      <w:r w:rsidR="005929BB">
        <w:rPr>
          <w:rFonts w:ascii="Arial" w:hAnsi="Arial" w:cs="Arial"/>
          <w:sz w:val="18"/>
          <w:szCs w:val="18"/>
        </w:rPr>
        <w:t>130</w:t>
      </w:r>
      <w:r w:rsidR="00E328A2">
        <w:rPr>
          <w:rFonts w:ascii="Arial" w:hAnsi="Arial" w:cs="Arial"/>
          <w:sz w:val="18"/>
          <w:szCs w:val="18"/>
        </w:rPr>
        <w:t>,</w:t>
      </w:r>
      <w:r w:rsidR="00F138AE">
        <w:rPr>
          <w:rFonts w:ascii="Arial" w:hAnsi="Arial" w:cs="Arial"/>
          <w:sz w:val="18"/>
          <w:szCs w:val="18"/>
        </w:rPr>
        <w:t>8</w:t>
      </w:r>
      <w:r w:rsidR="005929BB">
        <w:rPr>
          <w:rFonts w:ascii="Arial" w:hAnsi="Arial" w:cs="Arial"/>
          <w:sz w:val="18"/>
          <w:szCs w:val="18"/>
        </w:rPr>
        <w:t>34</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F138AE">
        <w:rPr>
          <w:rFonts w:ascii="Arial" w:hAnsi="Arial" w:cs="Arial"/>
          <w:sz w:val="18"/>
          <w:szCs w:val="18"/>
        </w:rPr>
        <w:t xml:space="preserve">observando un </w:t>
      </w:r>
      <w:r w:rsidR="005929BB">
        <w:rPr>
          <w:rFonts w:ascii="Arial" w:hAnsi="Arial" w:cs="Arial"/>
          <w:sz w:val="18"/>
          <w:szCs w:val="18"/>
        </w:rPr>
        <w:t>de</w:t>
      </w:r>
      <w:r w:rsidR="00F138AE">
        <w:rPr>
          <w:rFonts w:ascii="Arial" w:hAnsi="Arial" w:cs="Arial"/>
          <w:sz w:val="18"/>
          <w:szCs w:val="18"/>
        </w:rPr>
        <w:t>cremento de $</w:t>
      </w:r>
      <w:r w:rsidR="005929BB">
        <w:rPr>
          <w:rFonts w:ascii="Arial" w:hAnsi="Arial" w:cs="Arial"/>
          <w:sz w:val="18"/>
          <w:szCs w:val="18"/>
        </w:rPr>
        <w:t>910</w:t>
      </w:r>
      <w:r w:rsidR="00F138AE">
        <w:rPr>
          <w:rFonts w:ascii="Arial" w:hAnsi="Arial" w:cs="Arial"/>
          <w:sz w:val="18"/>
          <w:szCs w:val="18"/>
        </w:rPr>
        <w:t>,</w:t>
      </w:r>
      <w:r w:rsidR="005929BB">
        <w:rPr>
          <w:rFonts w:ascii="Arial" w:hAnsi="Arial" w:cs="Arial"/>
          <w:sz w:val="18"/>
          <w:szCs w:val="18"/>
        </w:rPr>
        <w:t>78</w:t>
      </w:r>
      <w:r w:rsidR="00F138AE">
        <w:rPr>
          <w:rFonts w:ascii="Arial" w:hAnsi="Arial" w:cs="Arial"/>
          <w:sz w:val="18"/>
          <w:szCs w:val="18"/>
        </w:rPr>
        <w:t>,</w:t>
      </w:r>
      <w:r w:rsidR="005929BB">
        <w:rPr>
          <w:rFonts w:ascii="Arial" w:hAnsi="Arial" w:cs="Arial"/>
          <w:sz w:val="18"/>
          <w:szCs w:val="18"/>
        </w:rPr>
        <w:t>514</w:t>
      </w:r>
      <w:r w:rsidR="00F138AE">
        <w:rPr>
          <w:rFonts w:ascii="Arial" w:hAnsi="Arial" w:cs="Arial"/>
          <w:sz w:val="18"/>
          <w:szCs w:val="18"/>
        </w:rPr>
        <w:t xml:space="preserve"> respecto al</w:t>
      </w:r>
      <w:r>
        <w:rPr>
          <w:rFonts w:ascii="Arial" w:hAnsi="Arial" w:cs="Arial"/>
          <w:sz w:val="18"/>
          <w:szCs w:val="18"/>
        </w:rPr>
        <w:t xml:space="preserve"> ejercicio de 202</w:t>
      </w:r>
      <w:r w:rsidR="00E328A2">
        <w:rPr>
          <w:rFonts w:ascii="Arial" w:hAnsi="Arial" w:cs="Arial"/>
          <w:sz w:val="18"/>
          <w:szCs w:val="18"/>
        </w:rPr>
        <w:t>4</w:t>
      </w:r>
      <w:r w:rsidR="005D2EA7">
        <w:rPr>
          <w:rFonts w:ascii="Arial" w:hAnsi="Arial" w:cs="Arial"/>
          <w:sz w:val="18"/>
          <w:szCs w:val="18"/>
        </w:rPr>
        <w:t>.</w:t>
      </w:r>
    </w:p>
    <w:p w14:paraId="72DB026F" w14:textId="34B240D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lastRenderedPageBreak/>
        <w:t>El saldo de $2</w:t>
      </w:r>
      <w:r w:rsidR="005D2EA7">
        <w:rPr>
          <w:rFonts w:ascii="Arial" w:hAnsi="Arial" w:cs="Arial"/>
          <w:sz w:val="18"/>
          <w:szCs w:val="18"/>
        </w:rPr>
        <w:t>51</w:t>
      </w:r>
      <w:r>
        <w:rPr>
          <w:rFonts w:ascii="Arial" w:hAnsi="Arial" w:cs="Arial"/>
          <w:sz w:val="18"/>
          <w:szCs w:val="18"/>
        </w:rPr>
        <w:t>,</w:t>
      </w:r>
      <w:r w:rsidR="005D2EA7">
        <w:rPr>
          <w:rFonts w:ascii="Arial" w:hAnsi="Arial" w:cs="Arial"/>
          <w:sz w:val="18"/>
          <w:szCs w:val="18"/>
        </w:rPr>
        <w:t>777</w:t>
      </w:r>
      <w:r>
        <w:rPr>
          <w:rFonts w:ascii="Arial" w:hAnsi="Arial" w:cs="Arial"/>
          <w:sz w:val="18"/>
          <w:szCs w:val="18"/>
        </w:rPr>
        <w:t>,</w:t>
      </w:r>
      <w:r w:rsidR="005D2EA7">
        <w:rPr>
          <w:rFonts w:ascii="Arial" w:hAnsi="Arial" w:cs="Arial"/>
          <w:sz w:val="18"/>
          <w:szCs w:val="18"/>
        </w:rPr>
        <w:t>7</w:t>
      </w:r>
      <w:r>
        <w:rPr>
          <w:rFonts w:ascii="Arial" w:hAnsi="Arial" w:cs="Arial"/>
          <w:sz w:val="18"/>
          <w:szCs w:val="18"/>
        </w:rPr>
        <w:t xml:space="preserve">80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w:t>
      </w:r>
      <w:r w:rsidR="0090039A">
        <w:rPr>
          <w:rFonts w:ascii="Arial" w:hAnsi="Arial" w:cs="Arial"/>
          <w:sz w:val="18"/>
          <w:szCs w:val="18"/>
        </w:rPr>
        <w:t xml:space="preserve">no </w:t>
      </w:r>
      <w:r>
        <w:rPr>
          <w:rFonts w:ascii="Arial" w:hAnsi="Arial" w:cs="Arial"/>
          <w:sz w:val="18"/>
          <w:szCs w:val="18"/>
        </w:rPr>
        <w:t>observándose variaci</w:t>
      </w:r>
      <w:r w:rsidR="0090039A">
        <w:rPr>
          <w:rFonts w:ascii="Arial" w:hAnsi="Arial" w:cs="Arial"/>
          <w:sz w:val="18"/>
          <w:szCs w:val="18"/>
        </w:rPr>
        <w:t>o</w:t>
      </w:r>
      <w:r>
        <w:rPr>
          <w:rFonts w:ascii="Arial" w:hAnsi="Arial" w:cs="Arial"/>
          <w:sz w:val="18"/>
          <w:szCs w:val="18"/>
        </w:rPr>
        <w:t>n</w:t>
      </w:r>
      <w:r w:rsidR="0090039A">
        <w:rPr>
          <w:rFonts w:ascii="Arial" w:hAnsi="Arial" w:cs="Arial"/>
          <w:sz w:val="18"/>
          <w:szCs w:val="18"/>
        </w:rPr>
        <w:t>es</w:t>
      </w:r>
      <w:r>
        <w:rPr>
          <w:rFonts w:ascii="Arial" w:hAnsi="Arial" w:cs="Arial"/>
          <w:sz w:val="18"/>
          <w:szCs w:val="18"/>
        </w:rPr>
        <w:t xml:space="preserve"> en relación al ejercicio de 202</w:t>
      </w:r>
      <w:r w:rsidR="0090039A">
        <w:rPr>
          <w:rFonts w:ascii="Arial" w:hAnsi="Arial" w:cs="Arial"/>
          <w:sz w:val="18"/>
          <w:szCs w:val="18"/>
        </w:rPr>
        <w:t>4</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26A1612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5D2EA7">
        <w:rPr>
          <w:rFonts w:ascii="Arial" w:hAnsi="Arial" w:cs="Arial"/>
          <w:sz w:val="18"/>
          <w:szCs w:val="18"/>
        </w:rPr>
        <w:t>juni</w:t>
      </w:r>
      <w:r w:rsidR="0090039A">
        <w:rPr>
          <w:rFonts w:ascii="Arial" w:hAnsi="Arial" w:cs="Arial"/>
          <w:sz w:val="18"/>
          <w:szCs w:val="18"/>
        </w:rPr>
        <w:t>o</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1CB43D30"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90039A">
        <w:rPr>
          <w:rFonts w:ascii="Arial" w:hAnsi="Arial" w:cs="Arial"/>
          <w:sz w:val="18"/>
          <w:szCs w:val="18"/>
        </w:rPr>
        <w:t>2</w:t>
      </w:r>
      <w:r>
        <w:rPr>
          <w:rFonts w:ascii="Arial" w:hAnsi="Arial" w:cs="Arial"/>
          <w:sz w:val="18"/>
          <w:szCs w:val="18"/>
        </w:rPr>
        <w:t>,</w:t>
      </w:r>
      <w:r w:rsidR="005D2EA7">
        <w:rPr>
          <w:rFonts w:ascii="Arial" w:hAnsi="Arial" w:cs="Arial"/>
          <w:sz w:val="18"/>
          <w:szCs w:val="18"/>
        </w:rPr>
        <w:t>282</w:t>
      </w:r>
      <w:r>
        <w:rPr>
          <w:rFonts w:ascii="Arial" w:hAnsi="Arial" w:cs="Arial"/>
          <w:sz w:val="18"/>
          <w:szCs w:val="18"/>
        </w:rPr>
        <w:t>,</w:t>
      </w:r>
      <w:r w:rsidR="0090039A">
        <w:rPr>
          <w:rFonts w:ascii="Arial" w:hAnsi="Arial" w:cs="Arial"/>
          <w:sz w:val="18"/>
          <w:szCs w:val="18"/>
        </w:rPr>
        <w:t>0</w:t>
      </w:r>
      <w:r w:rsidR="005D2EA7">
        <w:rPr>
          <w:rFonts w:ascii="Arial" w:hAnsi="Arial" w:cs="Arial"/>
          <w:sz w:val="18"/>
          <w:szCs w:val="18"/>
        </w:rPr>
        <w:t>67</w:t>
      </w:r>
      <w:r>
        <w:rPr>
          <w:rFonts w:ascii="Arial" w:hAnsi="Arial" w:cs="Arial"/>
          <w:sz w:val="18"/>
          <w:szCs w:val="18"/>
        </w:rPr>
        <w:t>,</w:t>
      </w:r>
      <w:r w:rsidR="005D2EA7">
        <w:rPr>
          <w:rFonts w:ascii="Arial" w:hAnsi="Arial" w:cs="Arial"/>
          <w:sz w:val="18"/>
          <w:szCs w:val="18"/>
        </w:rPr>
        <w:t>22</w:t>
      </w:r>
      <w:r w:rsidR="0090039A">
        <w:rPr>
          <w:rFonts w:ascii="Arial" w:hAnsi="Arial" w:cs="Arial"/>
          <w:sz w:val="18"/>
          <w:szCs w:val="18"/>
        </w:rPr>
        <w:t>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5D2EA7">
        <w:rPr>
          <w:rFonts w:ascii="Arial" w:hAnsi="Arial" w:cs="Arial"/>
          <w:sz w:val="18"/>
          <w:szCs w:val="18"/>
        </w:rPr>
        <w:t>25</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380A886E"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w:t>
      </w:r>
      <w:r w:rsidR="005D2EA7">
        <w:rPr>
          <w:rFonts w:ascii="Arial" w:hAnsi="Arial" w:cs="Arial"/>
          <w:sz w:val="18"/>
          <w:szCs w:val="18"/>
        </w:rPr>
        <w:t>juni</w:t>
      </w:r>
      <w:r w:rsidR="00750AF2">
        <w:rPr>
          <w:rFonts w:ascii="Arial" w:hAnsi="Arial" w:cs="Arial"/>
          <w:sz w:val="18"/>
          <w:szCs w:val="18"/>
        </w:rPr>
        <w:t>o</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5D2EA7">
        <w:rPr>
          <w:rFonts w:ascii="Arial" w:hAnsi="Arial" w:cs="Arial"/>
          <w:sz w:val="18"/>
          <w:szCs w:val="18"/>
        </w:rPr>
        <w:t>2</w:t>
      </w:r>
      <w:r>
        <w:rPr>
          <w:rFonts w:ascii="Arial" w:hAnsi="Arial" w:cs="Arial"/>
          <w:sz w:val="18"/>
          <w:szCs w:val="18"/>
        </w:rPr>
        <w:t>,</w:t>
      </w:r>
      <w:r w:rsidR="00750AF2">
        <w:rPr>
          <w:rFonts w:ascii="Arial" w:hAnsi="Arial" w:cs="Arial"/>
          <w:sz w:val="18"/>
          <w:szCs w:val="18"/>
        </w:rPr>
        <w:t>7</w:t>
      </w:r>
      <w:r w:rsidR="005D2EA7">
        <w:rPr>
          <w:rFonts w:ascii="Arial" w:hAnsi="Arial" w:cs="Arial"/>
          <w:sz w:val="18"/>
          <w:szCs w:val="18"/>
        </w:rPr>
        <w:t>20</w:t>
      </w:r>
      <w:r>
        <w:rPr>
          <w:rFonts w:ascii="Arial" w:eastAsia="Times New Roman" w:hAnsi="Arial" w:cs="Arial"/>
          <w:bCs/>
          <w:sz w:val="18"/>
          <w:szCs w:val="18"/>
          <w:lang w:eastAsia="es-MX"/>
        </w:rPr>
        <w:t>,</w:t>
      </w:r>
      <w:r w:rsidR="005D2EA7">
        <w:rPr>
          <w:rFonts w:ascii="Arial" w:eastAsia="Times New Roman" w:hAnsi="Arial" w:cs="Arial"/>
          <w:bCs/>
          <w:sz w:val="18"/>
          <w:szCs w:val="18"/>
          <w:lang w:eastAsia="es-MX"/>
        </w:rPr>
        <w:t>206</w:t>
      </w:r>
      <w:r>
        <w:rPr>
          <w:rFonts w:ascii="Arial" w:eastAsia="Times New Roman" w:hAnsi="Arial" w:cs="Arial"/>
          <w:bCs/>
          <w:sz w:val="18"/>
          <w:szCs w:val="18"/>
          <w:lang w:eastAsia="es-MX"/>
        </w:rPr>
        <w:t>,</w:t>
      </w:r>
      <w:r w:rsidR="005D2EA7">
        <w:rPr>
          <w:rFonts w:ascii="Arial" w:eastAsia="Times New Roman" w:hAnsi="Arial" w:cs="Arial"/>
          <w:bCs/>
          <w:sz w:val="18"/>
          <w:szCs w:val="18"/>
          <w:lang w:eastAsia="es-MX"/>
        </w:rPr>
        <w:t>677</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6996EAFE"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5D2EA7">
        <w:rPr>
          <w:lang w:val="es-MX"/>
        </w:rPr>
        <w:t>1,771</w:t>
      </w:r>
      <w:r w:rsidR="00AA526E">
        <w:rPr>
          <w:lang w:val="es-MX"/>
        </w:rPr>
        <w:t>,</w:t>
      </w:r>
      <w:r w:rsidR="005D2EA7">
        <w:rPr>
          <w:lang w:val="es-MX"/>
        </w:rPr>
        <w:t>212</w:t>
      </w:r>
      <w:r w:rsidR="00AA526E">
        <w:rPr>
          <w:lang w:val="es-MX"/>
        </w:rPr>
        <w:t>,</w:t>
      </w:r>
      <w:r w:rsidR="005D2EA7">
        <w:rPr>
          <w:lang w:val="es-MX"/>
        </w:rPr>
        <w:t>433</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10E19A11"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5D2EA7">
        <w:rPr>
          <w:lang w:val="es-MX"/>
        </w:rPr>
        <w:t>2</w:t>
      </w:r>
      <w:r>
        <w:rPr>
          <w:lang w:val="es-MX"/>
        </w:rPr>
        <w:t>,</w:t>
      </w:r>
      <w:r w:rsidR="005D2EA7">
        <w:rPr>
          <w:lang w:val="es-MX"/>
        </w:rPr>
        <w:t>897</w:t>
      </w:r>
      <w:r>
        <w:rPr>
          <w:lang w:val="es-MX"/>
        </w:rPr>
        <w:t>,</w:t>
      </w:r>
      <w:r w:rsidR="005D2EA7">
        <w:rPr>
          <w:lang w:val="es-MX"/>
        </w:rPr>
        <w:t>916</w:t>
      </w:r>
      <w:r>
        <w:rPr>
          <w:lang w:val="es-MX"/>
        </w:rPr>
        <w:t>,</w:t>
      </w:r>
      <w:r w:rsidR="005D2EA7">
        <w:rPr>
          <w:lang w:val="es-MX"/>
        </w:rPr>
        <w:t>808</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657D4D7D"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w:t>
      </w:r>
      <w:r w:rsidR="00AA526E">
        <w:rPr>
          <w:lang w:val="es-MX"/>
        </w:rPr>
        <w:t>marzo</w:t>
      </w:r>
      <w:r>
        <w:rPr>
          <w:lang w:val="es-MX"/>
        </w:rPr>
        <w:t xml:space="preserve"> un importe de </w:t>
      </w:r>
      <w:r w:rsidRPr="004466A7">
        <w:rPr>
          <w:lang w:val="es-MX"/>
        </w:rPr>
        <w:t>$</w:t>
      </w:r>
      <w:r w:rsidR="005D2EA7">
        <w:rPr>
          <w:lang w:val="es-MX"/>
        </w:rPr>
        <w:t>9</w:t>
      </w:r>
      <w:r w:rsidR="00AA526E">
        <w:rPr>
          <w:lang w:val="es-MX"/>
        </w:rPr>
        <w:t>7</w:t>
      </w:r>
      <w:r w:rsidR="005D2EA7">
        <w:rPr>
          <w:lang w:val="es-MX"/>
        </w:rPr>
        <w:t>6</w:t>
      </w:r>
      <w:r>
        <w:rPr>
          <w:lang w:val="es-MX"/>
        </w:rPr>
        <w:t>,</w:t>
      </w:r>
      <w:r w:rsidR="005D2EA7">
        <w:rPr>
          <w:lang w:val="es-MX"/>
        </w:rPr>
        <w:t>740</w:t>
      </w:r>
      <w:r>
        <w:rPr>
          <w:lang w:val="es-MX"/>
        </w:rPr>
        <w:t>,</w:t>
      </w:r>
      <w:r w:rsidR="005D2EA7">
        <w:rPr>
          <w:lang w:val="es-MX"/>
        </w:rPr>
        <w:t>214</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200A953E" w14:textId="708FEC45" w:rsidR="008C10B0"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w:t>
      </w:r>
      <w:r w:rsidR="00A6465D">
        <w:rPr>
          <w:lang w:val="es-MX"/>
        </w:rPr>
        <w:t>0</w:t>
      </w:r>
      <w:r w:rsidRPr="00DA18AC">
        <w:rPr>
          <w:lang w:val="es-MX"/>
        </w:rPr>
        <w:t xml:space="preserve"> de </w:t>
      </w:r>
      <w:r w:rsidR="00A6465D">
        <w:rPr>
          <w:lang w:val="es-MX"/>
        </w:rPr>
        <w:t>juni</w:t>
      </w:r>
      <w:r w:rsidR="00AA526E">
        <w:rPr>
          <w:lang w:val="es-MX"/>
        </w:rPr>
        <w:t>o</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A6465D">
        <w:rPr>
          <w:lang w:val="es-MX"/>
        </w:rPr>
        <w:t>2,103</w:t>
      </w:r>
      <w:r>
        <w:rPr>
          <w:lang w:val="es-MX"/>
        </w:rPr>
        <w:t>,</w:t>
      </w:r>
      <w:r w:rsidR="00A6465D">
        <w:rPr>
          <w:lang w:val="es-MX"/>
        </w:rPr>
        <w:t>444</w:t>
      </w:r>
      <w:r>
        <w:rPr>
          <w:lang w:val="es-MX"/>
        </w:rPr>
        <w:t>,</w:t>
      </w:r>
      <w:r w:rsidR="00A6465D">
        <w:rPr>
          <w:lang w:val="es-MX"/>
        </w:rPr>
        <w:t>589</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075E4901"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1,180,495,802</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25242826"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3,587,494,108</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7E8A9439"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118,880,596</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6C20FFC8" w:rsidR="008C10B0" w:rsidRPr="009B66AA" w:rsidRDefault="00E72137"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w:t>
            </w:r>
            <w:r w:rsidR="009C5253">
              <w:rPr>
                <w:rFonts w:ascii="Arial" w:eastAsia="Times New Roman" w:hAnsi="Arial" w:cs="Arial"/>
                <w:b/>
                <w:sz w:val="18"/>
                <w:szCs w:val="18"/>
                <w:lang w:eastAsia="es-ES"/>
              </w:rPr>
              <w:t>1</w:t>
            </w:r>
            <w:r>
              <w:rPr>
                <w:rFonts w:ascii="Arial" w:eastAsia="Times New Roman" w:hAnsi="Arial" w:cs="Arial"/>
                <w:b/>
                <w:sz w:val="18"/>
                <w:szCs w:val="18"/>
                <w:lang w:eastAsia="es-ES"/>
              </w:rPr>
              <w:t>07,3</w:t>
            </w:r>
            <w:r w:rsidR="009C5253">
              <w:rPr>
                <w:rFonts w:ascii="Arial" w:eastAsia="Times New Roman" w:hAnsi="Arial" w:cs="Arial"/>
                <w:b/>
                <w:sz w:val="18"/>
                <w:szCs w:val="18"/>
                <w:lang w:eastAsia="es-ES"/>
              </w:rPr>
              <w:t>76</w:t>
            </w:r>
            <w:r>
              <w:rPr>
                <w:rFonts w:ascii="Arial" w:eastAsia="Times New Roman" w:hAnsi="Arial" w:cs="Arial"/>
                <w:b/>
                <w:sz w:val="18"/>
                <w:szCs w:val="18"/>
                <w:lang w:eastAsia="es-ES"/>
              </w:rPr>
              <w:t>,</w:t>
            </w:r>
            <w:r w:rsidR="009C5253">
              <w:rPr>
                <w:rFonts w:ascii="Arial" w:eastAsia="Times New Roman" w:hAnsi="Arial" w:cs="Arial"/>
                <w:b/>
                <w:sz w:val="18"/>
                <w:szCs w:val="18"/>
                <w:lang w:eastAsia="es-ES"/>
              </w:rPr>
              <w:t>705</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0091D4F2" w:rsidR="008C10B0" w:rsidRPr="00450621"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52BE65B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1BC4EA29"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7276521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3D9839FD" w:rsidR="008C10B0" w:rsidRPr="00FF5A7D"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142856F1" w:rsidR="008C10B0" w:rsidRPr="00450621" w:rsidRDefault="00903C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006AA563" w:rsidR="008C10B0"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3B98FB3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28BC394B"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2434583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0475716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737AEEF8" w:rsidR="008C10B0" w:rsidRPr="00F8171F"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97,497,600</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62219491" w:rsidR="008C10B0" w:rsidRPr="00450621" w:rsidRDefault="00903CC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97,701,063</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4C247B72" w:rsidR="008C10B0" w:rsidRDefault="005B3AB4"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645104DC"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5B3AB4">
              <w:rPr>
                <w:rFonts w:ascii="Arial" w:eastAsia="Times New Roman" w:hAnsi="Arial" w:cs="Arial"/>
                <w:b/>
                <w:bCs/>
                <w:color w:val="000000"/>
                <w:sz w:val="16"/>
                <w:szCs w:val="16"/>
                <w:lang w:eastAsia="es-MX"/>
              </w:rPr>
              <w:t>4</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6221FB7B" w:rsidR="008C10B0" w:rsidRPr="00450621" w:rsidRDefault="005B3AB4"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2,897,916,808</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D93822" w14:textId="09CAD65D" w:rsidR="008C10B0" w:rsidRPr="00450621" w:rsidRDefault="005B3AB4"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2,897,916,808</w:t>
            </w:r>
          </w:p>
        </w:tc>
        <w:tc>
          <w:tcPr>
            <w:tcW w:w="1267" w:type="dxa"/>
            <w:tcBorders>
              <w:top w:val="nil"/>
              <w:left w:val="nil"/>
              <w:bottom w:val="single" w:sz="4" w:space="0" w:color="000000"/>
              <w:right w:val="single" w:sz="4" w:space="0" w:color="000000"/>
            </w:tcBorders>
            <w:shd w:val="clear" w:color="000000" w:fill="D3D3D3"/>
          </w:tcPr>
          <w:p w14:paraId="684B561A" w14:textId="4839368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77777777" w:rsidR="008C10B0" w:rsidRDefault="008C10B0" w:rsidP="008C10B0">
      <w:pPr>
        <w:rPr>
          <w:lang w:eastAsia="es-ES"/>
        </w:rPr>
      </w:pPr>
    </w:p>
    <w:p w14:paraId="67B97F18" w14:textId="77777777" w:rsidR="008C10B0" w:rsidRPr="006942ED" w:rsidRDefault="00000000" w:rsidP="008C10B0">
      <w:pPr>
        <w:rPr>
          <w:lang w:eastAsia="es-ES"/>
        </w:rPr>
      </w:pPr>
      <w:r>
        <w:rPr>
          <w:noProof/>
          <w:szCs w:val="18"/>
          <w:lang w:val="es-ES" w:eastAsia="es-MX"/>
        </w:rPr>
        <w:object w:dxaOrig="1440" w:dyaOrig="1440" w14:anchorId="08E2FB0E">
          <v:shape id="_x0000_s2105" type="#_x0000_t75" style="position:absolute;margin-left:-58.4pt;margin-top:25.4pt;width:585.5pt;height:351pt;z-index:251669504">
            <v:imagedata r:id="rId26" o:title=""/>
            <w10:wrap type="topAndBottom"/>
          </v:shape>
          <o:OLEObject Type="Embed" ProgID="Excel.Sheet.12" ShapeID="_x0000_s2105" DrawAspect="Content" ObjectID="_1814110053" r:id="rId27"/>
        </w:object>
      </w:r>
    </w:p>
    <w:p w14:paraId="524DA631" w14:textId="77777777" w:rsidR="008C10B0" w:rsidRDefault="008C10B0" w:rsidP="008C10B0">
      <w:pPr>
        <w:ind w:firstLine="708"/>
        <w:rPr>
          <w:lang w:eastAsia="es-ES"/>
        </w:rPr>
      </w:pPr>
    </w:p>
    <w:p w14:paraId="07ED83EA" w14:textId="77777777" w:rsidR="008C10B0" w:rsidRDefault="00000000" w:rsidP="008C10B0">
      <w:pPr>
        <w:ind w:firstLine="708"/>
        <w:rPr>
          <w:lang w:eastAsia="es-ES"/>
        </w:rPr>
      </w:pPr>
      <w:r>
        <w:rPr>
          <w:b/>
          <w:smallCaps/>
          <w:noProof/>
          <w:szCs w:val="18"/>
          <w:lang w:eastAsia="es-MX"/>
        </w:rPr>
        <w:lastRenderedPageBreak/>
        <w:object w:dxaOrig="1440" w:dyaOrig="1440" w14:anchorId="06C5EE27">
          <v:shape id="_x0000_s2106" type="#_x0000_t75" style="position:absolute;left:0;text-align:left;margin-left:-11.7pt;margin-top:12.75pt;width:501pt;height:524.95pt;z-index:251670528">
            <v:imagedata r:id="rId28" o:title=""/>
            <w10:wrap type="topAndBottom"/>
          </v:shape>
          <o:OLEObject Type="Embed" ProgID="Excel.Sheet.12" ShapeID="_x0000_s2106" DrawAspect="Content" ObjectID="_1814110054" r:id="rId29"/>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1C37382A" w14:textId="77777777" w:rsidR="00A6465D" w:rsidRDefault="00A6465D"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76CD950A"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219366D7" w:rsidR="008C10B0" w:rsidRDefault="0078137F"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A6465D">
        <w:rPr>
          <w:rFonts w:ascii="Arial" w:hAnsi="Arial" w:cs="Arial"/>
          <w:sz w:val="18"/>
          <w:szCs w:val="18"/>
        </w:rPr>
        <w:t>juni</w:t>
      </w:r>
      <w:r>
        <w:rPr>
          <w:rFonts w:ascii="Arial" w:hAnsi="Arial" w:cs="Arial"/>
          <w:sz w:val="18"/>
          <w:szCs w:val="18"/>
        </w:rPr>
        <w:t>o</w:t>
      </w:r>
      <w:r w:rsidR="008C10B0">
        <w:rPr>
          <w:rFonts w:ascii="Arial" w:hAnsi="Arial" w:cs="Arial"/>
          <w:sz w:val="18"/>
          <w:szCs w:val="18"/>
        </w:rPr>
        <w:t xml:space="preserve"> del</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7CB8DC83"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14,124,555,774</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011A880F"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1,795,146,680</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4699000E"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15,919,702,454</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49F21517"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14,124,555,774</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72B26994"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2,059,865,359</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34FDA393"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1,795,146,680</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6E91791C"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706,858,714</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07284C10" w:rsidR="008C10B0" w:rsidRPr="00AD5155"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1,076,648</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2E7DDCFB" w:rsidR="008C10B0" w:rsidRPr="00AD5155" w:rsidRDefault="00CF76DB"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13,151,901,733</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30"/>
      <w:headerReference w:type="default" r:id="rId31"/>
      <w:footerReference w:type="even" r:id="rId32"/>
      <w:footerReference w:type="default" r:id="rId33"/>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8D756" w14:textId="77777777" w:rsidR="00C42A2D" w:rsidRDefault="00C42A2D" w:rsidP="00EA5418">
      <w:pPr>
        <w:spacing w:after="0" w:line="240" w:lineRule="auto"/>
      </w:pPr>
      <w:r>
        <w:separator/>
      </w:r>
    </w:p>
  </w:endnote>
  <w:endnote w:type="continuationSeparator" w:id="0">
    <w:p w14:paraId="6FA6662C" w14:textId="77777777" w:rsidR="00C42A2D" w:rsidRDefault="00C42A2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EEB2" w14:textId="77777777" w:rsidR="00C42A2D" w:rsidRDefault="00C42A2D" w:rsidP="00EA5418">
      <w:pPr>
        <w:spacing w:after="0" w:line="240" w:lineRule="auto"/>
      </w:pPr>
      <w:r>
        <w:separator/>
      </w:r>
    </w:p>
  </w:footnote>
  <w:footnote w:type="continuationSeparator" w:id="0">
    <w:p w14:paraId="29822DD3" w14:textId="77777777" w:rsidR="00C42A2D" w:rsidRDefault="00C42A2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3"/>
  </w:num>
  <w:num w:numId="2" w16cid:durableId="1710297815">
    <w:abstractNumId w:val="2"/>
  </w:num>
  <w:num w:numId="3" w16cid:durableId="1173034807">
    <w:abstractNumId w:val="6"/>
  </w:num>
  <w:num w:numId="4" w16cid:durableId="133380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9"/>
  </w:num>
  <w:num w:numId="6" w16cid:durableId="1815832550">
    <w:abstractNumId w:val="5"/>
  </w:num>
  <w:num w:numId="7" w16cid:durableId="45301386">
    <w:abstractNumId w:val="12"/>
  </w:num>
  <w:num w:numId="8" w16cid:durableId="601258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1"/>
  </w:num>
  <w:num w:numId="10" w16cid:durableId="164176641">
    <w:abstractNumId w:val="3"/>
  </w:num>
  <w:num w:numId="11" w16cid:durableId="1293288286">
    <w:abstractNumId w:val="0"/>
  </w:num>
  <w:num w:numId="12" w16cid:durableId="1529295193">
    <w:abstractNumId w:val="14"/>
  </w:num>
  <w:num w:numId="13" w16cid:durableId="1607078597">
    <w:abstractNumId w:val="4"/>
  </w:num>
  <w:num w:numId="14" w16cid:durableId="176576630">
    <w:abstractNumId w:val="1"/>
  </w:num>
  <w:num w:numId="15" w16cid:durableId="2140419225">
    <w:abstractNumId w:val="8"/>
  </w:num>
  <w:num w:numId="16" w16cid:durableId="112107665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115"/>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2C6"/>
    <w:rsid w:val="000B3A2D"/>
    <w:rsid w:val="000B54AD"/>
    <w:rsid w:val="000B552D"/>
    <w:rsid w:val="000B5932"/>
    <w:rsid w:val="000B62E8"/>
    <w:rsid w:val="000B6DEA"/>
    <w:rsid w:val="000B6E5A"/>
    <w:rsid w:val="000C024C"/>
    <w:rsid w:val="000C11AF"/>
    <w:rsid w:val="000C3AF6"/>
    <w:rsid w:val="000C6BA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0E9"/>
    <w:rsid w:val="00244989"/>
    <w:rsid w:val="00244D40"/>
    <w:rsid w:val="00245E54"/>
    <w:rsid w:val="00247A5F"/>
    <w:rsid w:val="00247AD7"/>
    <w:rsid w:val="00251F0D"/>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0E2B"/>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926"/>
    <w:rsid w:val="00454AE1"/>
    <w:rsid w:val="0046161E"/>
    <w:rsid w:val="00461C30"/>
    <w:rsid w:val="00462592"/>
    <w:rsid w:val="00463411"/>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566"/>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223"/>
    <w:rsid w:val="004C5E7B"/>
    <w:rsid w:val="004D30E1"/>
    <w:rsid w:val="004D3E91"/>
    <w:rsid w:val="004D41B8"/>
    <w:rsid w:val="004D47D0"/>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6DE"/>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9BB"/>
    <w:rsid w:val="00592B24"/>
    <w:rsid w:val="005A3CCB"/>
    <w:rsid w:val="005A53BA"/>
    <w:rsid w:val="005A57AD"/>
    <w:rsid w:val="005B048C"/>
    <w:rsid w:val="005B0F75"/>
    <w:rsid w:val="005B1C69"/>
    <w:rsid w:val="005B33F8"/>
    <w:rsid w:val="005B3728"/>
    <w:rsid w:val="005B3AB4"/>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2EA7"/>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2A10"/>
    <w:rsid w:val="006537A5"/>
    <w:rsid w:val="00653A66"/>
    <w:rsid w:val="0065446E"/>
    <w:rsid w:val="00654B92"/>
    <w:rsid w:val="0065525F"/>
    <w:rsid w:val="00655EB2"/>
    <w:rsid w:val="0065683D"/>
    <w:rsid w:val="00660015"/>
    <w:rsid w:val="00661352"/>
    <w:rsid w:val="006619E0"/>
    <w:rsid w:val="00661A17"/>
    <w:rsid w:val="0066322D"/>
    <w:rsid w:val="00663540"/>
    <w:rsid w:val="006653EB"/>
    <w:rsid w:val="00667535"/>
    <w:rsid w:val="00672D27"/>
    <w:rsid w:val="00673C62"/>
    <w:rsid w:val="0067443A"/>
    <w:rsid w:val="0067489E"/>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2AC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5D"/>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67"/>
    <w:rsid w:val="008B407A"/>
    <w:rsid w:val="008B4143"/>
    <w:rsid w:val="008B59D6"/>
    <w:rsid w:val="008B5B85"/>
    <w:rsid w:val="008C0B84"/>
    <w:rsid w:val="008C10B0"/>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25B6"/>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AAB"/>
    <w:rsid w:val="0098545B"/>
    <w:rsid w:val="00986365"/>
    <w:rsid w:val="009869E9"/>
    <w:rsid w:val="00986BC3"/>
    <w:rsid w:val="00987EEE"/>
    <w:rsid w:val="00991656"/>
    <w:rsid w:val="00996671"/>
    <w:rsid w:val="009A00D4"/>
    <w:rsid w:val="009A1077"/>
    <w:rsid w:val="009A191D"/>
    <w:rsid w:val="009A407A"/>
    <w:rsid w:val="009A6220"/>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09ED"/>
    <w:rsid w:val="009D20E7"/>
    <w:rsid w:val="009D5D4C"/>
    <w:rsid w:val="009E13DF"/>
    <w:rsid w:val="009E13F9"/>
    <w:rsid w:val="009E2520"/>
    <w:rsid w:val="009E51F8"/>
    <w:rsid w:val="009E71C0"/>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4DB"/>
    <w:rsid w:val="00A44CF1"/>
    <w:rsid w:val="00A450C9"/>
    <w:rsid w:val="00A45D7D"/>
    <w:rsid w:val="00A46101"/>
    <w:rsid w:val="00A46BF5"/>
    <w:rsid w:val="00A4719D"/>
    <w:rsid w:val="00A47F7A"/>
    <w:rsid w:val="00A501B6"/>
    <w:rsid w:val="00A52E61"/>
    <w:rsid w:val="00A54D75"/>
    <w:rsid w:val="00A55A0E"/>
    <w:rsid w:val="00A56327"/>
    <w:rsid w:val="00A56749"/>
    <w:rsid w:val="00A6063E"/>
    <w:rsid w:val="00A632C0"/>
    <w:rsid w:val="00A634CF"/>
    <w:rsid w:val="00A6465D"/>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2A3"/>
    <w:rsid w:val="00A97E66"/>
    <w:rsid w:val="00AA16F7"/>
    <w:rsid w:val="00AA1AB3"/>
    <w:rsid w:val="00AA3279"/>
    <w:rsid w:val="00AA35F1"/>
    <w:rsid w:val="00AA526E"/>
    <w:rsid w:val="00AA6498"/>
    <w:rsid w:val="00AA6892"/>
    <w:rsid w:val="00AA7AE3"/>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6B6F"/>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6FD6"/>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266B"/>
    <w:rsid w:val="00C346B4"/>
    <w:rsid w:val="00C34DE1"/>
    <w:rsid w:val="00C379D0"/>
    <w:rsid w:val="00C404CF"/>
    <w:rsid w:val="00C411EA"/>
    <w:rsid w:val="00C41D4C"/>
    <w:rsid w:val="00C42A2D"/>
    <w:rsid w:val="00C431B4"/>
    <w:rsid w:val="00C4471C"/>
    <w:rsid w:val="00C458D3"/>
    <w:rsid w:val="00C458D8"/>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0"/>
    <w:rsid w:val="00CF342E"/>
    <w:rsid w:val="00CF3770"/>
    <w:rsid w:val="00CF6F11"/>
    <w:rsid w:val="00CF76DB"/>
    <w:rsid w:val="00D00E92"/>
    <w:rsid w:val="00D01486"/>
    <w:rsid w:val="00D055EC"/>
    <w:rsid w:val="00D06FE8"/>
    <w:rsid w:val="00D10F96"/>
    <w:rsid w:val="00D11F33"/>
    <w:rsid w:val="00D12198"/>
    <w:rsid w:val="00D12816"/>
    <w:rsid w:val="00D13E7D"/>
    <w:rsid w:val="00D14208"/>
    <w:rsid w:val="00D1757C"/>
    <w:rsid w:val="00D17C5D"/>
    <w:rsid w:val="00D20078"/>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491"/>
    <w:rsid w:val="00D628F8"/>
    <w:rsid w:val="00D62DF9"/>
    <w:rsid w:val="00D63571"/>
    <w:rsid w:val="00D66910"/>
    <w:rsid w:val="00D6706B"/>
    <w:rsid w:val="00D700D5"/>
    <w:rsid w:val="00D71A33"/>
    <w:rsid w:val="00D73B4D"/>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1915"/>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2137"/>
    <w:rsid w:val="00E755A9"/>
    <w:rsid w:val="00E75CE5"/>
    <w:rsid w:val="00E75F78"/>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074B"/>
    <w:rsid w:val="00EB2A4A"/>
    <w:rsid w:val="00EB3D8F"/>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36C9"/>
    <w:rsid w:val="00EF59BD"/>
    <w:rsid w:val="00EF5CC7"/>
    <w:rsid w:val="00EF62F8"/>
    <w:rsid w:val="00EF7710"/>
    <w:rsid w:val="00F011BD"/>
    <w:rsid w:val="00F016BA"/>
    <w:rsid w:val="00F01B31"/>
    <w:rsid w:val="00F03AE7"/>
    <w:rsid w:val="00F03C78"/>
    <w:rsid w:val="00F057DB"/>
    <w:rsid w:val="00F07D53"/>
    <w:rsid w:val="00F11C4A"/>
    <w:rsid w:val="00F138AE"/>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1736481">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5324517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4338328">
      <w:bodyDiv w:val="1"/>
      <w:marLeft w:val="0"/>
      <w:marRight w:val="0"/>
      <w:marTop w:val="0"/>
      <w:marBottom w:val="0"/>
      <w:divBdr>
        <w:top w:val="none" w:sz="0" w:space="0" w:color="auto"/>
        <w:left w:val="none" w:sz="0" w:space="0" w:color="auto"/>
        <w:bottom w:val="none" w:sz="0" w:space="0" w:color="auto"/>
        <w:right w:val="none" w:sz="0" w:space="0" w:color="auto"/>
      </w:divBdr>
    </w:div>
    <w:div w:id="1652754897">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3.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package" Target="embeddings/Microsoft_Excel_Worksheet7.xlsx"/><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20058</Words>
  <Characters>110320</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2025-07-08T17:08:00Z</cp:lastPrinted>
  <dcterms:created xsi:type="dcterms:W3CDTF">2025-07-16T00:41:00Z</dcterms:created>
  <dcterms:modified xsi:type="dcterms:W3CDTF">2025-07-16T00:41:00Z</dcterms:modified>
</cp:coreProperties>
</file>