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7BE49D41" w:rsidR="00CF470D" w:rsidRDefault="00076EB3" w:rsidP="00386C8E">
      <w:r>
        <w:object w:dxaOrig="14184" w:dyaOrig="17047" w14:anchorId="6A7E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1pt;height:615.15pt" o:ole="">
            <v:imagedata r:id="rId8" o:title=""/>
          </v:shape>
          <o:OLEObject Type="Embed" ProgID="Excel.Sheet.12" ShapeID="_x0000_i1025" DrawAspect="Content" ObjectID="_1813475809" r:id="rId9"/>
        </w:object>
      </w:r>
    </w:p>
    <w:p w14:paraId="350D9B86" w14:textId="77777777" w:rsidR="004B1B7D" w:rsidRDefault="004B1B7D" w:rsidP="00386C8E"/>
    <w:p w14:paraId="39DE606D" w14:textId="77777777" w:rsidR="00772307" w:rsidRDefault="00772307" w:rsidP="00386C8E"/>
    <w:bookmarkStart w:id="1" w:name="_MON_1710875082"/>
    <w:bookmarkEnd w:id="1"/>
    <w:p w14:paraId="3EE4BB9C" w14:textId="7AAE8EF7" w:rsidR="005265D0" w:rsidRDefault="00A42251" w:rsidP="00AC4CEB">
      <w:pPr>
        <w:tabs>
          <w:tab w:val="left" w:pos="5387"/>
          <w:tab w:val="left" w:pos="5850"/>
        </w:tabs>
      </w:pPr>
      <w:r>
        <w:object w:dxaOrig="19198" w:dyaOrig="17450" w14:anchorId="67FE2CBB">
          <v:shape id="_x0000_i1026" type="#_x0000_t75" style="width:479.25pt;height:598.45pt" o:ole="">
            <v:imagedata r:id="rId10" o:title=""/>
          </v:shape>
          <o:OLEObject Type="Embed" ProgID="Excel.Sheet.12" ShapeID="_x0000_i1026" DrawAspect="Content" ObjectID="_1813475810" r:id="rId11"/>
        </w:object>
      </w:r>
    </w:p>
    <w:p w14:paraId="1D71C997" w14:textId="23C4EED7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076EB3">
        <w:object w:dxaOrig="13641" w:dyaOrig="18302" w14:anchorId="314F73A2">
          <v:shape id="_x0000_i1027" type="#_x0000_t75" style="width:503.4pt;height:648.6pt" o:ole="">
            <v:imagedata r:id="rId12" o:title=""/>
          </v:shape>
          <o:OLEObject Type="Embed" ProgID="Excel.Sheet.12" ShapeID="_x0000_i1027" DrawAspect="Content" ObjectID="_1813475811" r:id="rId13"/>
        </w:object>
      </w:r>
    </w:p>
    <w:p w14:paraId="0399468B" w14:textId="77777777" w:rsidR="00772307" w:rsidRDefault="00772307" w:rsidP="00927BA4">
      <w:pPr>
        <w:tabs>
          <w:tab w:val="left" w:pos="2430"/>
        </w:tabs>
      </w:pPr>
    </w:p>
    <w:bookmarkStart w:id="3" w:name="_MON_1710876893"/>
    <w:bookmarkEnd w:id="3"/>
    <w:p w14:paraId="7FA68173" w14:textId="73D96C11" w:rsidR="005E0241" w:rsidRDefault="00B341D7" w:rsidP="00927BA4">
      <w:pPr>
        <w:tabs>
          <w:tab w:val="left" w:pos="2430"/>
        </w:tabs>
      </w:pPr>
      <w:r>
        <w:object w:dxaOrig="15219" w:dyaOrig="11836" w14:anchorId="31C11C34">
          <v:shape id="_x0000_i1028" type="#_x0000_t75" style="width:497.65pt;height:578.9pt" o:ole="">
            <v:imagedata r:id="rId14" o:title=""/>
          </v:shape>
          <o:OLEObject Type="Embed" ProgID="Excel.Sheet.12" ShapeID="_x0000_i1028" DrawAspect="Content" ObjectID="_1813475812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p w14:paraId="6D76C1C6" w14:textId="77777777" w:rsidR="000A3323" w:rsidRDefault="000A3323" w:rsidP="00927BA4">
      <w:pPr>
        <w:tabs>
          <w:tab w:val="left" w:pos="2430"/>
        </w:tabs>
      </w:pPr>
    </w:p>
    <w:bookmarkStart w:id="4" w:name="_MON_1710877543"/>
    <w:bookmarkEnd w:id="4"/>
    <w:p w14:paraId="4B232D1A" w14:textId="2FCC7019" w:rsidR="002106D1" w:rsidRDefault="000A3323" w:rsidP="00927BA4">
      <w:pPr>
        <w:tabs>
          <w:tab w:val="left" w:pos="2430"/>
        </w:tabs>
      </w:pPr>
      <w:r>
        <w:object w:dxaOrig="13125" w:dyaOrig="15030" w14:anchorId="7DB57369">
          <v:shape id="_x0000_i1029" type="#_x0000_t75" style="width:465.4pt;height:527.6pt" o:ole="">
            <v:imagedata r:id="rId16" o:title=""/>
          </v:shape>
          <o:OLEObject Type="Embed" ProgID="Excel.Sheet.12" ShapeID="_x0000_i1029" DrawAspect="Content" ObjectID="_1813475813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2AFFE39F" w14:textId="77777777" w:rsidR="00772307" w:rsidRDefault="00772307" w:rsidP="00927BA4">
      <w:pPr>
        <w:tabs>
          <w:tab w:val="left" w:pos="2430"/>
        </w:tabs>
      </w:pPr>
    </w:p>
    <w:p w14:paraId="73BBF894" w14:textId="77777777" w:rsidR="00772307" w:rsidRDefault="00772307" w:rsidP="00927BA4">
      <w:pPr>
        <w:tabs>
          <w:tab w:val="left" w:pos="2430"/>
        </w:tabs>
      </w:pPr>
    </w:p>
    <w:p w14:paraId="7EB405DB" w14:textId="77777777" w:rsidR="006B0367" w:rsidRDefault="006B0367" w:rsidP="00927BA4">
      <w:pPr>
        <w:tabs>
          <w:tab w:val="left" w:pos="2430"/>
        </w:tabs>
      </w:pPr>
    </w:p>
    <w:p w14:paraId="5B519B44" w14:textId="77777777" w:rsidR="006B0367" w:rsidRDefault="006B0367" w:rsidP="00927BA4">
      <w:pPr>
        <w:tabs>
          <w:tab w:val="left" w:pos="2430"/>
        </w:tabs>
      </w:pPr>
    </w:p>
    <w:bookmarkStart w:id="5" w:name="_MON_1710877960"/>
    <w:bookmarkEnd w:id="5"/>
    <w:p w14:paraId="503A043D" w14:textId="5C003017" w:rsidR="00287D01" w:rsidRDefault="00A15DA5" w:rsidP="00927BA4">
      <w:pPr>
        <w:tabs>
          <w:tab w:val="left" w:pos="2430"/>
        </w:tabs>
      </w:pPr>
      <w:r>
        <w:object w:dxaOrig="18485" w:dyaOrig="18116" w14:anchorId="5CC17CA3">
          <v:shape id="_x0000_i1030" type="#_x0000_t75" style="width:509.2pt;height:607.7pt" o:ole="">
            <v:imagedata r:id="rId18" o:title=""/>
          </v:shape>
          <o:OLEObject Type="Embed" ProgID="Excel.Sheet.12" ShapeID="_x0000_i1030" DrawAspect="Content" ObjectID="_1813475814" r:id="rId19"/>
        </w:object>
      </w:r>
    </w:p>
    <w:p w14:paraId="732A43B7" w14:textId="77777777" w:rsidR="002202FB" w:rsidRDefault="002202FB" w:rsidP="00927BA4">
      <w:pPr>
        <w:tabs>
          <w:tab w:val="left" w:pos="2430"/>
        </w:tabs>
      </w:pPr>
    </w:p>
    <w:p w14:paraId="6AB56EFE" w14:textId="77777777" w:rsidR="00F409CD" w:rsidRDefault="00F409CD" w:rsidP="00927BA4">
      <w:pPr>
        <w:tabs>
          <w:tab w:val="left" w:pos="2430"/>
        </w:tabs>
      </w:pPr>
    </w:p>
    <w:bookmarkStart w:id="6" w:name="_MON_1710878808"/>
    <w:bookmarkEnd w:id="6"/>
    <w:p w14:paraId="159B73F8" w14:textId="7F655C77" w:rsidR="007C37A3" w:rsidRDefault="000A3323" w:rsidP="009E4661">
      <w:pPr>
        <w:tabs>
          <w:tab w:val="left" w:pos="2430"/>
          <w:tab w:val="left" w:pos="5529"/>
        </w:tabs>
      </w:pPr>
      <w:r>
        <w:object w:dxaOrig="12405" w:dyaOrig="17355" w14:anchorId="05F27B4F">
          <v:shape id="_x0000_i1031" type="#_x0000_t75" style="width:452.75pt;height:9in" o:ole="">
            <v:imagedata r:id="rId20" o:title=""/>
          </v:shape>
          <o:OLEObject Type="Embed" ProgID="Excel.Sheet.12" ShapeID="_x0000_i1031" DrawAspect="Content" ObjectID="_1813475815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50A2F4A0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110A10">
        <w:rPr>
          <w:rFonts w:ascii="Arial" w:hAnsi="Arial" w:cs="Arial"/>
          <w:sz w:val="18"/>
          <w:szCs w:val="18"/>
        </w:rPr>
        <w:t>0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110A10">
        <w:rPr>
          <w:rFonts w:ascii="Arial" w:hAnsi="Arial" w:cs="Arial"/>
          <w:sz w:val="18"/>
          <w:szCs w:val="18"/>
        </w:rPr>
        <w:t>junio</w:t>
      </w:r>
      <w:r w:rsidR="00F409CD">
        <w:rPr>
          <w:rFonts w:ascii="Arial" w:hAnsi="Arial" w:cs="Arial"/>
          <w:sz w:val="18"/>
          <w:szCs w:val="18"/>
        </w:rPr>
        <w:t xml:space="preserve"> </w:t>
      </w:r>
      <w:r w:rsidR="00AE4D3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Ejercicio Fiscal 202</w:t>
      </w:r>
      <w:r w:rsidR="00F409C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6F687EB3" w14:textId="77777777" w:rsidR="00E90C87" w:rsidRPr="00E04013" w:rsidRDefault="00E90C87" w:rsidP="00005869">
      <w:pPr>
        <w:jc w:val="both"/>
        <w:rPr>
          <w:rFonts w:ascii="Soberana Sans Light" w:hAnsi="Soberana Sans Light"/>
          <w:b/>
        </w:rPr>
      </w:pPr>
    </w:p>
    <w:p w14:paraId="694DE293" w14:textId="77777777" w:rsidR="00F409CD" w:rsidRDefault="00F409CD" w:rsidP="00E04013">
      <w:pPr>
        <w:jc w:val="center"/>
        <w:rPr>
          <w:rFonts w:ascii="Soberana Sans Light" w:hAnsi="Soberana Sans Light"/>
          <w:b/>
        </w:rPr>
      </w:pPr>
    </w:p>
    <w:p w14:paraId="2BFA21E5" w14:textId="0139A77D" w:rsidR="00A630CE" w:rsidRDefault="00E04013" w:rsidP="00E04013">
      <w:pPr>
        <w:jc w:val="center"/>
        <w:rPr>
          <w:rFonts w:ascii="Soberana Sans Light" w:hAnsi="Soberana Sans Light"/>
          <w:b/>
        </w:rPr>
      </w:pPr>
      <w:r w:rsidRPr="00E04013">
        <w:rPr>
          <w:rFonts w:ascii="Soberana Sans Light" w:hAnsi="Soberana Sans Light"/>
          <w:b/>
        </w:rPr>
        <w:t>INSTITUTO DE CATASTRO</w:t>
      </w:r>
      <w:r>
        <w:rPr>
          <w:rFonts w:ascii="Soberana Sans Light" w:hAnsi="Soberana Sans Light"/>
          <w:b/>
        </w:rPr>
        <w:t xml:space="preserve"> DEL ESTADO DE TLAXCALA</w:t>
      </w:r>
    </w:p>
    <w:p w14:paraId="3B993C2B" w14:textId="7FE7A6FE" w:rsidR="00E04013" w:rsidRDefault="00E04013" w:rsidP="00E04013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 xml:space="preserve">DEL 01 DE ENERO AL </w:t>
      </w:r>
      <w:r w:rsidR="002106D1">
        <w:rPr>
          <w:rFonts w:ascii="Soberana Sans Light" w:hAnsi="Soberana Sans Light"/>
          <w:b/>
        </w:rPr>
        <w:t>3</w:t>
      </w:r>
      <w:r w:rsidR="00110A10">
        <w:rPr>
          <w:rFonts w:ascii="Soberana Sans Light" w:hAnsi="Soberana Sans Light"/>
          <w:b/>
        </w:rPr>
        <w:t>0</w:t>
      </w:r>
      <w:r>
        <w:rPr>
          <w:rFonts w:ascii="Soberana Sans Light" w:hAnsi="Soberana Sans Light"/>
          <w:b/>
        </w:rPr>
        <w:t xml:space="preserve"> DE </w:t>
      </w:r>
      <w:r w:rsidR="00110A10">
        <w:rPr>
          <w:rFonts w:ascii="Soberana Sans Light" w:hAnsi="Soberana Sans Light"/>
          <w:b/>
        </w:rPr>
        <w:t xml:space="preserve">JUNIO </w:t>
      </w:r>
      <w:r>
        <w:rPr>
          <w:rFonts w:ascii="Soberana Sans Light" w:hAnsi="Soberana Sans Light"/>
          <w:b/>
        </w:rPr>
        <w:t>DE 202</w:t>
      </w:r>
      <w:r w:rsidR="00F409CD">
        <w:rPr>
          <w:rFonts w:ascii="Soberana Sans Light" w:hAnsi="Soberana Sans Light"/>
          <w:b/>
        </w:rPr>
        <w:t>5</w:t>
      </w:r>
    </w:p>
    <w:p w14:paraId="425467EA" w14:textId="3F0B62EF" w:rsidR="00FC5E9D" w:rsidRPr="00FC5E9D" w:rsidRDefault="00FC5E9D" w:rsidP="00FA57A1">
      <w:pPr>
        <w:pStyle w:val="Prrafodelista"/>
        <w:numPr>
          <w:ilvl w:val="0"/>
          <w:numId w:val="15"/>
        </w:numPr>
        <w:jc w:val="center"/>
        <w:rPr>
          <w:rFonts w:ascii="Soberana Sans Light" w:hAnsi="Soberana Sans Light"/>
          <w:b/>
        </w:rPr>
      </w:pPr>
      <w:r w:rsidRPr="00FC5E9D">
        <w:rPr>
          <w:rFonts w:ascii="Soberana Sans Light" w:hAnsi="Soberana Sans Light"/>
          <w:b/>
        </w:rPr>
        <w:t>NOTAS A LOS ESTADOS FINANCIEROS</w:t>
      </w:r>
    </w:p>
    <w:p w14:paraId="5227C1FC" w14:textId="5A49C2ED" w:rsidR="00B149B9" w:rsidRPr="000F6B3C" w:rsidRDefault="001B2D8B" w:rsidP="00B149B9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 xml:space="preserve">a) </w:t>
      </w:r>
      <w:r w:rsidR="00B149B9">
        <w:rPr>
          <w:b/>
          <w:szCs w:val="18"/>
        </w:rPr>
        <w:t>N</w:t>
      </w:r>
      <w:r w:rsidR="00B149B9" w:rsidRPr="000F6B3C">
        <w:rPr>
          <w:b/>
          <w:szCs w:val="18"/>
          <w:lang w:val="es-MX"/>
        </w:rPr>
        <w:t>OTAS DE GESTIÓN ADMINISTRATIVA</w:t>
      </w:r>
    </w:p>
    <w:p w14:paraId="3A033697" w14:textId="77777777" w:rsidR="00B149B9" w:rsidRDefault="00B149B9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28520211" w14:textId="3D33A855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szCs w:val="18"/>
          <w:lang w:val="es-MX"/>
        </w:rPr>
      </w:pPr>
      <w:r w:rsidRPr="000F6B3C">
        <w:rPr>
          <w:b/>
          <w:szCs w:val="18"/>
          <w:lang w:val="es-MX"/>
        </w:rPr>
        <w:t>Autorización e Historia</w:t>
      </w:r>
    </w:p>
    <w:p w14:paraId="6A426FA6" w14:textId="77777777" w:rsidR="00B149B9" w:rsidRPr="000F6B3C" w:rsidRDefault="00B149B9" w:rsidP="00B149B9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11C229EB" w14:textId="77777777" w:rsidR="00B149B9" w:rsidRPr="000F6B3C" w:rsidRDefault="00B149B9" w:rsidP="00B149B9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60CEE473" w14:textId="77777777" w:rsidR="00B149B9" w:rsidRDefault="00B149B9" w:rsidP="00B149B9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0DC1C21C" w14:textId="77777777" w:rsidR="00B149B9" w:rsidRDefault="00B149B9" w:rsidP="00B149B9">
      <w:pPr>
        <w:pStyle w:val="INCISO"/>
        <w:spacing w:after="0" w:line="240" w:lineRule="exact"/>
        <w:ind w:left="0" w:firstLine="0"/>
      </w:pPr>
    </w:p>
    <w:p w14:paraId="494E4602" w14:textId="35062878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484B5A49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14:paraId="5AE08E92" w14:textId="5CC9531E" w:rsidR="00B149B9" w:rsidRDefault="00B149B9" w:rsidP="00B149B9">
      <w:pPr>
        <w:ind w:left="426"/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 w:rsidR="00F409C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2025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11,026,748.00 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(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>Once millones veintiséis mil setecientos cuarenta y ocho p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esos 00/100 M.N.)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,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Pr="0099184A">
        <w:rPr>
          <w:b/>
          <w:szCs w:val="20"/>
        </w:rPr>
        <w:t>publicado</w:t>
      </w:r>
      <w:r>
        <w:rPr>
          <w:b/>
          <w:szCs w:val="20"/>
        </w:rPr>
        <w:t xml:space="preserve"> en el periódico oficia</w:t>
      </w:r>
      <w:r w:rsidR="00F409CD">
        <w:rPr>
          <w:b/>
          <w:szCs w:val="20"/>
        </w:rPr>
        <w:t>l el Decreto No. 117 de fecha 13</w:t>
      </w:r>
      <w:r>
        <w:rPr>
          <w:b/>
          <w:szCs w:val="20"/>
        </w:rPr>
        <w:t xml:space="preserve"> de diciembre de 202</w:t>
      </w:r>
      <w:r w:rsidR="00F409CD">
        <w:rPr>
          <w:b/>
          <w:szCs w:val="20"/>
        </w:rPr>
        <w:t>4</w:t>
      </w:r>
      <w:r>
        <w:rPr>
          <w:b/>
          <w:szCs w:val="20"/>
        </w:rPr>
        <w:t>.</w:t>
      </w:r>
    </w:p>
    <w:p w14:paraId="6DC9F9A5" w14:textId="113D273B" w:rsidR="00B94935" w:rsidRDefault="00B94935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presupuesto anual del Instituto de Catastro 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fue modificado por una 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>reducción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presupuestal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>por la cantidad de $</w:t>
      </w:r>
      <w:r w:rsidR="004965A8">
        <w:rPr>
          <w:rFonts w:ascii="Arial" w:eastAsia="Times New Roman" w:hAnsi="Arial" w:cs="Arial"/>
          <w:sz w:val="18"/>
          <w:szCs w:val="18"/>
          <w:lang w:val="es-ES" w:eastAsia="es-ES"/>
        </w:rPr>
        <w:t>121,715.00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(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>Ci</w:t>
      </w:r>
      <w:r w:rsidR="004965A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ento veintiún mil setecientos quince pesos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00/100 M.N), por lo que el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presupuesto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modificado al </w:t>
      </w:r>
      <w:r w:rsidR="004965A8">
        <w:rPr>
          <w:rFonts w:ascii="Arial" w:eastAsia="Times New Roman" w:hAnsi="Arial" w:cs="Arial"/>
          <w:sz w:val="18"/>
          <w:szCs w:val="18"/>
          <w:lang w:val="es-ES" w:eastAsia="es-ES"/>
        </w:rPr>
        <w:t>30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4965A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junio 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de 2025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es por el importe de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E13B06">
        <w:rPr>
          <w:rFonts w:ascii="Arial" w:eastAsia="Times New Roman" w:hAnsi="Arial" w:cs="Arial"/>
          <w:b/>
          <w:sz w:val="18"/>
          <w:szCs w:val="18"/>
          <w:lang w:val="es-ES" w:eastAsia="es-ES"/>
        </w:rPr>
        <w:t>1</w:t>
      </w:r>
      <w:r w:rsidR="004965A8">
        <w:rPr>
          <w:rFonts w:ascii="Arial" w:eastAsia="Times New Roman" w:hAnsi="Arial" w:cs="Arial"/>
          <w:b/>
          <w:sz w:val="18"/>
          <w:szCs w:val="18"/>
          <w:lang w:val="es-ES" w:eastAsia="es-ES"/>
        </w:rPr>
        <w:t>0,905,033</w:t>
      </w:r>
      <w:r w:rsidR="0096420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(</w:t>
      </w:r>
      <w:r w:rsidR="00E13B06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Diez millones novecientos </w:t>
      </w:r>
      <w:r w:rsidR="004965A8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cinco mil treinta y tres 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>p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esos 00/100 M.N.)</w:t>
      </w:r>
      <w:r w:rsid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;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quedando como a continuación se detalla: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661"/>
        <w:gridCol w:w="1348"/>
        <w:gridCol w:w="987"/>
        <w:gridCol w:w="1512"/>
        <w:gridCol w:w="1321"/>
        <w:gridCol w:w="1240"/>
        <w:gridCol w:w="1240"/>
        <w:gridCol w:w="1294"/>
      </w:tblGrid>
      <w:tr w:rsidR="00032C36" w:rsidRPr="00497078" w14:paraId="793A063D" w14:textId="65144D20" w:rsidTr="00E13B06">
        <w:trPr>
          <w:trHeight w:val="198"/>
        </w:trPr>
        <w:tc>
          <w:tcPr>
            <w:tcW w:w="661" w:type="dxa"/>
            <w:vMerge w:val="restart"/>
            <w:shd w:val="clear" w:color="auto" w:fill="D9D9D9" w:themeFill="background1" w:themeFillShade="D9"/>
          </w:tcPr>
          <w:p w14:paraId="436F4505" w14:textId="47542890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No.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</w:tcPr>
          <w:p w14:paraId="1EB7A4AA" w14:textId="1F52BAC7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87" w:type="dxa"/>
            <w:vMerge w:val="restart"/>
            <w:shd w:val="clear" w:color="auto" w:fill="D9D9D9" w:themeFill="background1" w:themeFillShade="D9"/>
          </w:tcPr>
          <w:p w14:paraId="0634CB0E" w14:textId="6DFCD0E4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Fuente</w:t>
            </w:r>
          </w:p>
        </w:tc>
        <w:tc>
          <w:tcPr>
            <w:tcW w:w="1512" w:type="dxa"/>
            <w:vMerge w:val="restart"/>
            <w:shd w:val="clear" w:color="auto" w:fill="D9D9D9" w:themeFill="background1" w:themeFillShade="D9"/>
          </w:tcPr>
          <w:p w14:paraId="325E7B87" w14:textId="0E37A982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Sub-Fuente</w:t>
            </w:r>
          </w:p>
        </w:tc>
        <w:tc>
          <w:tcPr>
            <w:tcW w:w="5095" w:type="dxa"/>
            <w:gridSpan w:val="4"/>
            <w:shd w:val="clear" w:color="auto" w:fill="D9D9D9" w:themeFill="background1" w:themeFillShade="D9"/>
          </w:tcPr>
          <w:p w14:paraId="56DFB1A5" w14:textId="14AFB029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Presupuesto</w:t>
            </w:r>
          </w:p>
        </w:tc>
      </w:tr>
      <w:tr w:rsidR="00E13B06" w:rsidRPr="00497078" w14:paraId="00D94580" w14:textId="77777777" w:rsidTr="00E13B06">
        <w:trPr>
          <w:trHeight w:val="136"/>
        </w:trPr>
        <w:tc>
          <w:tcPr>
            <w:tcW w:w="661" w:type="dxa"/>
            <w:vMerge/>
            <w:shd w:val="clear" w:color="auto" w:fill="D9D9D9" w:themeFill="background1" w:themeFillShade="D9"/>
          </w:tcPr>
          <w:p w14:paraId="45206AC7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48" w:type="dxa"/>
            <w:vMerge/>
            <w:shd w:val="clear" w:color="auto" w:fill="D9D9D9" w:themeFill="background1" w:themeFillShade="D9"/>
          </w:tcPr>
          <w:p w14:paraId="07AD214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</w:tcPr>
          <w:p w14:paraId="17E13645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12" w:type="dxa"/>
            <w:vMerge/>
            <w:shd w:val="clear" w:color="auto" w:fill="D9D9D9" w:themeFill="background1" w:themeFillShade="D9"/>
          </w:tcPr>
          <w:p w14:paraId="35EBBA6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2F59CF64" w14:textId="3B085029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Autorizado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2375F2FE" w14:textId="3FA1B43A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Ampliación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EF7AE92" w14:textId="398BE9BD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Reducción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EF10EFF" w14:textId="4792DB3D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Modificado.</w:t>
            </w:r>
          </w:p>
        </w:tc>
      </w:tr>
      <w:tr w:rsidR="00E13B06" w:rsidRPr="00497078" w14:paraId="545D72D3" w14:textId="54E5F538" w:rsidTr="00E13B06">
        <w:trPr>
          <w:trHeight w:val="507"/>
        </w:trPr>
        <w:tc>
          <w:tcPr>
            <w:tcW w:w="661" w:type="dxa"/>
          </w:tcPr>
          <w:p w14:paraId="420E451A" w14:textId="18440D7C" w:rsidR="001133D7" w:rsidRPr="00497078" w:rsidRDefault="00E13B0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91/2J</w:t>
            </w:r>
          </w:p>
        </w:tc>
        <w:tc>
          <w:tcPr>
            <w:tcW w:w="1348" w:type="dxa"/>
          </w:tcPr>
          <w:p w14:paraId="387DC280" w14:textId="511E9543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987" w:type="dxa"/>
          </w:tcPr>
          <w:p w14:paraId="4B9B69FD" w14:textId="36878BDD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Recursos Federales</w:t>
            </w:r>
          </w:p>
        </w:tc>
        <w:tc>
          <w:tcPr>
            <w:tcW w:w="1512" w:type="dxa"/>
          </w:tcPr>
          <w:p w14:paraId="243DDF4F" w14:textId="2C5C4C83" w:rsidR="001133D7" w:rsidRPr="00497078" w:rsidRDefault="001133D7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/01 Fondo General de Participaciones</w:t>
            </w:r>
          </w:p>
        </w:tc>
        <w:tc>
          <w:tcPr>
            <w:tcW w:w="1321" w:type="dxa"/>
          </w:tcPr>
          <w:p w14:paraId="74ACAFB7" w14:textId="3757CE11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7,801,464.00</w:t>
            </w:r>
          </w:p>
        </w:tc>
        <w:tc>
          <w:tcPr>
            <w:tcW w:w="1240" w:type="dxa"/>
          </w:tcPr>
          <w:p w14:paraId="1FDDED67" w14:textId="650A79A7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240" w:type="dxa"/>
          </w:tcPr>
          <w:p w14:paraId="1FE94DE1" w14:textId="5DE9F281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294" w:type="dxa"/>
          </w:tcPr>
          <w:p w14:paraId="14FD5969" w14:textId="62405372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7,801,464.00</w:t>
            </w:r>
          </w:p>
        </w:tc>
      </w:tr>
      <w:tr w:rsidR="00E13B06" w:rsidRPr="00497078" w14:paraId="36028464" w14:textId="77777777" w:rsidTr="00E13B06">
        <w:trPr>
          <w:trHeight w:val="854"/>
        </w:trPr>
        <w:tc>
          <w:tcPr>
            <w:tcW w:w="661" w:type="dxa"/>
          </w:tcPr>
          <w:p w14:paraId="1AFE727B" w14:textId="1732E997" w:rsidR="001133D7" w:rsidRPr="00497078" w:rsidRDefault="00E13B0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91/2J</w:t>
            </w:r>
          </w:p>
        </w:tc>
        <w:tc>
          <w:tcPr>
            <w:tcW w:w="1348" w:type="dxa"/>
          </w:tcPr>
          <w:p w14:paraId="2E7A9647" w14:textId="4738134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987" w:type="dxa"/>
          </w:tcPr>
          <w:p w14:paraId="2FE3E11C" w14:textId="42FDD1C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Ingresos Propios</w:t>
            </w:r>
          </w:p>
        </w:tc>
        <w:tc>
          <w:tcPr>
            <w:tcW w:w="1512" w:type="dxa"/>
          </w:tcPr>
          <w:p w14:paraId="543FB54E" w14:textId="745F4488" w:rsidR="001133D7" w:rsidRPr="00497078" w:rsidRDefault="00032C3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714/Ju Ingresos por ventas de bienes de organismos descentralizados</w:t>
            </w:r>
          </w:p>
        </w:tc>
        <w:tc>
          <w:tcPr>
            <w:tcW w:w="1321" w:type="dxa"/>
          </w:tcPr>
          <w:p w14:paraId="2B1B4BC7" w14:textId="55EB4890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2,618,834.00</w:t>
            </w:r>
          </w:p>
        </w:tc>
        <w:tc>
          <w:tcPr>
            <w:tcW w:w="1240" w:type="dxa"/>
          </w:tcPr>
          <w:p w14:paraId="5136CDFC" w14:textId="116CC8D0" w:rsidR="001133D7" w:rsidRPr="00497078" w:rsidRDefault="004965A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74,629.00</w:t>
            </w:r>
          </w:p>
        </w:tc>
        <w:tc>
          <w:tcPr>
            <w:tcW w:w="1240" w:type="dxa"/>
          </w:tcPr>
          <w:p w14:paraId="3E891B55" w14:textId="47F7621E" w:rsidR="001133D7" w:rsidRPr="00497078" w:rsidRDefault="004965A8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-196,344.00</w:t>
            </w:r>
          </w:p>
        </w:tc>
        <w:tc>
          <w:tcPr>
            <w:tcW w:w="1294" w:type="dxa"/>
          </w:tcPr>
          <w:p w14:paraId="2CEA5D1A" w14:textId="6A83A6C8" w:rsidR="001133D7" w:rsidRPr="00497078" w:rsidRDefault="00AC5247" w:rsidP="0050235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2,497,119.00</w:t>
            </w:r>
          </w:p>
        </w:tc>
      </w:tr>
      <w:tr w:rsidR="00E13B06" w:rsidRPr="00497078" w14:paraId="467DA77B" w14:textId="22F770C6" w:rsidTr="00E13B06">
        <w:trPr>
          <w:trHeight w:val="507"/>
        </w:trPr>
        <w:tc>
          <w:tcPr>
            <w:tcW w:w="661" w:type="dxa"/>
          </w:tcPr>
          <w:p w14:paraId="200AEA70" w14:textId="3AA62311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94/2M</w:t>
            </w:r>
          </w:p>
        </w:tc>
        <w:tc>
          <w:tcPr>
            <w:tcW w:w="1348" w:type="dxa"/>
          </w:tcPr>
          <w:p w14:paraId="5DD07FBC" w14:textId="724B72D7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Control Administrativo del I.D.C.</w:t>
            </w:r>
          </w:p>
        </w:tc>
        <w:tc>
          <w:tcPr>
            <w:tcW w:w="987" w:type="dxa"/>
          </w:tcPr>
          <w:p w14:paraId="22C14037" w14:textId="24697F7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512" w:type="dxa"/>
          </w:tcPr>
          <w:p w14:paraId="6AC94D8D" w14:textId="7E4C611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321" w:type="dxa"/>
          </w:tcPr>
          <w:p w14:paraId="47B116AE" w14:textId="4F76E4B7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535,050.00</w:t>
            </w:r>
          </w:p>
        </w:tc>
        <w:tc>
          <w:tcPr>
            <w:tcW w:w="1240" w:type="dxa"/>
          </w:tcPr>
          <w:p w14:paraId="6FBFDFCF" w14:textId="73091BD9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40" w:type="dxa"/>
          </w:tcPr>
          <w:p w14:paraId="2EF9F6CB" w14:textId="3F7E3DA2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94" w:type="dxa"/>
            <w:shd w:val="clear" w:color="auto" w:fill="auto"/>
          </w:tcPr>
          <w:p w14:paraId="09AE19E6" w14:textId="6F8C7D4C" w:rsidR="00E13B06" w:rsidRPr="00E13B06" w:rsidRDefault="00E13B06" w:rsidP="00E13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535,050.00</w:t>
            </w:r>
          </w:p>
        </w:tc>
      </w:tr>
      <w:tr w:rsidR="00E13B06" w:rsidRPr="00497078" w14:paraId="4119E33F" w14:textId="0DB39915" w:rsidTr="00E13B06">
        <w:trPr>
          <w:trHeight w:val="680"/>
        </w:trPr>
        <w:tc>
          <w:tcPr>
            <w:tcW w:w="661" w:type="dxa"/>
          </w:tcPr>
          <w:p w14:paraId="5D8EFC70" w14:textId="089C44F1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93/2L</w:t>
            </w:r>
          </w:p>
        </w:tc>
        <w:tc>
          <w:tcPr>
            <w:tcW w:w="1348" w:type="dxa"/>
          </w:tcPr>
          <w:p w14:paraId="51773DF6" w14:textId="7A784C37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Actualización del Padrón y Cartografía Catastral</w:t>
            </w:r>
          </w:p>
        </w:tc>
        <w:tc>
          <w:tcPr>
            <w:tcW w:w="987" w:type="dxa"/>
          </w:tcPr>
          <w:p w14:paraId="6690E812" w14:textId="61F5685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512" w:type="dxa"/>
          </w:tcPr>
          <w:p w14:paraId="6023F558" w14:textId="1EB158E8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321" w:type="dxa"/>
          </w:tcPr>
          <w:p w14:paraId="5E882601" w14:textId="2E04DDE1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iCs/>
                <w:sz w:val="16"/>
                <w:szCs w:val="16"/>
              </w:rPr>
              <w:t>71,400.00</w:t>
            </w:r>
          </w:p>
        </w:tc>
        <w:tc>
          <w:tcPr>
            <w:tcW w:w="1240" w:type="dxa"/>
          </w:tcPr>
          <w:p w14:paraId="2826E9ED" w14:textId="690F359C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40" w:type="dxa"/>
          </w:tcPr>
          <w:p w14:paraId="77E902B5" w14:textId="07887FA3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94" w:type="dxa"/>
            <w:shd w:val="clear" w:color="auto" w:fill="auto"/>
          </w:tcPr>
          <w:p w14:paraId="3E046F3B" w14:textId="7BAFBB46" w:rsidR="00E13B06" w:rsidRPr="00E13B06" w:rsidRDefault="00E13B06" w:rsidP="00E13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71,400.00</w:t>
            </w:r>
          </w:p>
        </w:tc>
      </w:tr>
      <w:tr w:rsidR="00E13B06" w:rsidRPr="00497078" w14:paraId="386F8B5C" w14:textId="77AC8377" w:rsidTr="00E13B06">
        <w:trPr>
          <w:trHeight w:val="334"/>
        </w:trPr>
        <w:tc>
          <w:tcPr>
            <w:tcW w:w="4508" w:type="dxa"/>
            <w:gridSpan w:val="4"/>
          </w:tcPr>
          <w:p w14:paraId="177574AE" w14:textId="353259F0" w:rsidR="00E13B06" w:rsidRPr="00497078" w:rsidRDefault="00E13B06" w:rsidP="00E13B0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321" w:type="dxa"/>
          </w:tcPr>
          <w:p w14:paraId="3FD503F0" w14:textId="77777777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11,026,748.00</w:t>
            </w:r>
          </w:p>
          <w:p w14:paraId="1009E898" w14:textId="77777777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0" w:type="dxa"/>
          </w:tcPr>
          <w:p w14:paraId="672CB73A" w14:textId="00F7E89D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33,002.00</w:t>
            </w:r>
          </w:p>
        </w:tc>
        <w:tc>
          <w:tcPr>
            <w:tcW w:w="1240" w:type="dxa"/>
          </w:tcPr>
          <w:p w14:paraId="397E2C20" w14:textId="37C1998D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91,279.00</w:t>
            </w:r>
          </w:p>
        </w:tc>
        <w:tc>
          <w:tcPr>
            <w:tcW w:w="1294" w:type="dxa"/>
          </w:tcPr>
          <w:p w14:paraId="303C6517" w14:textId="2A796D50" w:rsidR="00E13B06" w:rsidRPr="00497078" w:rsidRDefault="00E13B06" w:rsidP="004B65EC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10,</w:t>
            </w:r>
            <w:r w:rsidR="004B65E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905,033.00</w:t>
            </w:r>
          </w:p>
        </w:tc>
      </w:tr>
    </w:tbl>
    <w:p w14:paraId="0CC4D41E" w14:textId="77777777" w:rsidR="001133D7" w:rsidRDefault="001133D7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6B5833" w14:textId="77777777" w:rsidR="00B149B9" w:rsidRPr="000F6B3C" w:rsidRDefault="00B149B9" w:rsidP="003B39C5">
      <w:pPr>
        <w:pStyle w:val="Text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Organización y Objeto Social</w:t>
      </w:r>
      <w:r>
        <w:rPr>
          <w:b/>
          <w:szCs w:val="18"/>
          <w:lang w:val="es-MX"/>
        </w:rPr>
        <w:tab/>
      </w:r>
    </w:p>
    <w:p w14:paraId="1B239996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szCs w:val="18"/>
        </w:rPr>
      </w:pPr>
      <w:r w:rsidRPr="000F6B3C">
        <w:rPr>
          <w:szCs w:val="18"/>
        </w:rPr>
        <w:t>Se informará sobre:</w:t>
      </w:r>
    </w:p>
    <w:p w14:paraId="3FC7C91D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6E7B2B2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0633A4A1" w14:textId="31A8ACB1" w:rsidR="00B149B9" w:rsidRDefault="00B149B9" w:rsidP="00B149B9">
      <w:pPr>
        <w:pStyle w:val="INCISO"/>
        <w:spacing w:after="0" w:line="240" w:lineRule="exact"/>
        <w:ind w:left="648" w:firstLine="0"/>
      </w:pPr>
      <w:r>
        <w:t>c)</w:t>
      </w:r>
      <w:r>
        <w:tab/>
        <w:t>Ejercicio fiscal: 202</w:t>
      </w:r>
      <w:r w:rsidR="000B4443">
        <w:t>5</w:t>
      </w:r>
    </w:p>
    <w:p w14:paraId="063F7B2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4C641F4B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e)</w:t>
      </w:r>
      <w:r w:rsidRPr="000F6B3C">
        <w:tab/>
        <w:t>Consideraciones fiscales del ente: El Instituto de Ca</w:t>
      </w:r>
      <w:r>
        <w:t>tastro está obligado a cumplir con los impuestos Federales (Impuesto Sobre la Renta) e impuestos estatales (3% sobre nómina).</w:t>
      </w:r>
    </w:p>
    <w:p w14:paraId="0EF4770B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53878782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11666E01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2196E5CC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0F886F56" w14:textId="34FA76E3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f)</w:t>
      </w:r>
      <w:r w:rsidRPr="000F6B3C">
        <w:tab/>
        <w:t xml:space="preserve">Estructura organizacional básica: </w:t>
      </w:r>
    </w:p>
    <w:p w14:paraId="0023EED1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1 Director General</w:t>
      </w:r>
    </w:p>
    <w:p w14:paraId="7D8D80B8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Jefes de departamento</w:t>
      </w:r>
      <w:r>
        <w:t xml:space="preserve">: </w:t>
      </w:r>
      <w:r w:rsidRPr="000F6B3C">
        <w:t xml:space="preserve">Administrativo, </w:t>
      </w:r>
      <w:r>
        <w:t>Valuación, T</w:t>
      </w:r>
      <w:r w:rsidRPr="000F6B3C">
        <w:t>opografía</w:t>
      </w:r>
      <w:r>
        <w:t xml:space="preserve"> y Cartografía, Jurídico, Gestión y Coordinación</w:t>
      </w:r>
      <w:r w:rsidRPr="000F6B3C">
        <w:t>.</w:t>
      </w:r>
    </w:p>
    <w:p w14:paraId="389006E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2</w:t>
      </w:r>
      <w:r w:rsidRPr="000F6B3C">
        <w:t xml:space="preserve"> Jefes de Oficina</w:t>
      </w:r>
    </w:p>
    <w:p w14:paraId="0865E87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4893220C" w14:textId="77777777" w:rsidR="00B149B9" w:rsidRDefault="00B149B9" w:rsidP="00B149B9">
      <w:pPr>
        <w:pStyle w:val="INCISO"/>
        <w:spacing w:after="0" w:line="240" w:lineRule="exact"/>
        <w:ind w:left="648" w:firstLine="0"/>
      </w:pPr>
      <w:r>
        <w:t>1 A</w:t>
      </w:r>
      <w:r w:rsidRPr="000F6B3C">
        <w:t>uxiliar de mantenimiento</w:t>
      </w:r>
    </w:p>
    <w:p w14:paraId="4F8E0EE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17DDDCDB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5D4071B4" w14:textId="3D88EF3A" w:rsidR="00B149B9" w:rsidRDefault="00B149B9" w:rsidP="003B1371">
      <w:pPr>
        <w:pStyle w:val="INCISO"/>
        <w:spacing w:after="0" w:line="240" w:lineRule="exact"/>
        <w:ind w:left="648" w:firstLine="0"/>
      </w:pPr>
    </w:p>
    <w:p w14:paraId="4FDF57E4" w14:textId="594F3D41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Bases de Preparación de los Estados Financieros</w:t>
      </w:r>
    </w:p>
    <w:p w14:paraId="463BB506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7B9C6FEF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3B7F0BFA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13FB3BE2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2834FA36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136FAA6F" w14:textId="77777777" w:rsidR="003B1371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1757C3D" w14:textId="77777777" w:rsidR="003B1371" w:rsidRDefault="003B1371" w:rsidP="003B1371">
      <w:pPr>
        <w:pStyle w:val="INCISO"/>
        <w:spacing w:after="0" w:line="240" w:lineRule="exact"/>
        <w:ind w:left="648" w:firstLine="0"/>
      </w:pPr>
    </w:p>
    <w:p w14:paraId="18C19EAF" w14:textId="77777777" w:rsidR="00B149B9" w:rsidRDefault="00B149B9" w:rsidP="00B149B9">
      <w:pPr>
        <w:pStyle w:val="INCISO"/>
        <w:spacing w:after="0" w:line="240" w:lineRule="exact"/>
      </w:pPr>
    </w:p>
    <w:p w14:paraId="2D2E1CA9" w14:textId="563E2B95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Políticas de Contabilidad Significativas</w:t>
      </w:r>
    </w:p>
    <w:p w14:paraId="5D0E3FD5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06B3B050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367FB00D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5B91A508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7D751A97" w14:textId="77777777" w:rsidR="003B1371" w:rsidRPr="000F6B3C" w:rsidRDefault="003B1371" w:rsidP="003B1371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Pr="00CC00D0">
        <w:t>Sistema de “Control de Inventarios Armonizados” (CIA)</w:t>
      </w:r>
      <w:r>
        <w:t xml:space="preserve"> administrado por la </w:t>
      </w:r>
      <w:r w:rsidRPr="00CC00D0">
        <w:t>Dirección de Recursos Materiales, Servicios Generales e Inmuebles perteneciente a la Oficialía Mayor de Gobierno</w:t>
      </w:r>
    </w:p>
    <w:p w14:paraId="108A0845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1A6C0AD2" w14:textId="77777777" w:rsidR="003B1371" w:rsidRPr="000F6B3C" w:rsidRDefault="003B1371" w:rsidP="003B1371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3DE7E644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>
        <w:t>.</w:t>
      </w:r>
    </w:p>
    <w:p w14:paraId="04799F97" w14:textId="77777777" w:rsidR="003B1371" w:rsidRDefault="003B1371" w:rsidP="003B1371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1E8D9DE" w14:textId="13FFD3B5" w:rsidR="003B1371" w:rsidRPr="000F6B3C" w:rsidRDefault="003B1371" w:rsidP="003B1371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 w:rsidR="002202FB">
        <w:t>durante el ejercicio fiscal 2025</w:t>
      </w:r>
      <w:r>
        <w:t>.</w:t>
      </w:r>
    </w:p>
    <w:p w14:paraId="5CFAD2E4" w14:textId="77777777" w:rsidR="003B1371" w:rsidRDefault="003B1371" w:rsidP="003B1371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22CC5367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3D13063D" w14:textId="0CEE7DB0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Posición en Moneda Extranjera y Protección por Riesgo Cambiario</w:t>
      </w:r>
    </w:p>
    <w:p w14:paraId="14A5F2F9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  <w:r>
        <w:rPr>
          <w:szCs w:val="18"/>
        </w:rPr>
        <w:t xml:space="preserve">Se informa sobre: </w:t>
      </w:r>
    </w:p>
    <w:p w14:paraId="3260A8E0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CA74BCC" w14:textId="5EE6E4CC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existen activos expresados monera extranjera.</w:t>
      </w:r>
    </w:p>
    <w:p w14:paraId="48771A0E" w14:textId="7FD84ECF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</w:t>
      </w:r>
      <w:r w:rsidR="000E78F7">
        <w:rPr>
          <w:szCs w:val="18"/>
        </w:rPr>
        <w:t>o ex</w:t>
      </w:r>
      <w:r>
        <w:rPr>
          <w:szCs w:val="18"/>
        </w:rPr>
        <w:t>isten pasivos en monera extranjera</w:t>
      </w:r>
      <w:r w:rsidR="000E78F7">
        <w:rPr>
          <w:szCs w:val="18"/>
        </w:rPr>
        <w:t>.</w:t>
      </w:r>
    </w:p>
    <w:p w14:paraId="3B0D1480" w14:textId="634775A9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posición en monera extranjera.</w:t>
      </w:r>
    </w:p>
    <w:p w14:paraId="47748E85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tipo de cambio.</w:t>
      </w:r>
    </w:p>
    <w:p w14:paraId="0BBB28A6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equivalentes en moneda nacional.</w:t>
      </w:r>
    </w:p>
    <w:p w14:paraId="66BFFC26" w14:textId="77777777" w:rsidR="000E78F7" w:rsidRDefault="000E78F7" w:rsidP="000E78F7">
      <w:pPr>
        <w:pStyle w:val="Texto"/>
        <w:spacing w:after="0" w:line="240" w:lineRule="exact"/>
        <w:rPr>
          <w:szCs w:val="18"/>
        </w:rPr>
      </w:pPr>
    </w:p>
    <w:p w14:paraId="647EAD6E" w14:textId="77777777" w:rsidR="00AA59CA" w:rsidRDefault="00AA59CA" w:rsidP="000E78F7">
      <w:pPr>
        <w:pStyle w:val="Texto"/>
        <w:spacing w:after="0" w:line="240" w:lineRule="exact"/>
        <w:rPr>
          <w:szCs w:val="18"/>
        </w:rPr>
      </w:pPr>
    </w:p>
    <w:p w14:paraId="64BE7184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7915D1C8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21ED829C" w14:textId="77C5CC5A" w:rsidR="003B1371" w:rsidRPr="000E78F7" w:rsidRDefault="000E78F7" w:rsidP="000E78F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Derivado de lo anterior no existe información a revelar por métodos de protección de riesgo por variaciones en el tipo de cambio ya que la</w:t>
      </w:r>
      <w:r w:rsidR="003B1371" w:rsidRPr="000E78F7">
        <w:rPr>
          <w:szCs w:val="18"/>
        </w:rPr>
        <w:t>s operaciones que realiza el Instituto de Catastro, son en Moneda Nacional (</w:t>
      </w:r>
      <w:r>
        <w:rPr>
          <w:szCs w:val="18"/>
        </w:rPr>
        <w:t>peso Mexicano</w:t>
      </w:r>
      <w:r w:rsidR="003B1371" w:rsidRPr="000E78F7">
        <w:rPr>
          <w:szCs w:val="18"/>
        </w:rPr>
        <w:t>)</w:t>
      </w:r>
      <w:r>
        <w:rPr>
          <w:szCs w:val="18"/>
        </w:rPr>
        <w:t>.</w:t>
      </w:r>
    </w:p>
    <w:p w14:paraId="2F7209CB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31FA4F0" w14:textId="706F0AA3" w:rsidR="000E78F7" w:rsidRPr="000F6B3C" w:rsidRDefault="000E78F7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Analítico del Activo</w:t>
      </w:r>
    </w:p>
    <w:p w14:paraId="20077583" w14:textId="77777777" w:rsidR="000E78F7" w:rsidRPr="000F6B3C" w:rsidRDefault="000E78F7" w:rsidP="000E78F7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32361ABE" w14:textId="3B647A40" w:rsidR="004B65EC" w:rsidRPr="004B65EC" w:rsidRDefault="004B65EC" w:rsidP="00C56E25">
      <w:pPr>
        <w:pStyle w:val="TableParagraph"/>
        <w:numPr>
          <w:ilvl w:val="0"/>
          <w:numId w:val="20"/>
        </w:numPr>
        <w:spacing w:before="35"/>
        <w:ind w:right="991"/>
        <w:rPr>
          <w:rFonts w:eastAsia="Times New Roman"/>
          <w:sz w:val="18"/>
          <w:szCs w:val="18"/>
          <w:lang w:eastAsia="es-ES"/>
        </w:rPr>
      </w:pPr>
      <w:r w:rsidRPr="004B65EC">
        <w:rPr>
          <w:rFonts w:eastAsia="Times New Roman"/>
          <w:sz w:val="18"/>
          <w:szCs w:val="18"/>
          <w:lang w:eastAsia="es-ES"/>
        </w:rPr>
        <w:t xml:space="preserve">Se aplicó </w:t>
      </w:r>
      <w:r w:rsidR="000E78F7" w:rsidRPr="004B65EC">
        <w:rPr>
          <w:rFonts w:eastAsia="Times New Roman"/>
          <w:sz w:val="18"/>
          <w:szCs w:val="18"/>
          <w:lang w:eastAsia="es-ES"/>
        </w:rPr>
        <w:t>un método de depreciación en los diferentes tipos de activos</w:t>
      </w:r>
      <w:r w:rsidRPr="004B65EC">
        <w:rPr>
          <w:rFonts w:eastAsia="Times New Roman"/>
          <w:sz w:val="18"/>
          <w:szCs w:val="18"/>
          <w:lang w:eastAsia="es-ES"/>
        </w:rPr>
        <w:t>: (Costo de adquisición del activo depreciable o amortizable - Valor de deshecho) / Vida útil</w:t>
      </w:r>
    </w:p>
    <w:p w14:paraId="5933F2D6" w14:textId="35D9CCF8" w:rsidR="000E78F7" w:rsidRPr="004B65EC" w:rsidRDefault="004B65EC" w:rsidP="000E78F7">
      <w:pPr>
        <w:pStyle w:val="INCISO"/>
        <w:spacing w:after="0" w:line="240" w:lineRule="exact"/>
      </w:pPr>
      <w:r>
        <w:t xml:space="preserve">      </w:t>
      </w:r>
      <w:r w:rsidR="00C56E25">
        <w:t xml:space="preserve"> </w:t>
      </w:r>
      <w:r w:rsidRPr="004B65EC">
        <w:t>Cabe señalar que se realizó de manera automática en el sistema Contable SAACG.Net</w:t>
      </w:r>
    </w:p>
    <w:p w14:paraId="38F7EA3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19E0033D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41E8FFCB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22A9F746" w14:textId="77777777" w:rsidR="000E78F7" w:rsidRDefault="000E78F7" w:rsidP="000E78F7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6D7FFAD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61C5FB37" w14:textId="77777777" w:rsidR="000E78F7" w:rsidRPr="000F6B3C" w:rsidRDefault="000E78F7" w:rsidP="000E78F7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>
        <w:t>.</w:t>
      </w:r>
    </w:p>
    <w:p w14:paraId="03435E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4A874F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43FC136D" w14:textId="77777777" w:rsidR="000E78F7" w:rsidRDefault="000E78F7" w:rsidP="000E78F7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8822460" w14:textId="3B522631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regi</w:t>
      </w:r>
      <w:r>
        <w:t>straron Inversiones en valores.</w:t>
      </w:r>
    </w:p>
    <w:p w14:paraId="13462740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No se cuenta con patrimonio de organismos descentralizados de control presupuestario indirecto.</w:t>
      </w:r>
    </w:p>
    <w:p w14:paraId="63BFCBA4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mayoritaria.</w:t>
      </w:r>
    </w:p>
    <w:p w14:paraId="4B41CA79" w14:textId="4FF44C56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minoritaria.</w:t>
      </w:r>
    </w:p>
    <w:p w14:paraId="51A384BA" w14:textId="6FAE2CB9" w:rsidR="00C56E25" w:rsidRDefault="000E78F7" w:rsidP="00C56E25">
      <w:pPr>
        <w:pStyle w:val="INCISO"/>
        <w:numPr>
          <w:ilvl w:val="0"/>
          <w:numId w:val="9"/>
        </w:numPr>
        <w:spacing w:after="0" w:line="240" w:lineRule="exact"/>
      </w:pPr>
      <w:r>
        <w:t>El patrimoni</w:t>
      </w:r>
      <w:r w:rsidR="00F33723">
        <w:t>o de organismos descentralizado</w:t>
      </w:r>
      <w:r>
        <w:t xml:space="preserve"> de control Presupuestario directo del Instituto de Catastro es por el importe de $</w:t>
      </w:r>
      <w:r w:rsidR="00C56E25">
        <w:t>1,428,139.00</w:t>
      </w:r>
      <w:r>
        <w:t xml:space="preserve"> (Diez millones setecientos noventa y cinco mil setecientos cinc</w:t>
      </w:r>
      <w:r w:rsidR="00C56E25">
        <w:t>uenta y siete pesos 00/100 M.N), saldo resultante después de la aplicación de depreciación.</w:t>
      </w:r>
    </w:p>
    <w:p w14:paraId="7A3D8B2F" w14:textId="77777777" w:rsidR="000E78F7" w:rsidRDefault="000E78F7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8C8D593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Fideicomisos, Mandatos y Análogos</w:t>
      </w:r>
    </w:p>
    <w:p w14:paraId="6D261D64" w14:textId="48AD164E" w:rsidR="00B149B9" w:rsidRDefault="008E18B6" w:rsidP="008E18B6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Se informa:</w:t>
      </w:r>
    </w:p>
    <w:p w14:paraId="1EAF2BBD" w14:textId="77777777" w:rsidR="008E18B6" w:rsidRDefault="008E18B6" w:rsidP="008E18B6">
      <w:pPr>
        <w:pStyle w:val="INCISO"/>
        <w:spacing w:after="0" w:line="240" w:lineRule="auto"/>
        <w:ind w:left="0" w:firstLine="0"/>
      </w:pPr>
    </w:p>
    <w:p w14:paraId="30E00F13" w14:textId="1D8761BD" w:rsidR="008E18B6" w:rsidRDefault="008E18B6" w:rsidP="008E18B6">
      <w:pPr>
        <w:pStyle w:val="INCISO"/>
        <w:spacing w:after="0" w:line="240" w:lineRule="auto"/>
        <w:ind w:left="0" w:firstLine="709"/>
      </w:pPr>
      <w:r>
        <w:t>No se cuentan con Fideicomisos, Mandatos y Análogos</w:t>
      </w:r>
    </w:p>
    <w:p w14:paraId="333D7A8A" w14:textId="6BC99EDA" w:rsidR="008E18B6" w:rsidRDefault="008E18B6" w:rsidP="008E18B6">
      <w:pPr>
        <w:pStyle w:val="Texto"/>
        <w:spacing w:after="0" w:line="240" w:lineRule="exact"/>
        <w:ind w:firstLine="709"/>
        <w:rPr>
          <w:szCs w:val="18"/>
        </w:rPr>
      </w:pPr>
    </w:p>
    <w:p w14:paraId="4CDD7A4D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de la Recaudación</w:t>
      </w:r>
    </w:p>
    <w:p w14:paraId="67A9BA9B" w14:textId="77777777" w:rsidR="008E18B6" w:rsidRDefault="008E18B6" w:rsidP="008E18B6">
      <w:pPr>
        <w:pStyle w:val="INCISO"/>
        <w:spacing w:after="0" w:line="240" w:lineRule="auto"/>
        <w:ind w:left="0" w:firstLine="709"/>
      </w:pPr>
      <w:r>
        <w:t>El Instituto de Catastro no registra recaudación.</w:t>
      </w:r>
    </w:p>
    <w:p w14:paraId="30FEA034" w14:textId="49BC2A07" w:rsidR="008E18B6" w:rsidRDefault="008E18B6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El Instituto de Catastro proporciona servicios en materia catastral a usuarios, contribuyentes, de los cuales se generan ingresos mismos que éstos no son recaudados directamente por el Instituto ya que una vez recaudos en cuentas de Gobierno del E</w:t>
      </w:r>
      <w:r w:rsidR="00554D64">
        <w:rPr>
          <w:szCs w:val="18"/>
        </w:rPr>
        <w:t>stado, la S</w:t>
      </w:r>
      <w:r>
        <w:rPr>
          <w:szCs w:val="18"/>
        </w:rPr>
        <w:t xml:space="preserve">ecretaría de Finanzas </w:t>
      </w:r>
      <w:r w:rsidR="00554D64">
        <w:rPr>
          <w:szCs w:val="18"/>
        </w:rPr>
        <w:t>los transferirá vía ministración como parte de las participaciones del Instituto.</w:t>
      </w:r>
    </w:p>
    <w:p w14:paraId="6ED4398D" w14:textId="6DCA9344" w:rsidR="00554D64" w:rsidRPr="000B4443" w:rsidRDefault="00554D64" w:rsidP="000B4443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 w:rsidRPr="000B4443">
        <w:rPr>
          <w:szCs w:val="18"/>
        </w:rPr>
        <w:t>Se estimó una recaudación por la prestación de los servicios correspondientes al ejercicio fiscal 202</w:t>
      </w:r>
      <w:r w:rsidR="000B4443" w:rsidRPr="000B4443">
        <w:rPr>
          <w:szCs w:val="18"/>
        </w:rPr>
        <w:t>5</w:t>
      </w:r>
      <w:r w:rsidRPr="000B4443">
        <w:rPr>
          <w:szCs w:val="18"/>
        </w:rPr>
        <w:t xml:space="preserve"> por el importe de $</w:t>
      </w:r>
      <w:r w:rsidR="000B4443" w:rsidRPr="000B4443">
        <w:rPr>
          <w:szCs w:val="18"/>
        </w:rPr>
        <w:t>2,618,834.00 (D</w:t>
      </w:r>
      <w:r w:rsidRPr="000B4443">
        <w:rPr>
          <w:szCs w:val="18"/>
        </w:rPr>
        <w:t>os millones</w:t>
      </w:r>
      <w:r w:rsidR="000B4443" w:rsidRPr="000B4443">
        <w:rPr>
          <w:szCs w:val="18"/>
        </w:rPr>
        <w:t xml:space="preserve"> seiscientos dieciocho mil ochocientos treinta y cuatro </w:t>
      </w:r>
      <w:r w:rsidRPr="000B4443">
        <w:rPr>
          <w:szCs w:val="18"/>
        </w:rPr>
        <w:t>pesos 00/100 M.N.).</w:t>
      </w:r>
      <w:r w:rsidR="00497078" w:rsidRPr="000B4443">
        <w:rPr>
          <w:szCs w:val="18"/>
        </w:rPr>
        <w:t xml:space="preserve">, de los cuales </w:t>
      </w:r>
      <w:r w:rsidR="00502359" w:rsidRPr="000B4443">
        <w:rPr>
          <w:szCs w:val="18"/>
        </w:rPr>
        <w:t xml:space="preserve">fue modificado por una </w:t>
      </w:r>
      <w:r w:rsidR="000B4443" w:rsidRPr="000B4443">
        <w:rPr>
          <w:szCs w:val="18"/>
        </w:rPr>
        <w:t xml:space="preserve">reducción </w:t>
      </w:r>
      <w:r w:rsidR="00502359" w:rsidRPr="000B4443">
        <w:rPr>
          <w:szCs w:val="18"/>
        </w:rPr>
        <w:t xml:space="preserve">presupuestal por el </w:t>
      </w:r>
      <w:r w:rsidR="00497078" w:rsidRPr="000B4443">
        <w:rPr>
          <w:szCs w:val="18"/>
        </w:rPr>
        <w:t xml:space="preserve"> importe de  </w:t>
      </w:r>
      <w:r w:rsidR="00502359" w:rsidRPr="000B4443">
        <w:rPr>
          <w:szCs w:val="18"/>
        </w:rPr>
        <w:t>$</w:t>
      </w:r>
      <w:r w:rsidR="00C56E25">
        <w:rPr>
          <w:szCs w:val="18"/>
        </w:rPr>
        <w:t>121,715.00</w:t>
      </w:r>
      <w:r w:rsidR="00502359" w:rsidRPr="000B4443">
        <w:rPr>
          <w:szCs w:val="18"/>
        </w:rPr>
        <w:t xml:space="preserve"> (C</w:t>
      </w:r>
      <w:r w:rsidR="000B4443" w:rsidRPr="000B4443">
        <w:rPr>
          <w:szCs w:val="18"/>
        </w:rPr>
        <w:t xml:space="preserve">incuenta y ocho mil doscientos setenta y siete </w:t>
      </w:r>
      <w:r w:rsidR="00502359" w:rsidRPr="000B4443">
        <w:rPr>
          <w:szCs w:val="18"/>
        </w:rPr>
        <w:t xml:space="preserve">pesos 00/100 M.N), </w:t>
      </w:r>
      <w:r w:rsidR="00497078" w:rsidRPr="000B4443">
        <w:rPr>
          <w:szCs w:val="18"/>
        </w:rPr>
        <w:t xml:space="preserve">dando una </w:t>
      </w:r>
      <w:r w:rsidR="00015F96" w:rsidRPr="000B4443">
        <w:rPr>
          <w:szCs w:val="18"/>
        </w:rPr>
        <w:t>estimación modificada al 3</w:t>
      </w:r>
      <w:r w:rsidR="00C56E25">
        <w:rPr>
          <w:szCs w:val="18"/>
        </w:rPr>
        <w:t>0</w:t>
      </w:r>
      <w:r w:rsidR="00015F96" w:rsidRPr="000B4443">
        <w:rPr>
          <w:szCs w:val="18"/>
        </w:rPr>
        <w:t xml:space="preserve"> de </w:t>
      </w:r>
      <w:r w:rsidR="00C56E25">
        <w:rPr>
          <w:szCs w:val="18"/>
        </w:rPr>
        <w:t xml:space="preserve">junio </w:t>
      </w:r>
      <w:r w:rsidR="00497078" w:rsidRPr="000B4443">
        <w:rPr>
          <w:szCs w:val="18"/>
        </w:rPr>
        <w:t xml:space="preserve">por la cantidad de </w:t>
      </w:r>
      <w:r w:rsidR="000B4443" w:rsidRPr="000B4443">
        <w:rPr>
          <w:b/>
          <w:szCs w:val="18"/>
        </w:rPr>
        <w:t>$2,</w:t>
      </w:r>
      <w:r w:rsidR="00C56E25">
        <w:rPr>
          <w:b/>
          <w:szCs w:val="18"/>
        </w:rPr>
        <w:t xml:space="preserve">497,119.00 (Dos millones cuatrocientos noventa y siete mil ciento diecinueve </w:t>
      </w:r>
      <w:r w:rsidR="000B4443" w:rsidRPr="000B4443">
        <w:rPr>
          <w:b/>
          <w:szCs w:val="18"/>
        </w:rPr>
        <w:t>pesos 00/100 M.N.).</w:t>
      </w:r>
    </w:p>
    <w:p w14:paraId="1824C724" w14:textId="77777777" w:rsidR="000B4443" w:rsidRPr="000B4443" w:rsidRDefault="000B4443" w:rsidP="000B4443">
      <w:pPr>
        <w:pStyle w:val="Texto"/>
        <w:spacing w:after="0" w:line="240" w:lineRule="exact"/>
        <w:ind w:left="648" w:firstLine="0"/>
        <w:rPr>
          <w:szCs w:val="18"/>
        </w:rPr>
      </w:pPr>
    </w:p>
    <w:p w14:paraId="01C5E0A7" w14:textId="4799E4A6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sobre la Deuda y el Reporte Analítico de la Deuda</w:t>
      </w:r>
    </w:p>
    <w:p w14:paraId="1F481C65" w14:textId="77777777" w:rsidR="00554D64" w:rsidRDefault="00554D64" w:rsidP="00554D64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5BD3AFAB" w14:textId="77777777" w:rsidR="00554D64" w:rsidRDefault="00554D64" w:rsidP="00554D6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14:paraId="48E448E0" w14:textId="219CFEA0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Calificaciones otorgadas</w:t>
      </w:r>
    </w:p>
    <w:p w14:paraId="78CC9742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1EE10D87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5633F952" w14:textId="77777777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Proceso de Mejora</w:t>
      </w:r>
    </w:p>
    <w:p w14:paraId="22F0B1F5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  <w:r w:rsidRPr="000F6B3C">
        <w:rPr>
          <w:szCs w:val="18"/>
        </w:rPr>
        <w:t>Se informa de:</w:t>
      </w:r>
    </w:p>
    <w:p w14:paraId="3AD7C7F2" w14:textId="77777777" w:rsidR="000A3323" w:rsidRDefault="000A3323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031E5DF8" w14:textId="77777777" w:rsidR="000A3323" w:rsidRDefault="000A3323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3F079869" w14:textId="77777777" w:rsidR="000A3323" w:rsidRDefault="000A3323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16EB928" w14:textId="77777777" w:rsidR="000A3323" w:rsidRDefault="000A3323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58698D09" w14:textId="77777777" w:rsidR="002202FB" w:rsidRDefault="002202FB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64547AA5" w14:textId="77777777" w:rsidR="002202FB" w:rsidRDefault="002202FB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31869328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4C70D1F" w14:textId="77C07FBD" w:rsidR="00554D64" w:rsidRDefault="00554D64" w:rsidP="00502359">
      <w:pPr>
        <w:pStyle w:val="INCISO"/>
        <w:numPr>
          <w:ilvl w:val="0"/>
          <w:numId w:val="19"/>
        </w:numPr>
        <w:spacing w:after="0" w:line="240" w:lineRule="auto"/>
      </w:pPr>
      <w:r>
        <w:t>El instituto de Catastro observa lo establecido en los LINEAMIENTOS GENERALES DE CONTROL INTERNO Y SUS NORMAS DE APLICACIÓN PARA LA ADMINISTRACIÓN PÚBLICA ESTATAL, publicados en el periódico oficial el 29 de enero de 2016.</w:t>
      </w:r>
    </w:p>
    <w:p w14:paraId="2F9FC271" w14:textId="77777777" w:rsidR="00502359" w:rsidRDefault="00502359" w:rsidP="00502359">
      <w:pPr>
        <w:pStyle w:val="INCISO"/>
        <w:spacing w:after="0" w:line="240" w:lineRule="auto"/>
        <w:ind w:left="1110" w:firstLine="0"/>
      </w:pPr>
    </w:p>
    <w:p w14:paraId="034F1916" w14:textId="77777777" w:rsidR="00554D64" w:rsidRDefault="00554D64" w:rsidP="00554D64">
      <w:pPr>
        <w:pStyle w:val="INCISO"/>
        <w:spacing w:after="0" w:line="240" w:lineRule="auto"/>
      </w:pPr>
      <w:r>
        <w:t xml:space="preserve"> 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28BE36DE" w14:textId="77777777" w:rsidR="00554D64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171E893F" w14:textId="056BBD0A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por Segmentos</w:t>
      </w:r>
    </w:p>
    <w:p w14:paraId="098404F1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113FD66B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E935296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Eventos Posteriores al Cierre</w:t>
      </w:r>
    </w:p>
    <w:p w14:paraId="54D41D6E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6879F61A" w14:textId="77777777" w:rsidR="00554D64" w:rsidRPr="000F6B3C" w:rsidRDefault="00554D64" w:rsidP="00554D64">
      <w:pPr>
        <w:pStyle w:val="Texto"/>
        <w:spacing w:after="0" w:line="240" w:lineRule="auto"/>
        <w:rPr>
          <w:szCs w:val="18"/>
        </w:rPr>
      </w:pPr>
    </w:p>
    <w:p w14:paraId="29E327ED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0A7F78D5" w14:textId="77777777" w:rsidR="00554D64" w:rsidRDefault="00554D64" w:rsidP="00554D64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574B2CAA" w14:textId="77777777" w:rsidR="00554D64" w:rsidRPr="000F6B3C" w:rsidRDefault="00554D64" w:rsidP="00554D64">
      <w:pPr>
        <w:pStyle w:val="Texto"/>
        <w:spacing w:after="0" w:line="240" w:lineRule="auto"/>
        <w:ind w:firstLine="708"/>
        <w:rPr>
          <w:szCs w:val="18"/>
        </w:rPr>
      </w:pPr>
    </w:p>
    <w:p w14:paraId="79FD52D1" w14:textId="456CA88E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065F0CB2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76CA61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AB5550E" w14:textId="77777777" w:rsidR="00554D64" w:rsidRDefault="00554D64" w:rsidP="00554D64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14:paraId="591179AC" w14:textId="748B20F5" w:rsidR="00554D64" w:rsidRDefault="008D2DAF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 w14:anchorId="797D5920">
          <v:shape id="_x0000_s1101" type="#_x0000_t75" style="position:absolute;left:0;text-align:left;margin-left:-41.9pt;margin-top:75.6pt;width:571.65pt;height:79.15pt;z-index:251670528">
            <v:imagedata r:id="rId22" o:title=""/>
            <w10:wrap type="topAndBottom"/>
          </v:shape>
          <o:OLEObject Type="Embed" ProgID="Excel.Sheet.12" ShapeID="_x0000_s1101" DrawAspect="Content" ObjectID="_1813475816" r:id="rId23"/>
        </w:object>
      </w:r>
    </w:p>
    <w:p w14:paraId="2F92E348" w14:textId="77777777" w:rsidR="00554D64" w:rsidRPr="00554D64" w:rsidRDefault="00554D64" w:rsidP="00554D64">
      <w:pPr>
        <w:pStyle w:val="INCISO"/>
        <w:spacing w:after="0" w:line="240" w:lineRule="auto"/>
        <w:ind w:left="0" w:firstLine="0"/>
        <w:rPr>
          <w:lang w:val="es-MX"/>
        </w:rPr>
      </w:pPr>
    </w:p>
    <w:p w14:paraId="31260BDC" w14:textId="17BC78A5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0120C36A" w14:textId="77777777" w:rsidR="00554D64" w:rsidRPr="00554D64" w:rsidRDefault="00554D64" w:rsidP="00554D64">
      <w:pPr>
        <w:pStyle w:val="INCISO"/>
        <w:spacing w:after="0" w:line="240" w:lineRule="auto"/>
      </w:pPr>
    </w:p>
    <w:p w14:paraId="3C6D5B67" w14:textId="77777777" w:rsidR="00554D64" w:rsidRPr="00554D64" w:rsidRDefault="00554D64" w:rsidP="00554D64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37388420" w14:textId="77777777" w:rsidR="008E18B6" w:rsidRDefault="008E18B6" w:rsidP="001B2D8B">
      <w:pPr>
        <w:pStyle w:val="Texto"/>
        <w:spacing w:after="0" w:line="240" w:lineRule="exact"/>
        <w:rPr>
          <w:szCs w:val="18"/>
        </w:rPr>
      </w:pPr>
    </w:p>
    <w:p w14:paraId="098CBAE7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6EAE7F6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2CD1C37A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1BDB90D1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127719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13D4A8E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761F2F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3B1DAB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920B6A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0C47D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D2DB44B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D6A4DE8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23B7AA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EDD031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FCBE8C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CAD5A2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16877C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FC8505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7F1E6C2" w14:textId="77777777" w:rsidR="002202FB" w:rsidRDefault="002202FB" w:rsidP="001B2D8B">
      <w:pPr>
        <w:pStyle w:val="Texto"/>
        <w:spacing w:after="0" w:line="240" w:lineRule="exact"/>
        <w:rPr>
          <w:szCs w:val="18"/>
        </w:rPr>
      </w:pPr>
    </w:p>
    <w:p w14:paraId="362E59A6" w14:textId="77777777" w:rsidR="002202FB" w:rsidRDefault="002202FB" w:rsidP="001B2D8B">
      <w:pPr>
        <w:pStyle w:val="Texto"/>
        <w:spacing w:after="0" w:line="240" w:lineRule="exact"/>
        <w:rPr>
          <w:szCs w:val="18"/>
        </w:rPr>
      </w:pPr>
    </w:p>
    <w:p w14:paraId="2B31FF7C" w14:textId="77777777" w:rsidR="002202FB" w:rsidRDefault="002202FB" w:rsidP="001B2D8B">
      <w:pPr>
        <w:pStyle w:val="Texto"/>
        <w:spacing w:after="0" w:line="240" w:lineRule="exact"/>
        <w:rPr>
          <w:szCs w:val="18"/>
        </w:rPr>
      </w:pPr>
    </w:p>
    <w:p w14:paraId="38230B25" w14:textId="77777777" w:rsidR="002202FB" w:rsidRDefault="002202FB" w:rsidP="001B2D8B">
      <w:pPr>
        <w:pStyle w:val="Texto"/>
        <w:spacing w:after="0" w:line="240" w:lineRule="exact"/>
        <w:rPr>
          <w:szCs w:val="18"/>
        </w:rPr>
      </w:pPr>
    </w:p>
    <w:p w14:paraId="55F7DF0F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1352BF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FE3D98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31CD82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821CD7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DC22B0" w14:textId="01E3B2F6" w:rsidR="00445780" w:rsidRPr="000F6B3C" w:rsidRDefault="00445780" w:rsidP="00FC5E9D">
      <w:pPr>
        <w:pStyle w:val="Texto"/>
        <w:numPr>
          <w:ilvl w:val="0"/>
          <w:numId w:val="16"/>
        </w:numPr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NOTAS DE DESGLOSE</w:t>
      </w:r>
    </w:p>
    <w:p w14:paraId="332BA9CE" w14:textId="77777777" w:rsidR="00445780" w:rsidRPr="000F6B3C" w:rsidRDefault="00445780" w:rsidP="00445780">
      <w:pPr>
        <w:pStyle w:val="Texto"/>
        <w:spacing w:after="0" w:line="240" w:lineRule="exact"/>
        <w:rPr>
          <w:szCs w:val="18"/>
          <w:lang w:val="es-MX"/>
        </w:rPr>
      </w:pPr>
    </w:p>
    <w:p w14:paraId="514F528E" w14:textId="407D65BC" w:rsidR="00554D64" w:rsidRDefault="00445780" w:rsidP="00445780">
      <w:pPr>
        <w:pStyle w:val="INCISO"/>
        <w:spacing w:after="0" w:line="240" w:lineRule="exact"/>
        <w:ind w:left="648"/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 xml:space="preserve">Notas al </w:t>
      </w:r>
      <w:r>
        <w:rPr>
          <w:b/>
          <w:smallCaps/>
        </w:rPr>
        <w:t xml:space="preserve">estado de actividades </w:t>
      </w:r>
    </w:p>
    <w:p w14:paraId="301707D4" w14:textId="77777777" w:rsidR="00445780" w:rsidRPr="000F6B3C" w:rsidRDefault="00445780" w:rsidP="00445780">
      <w:pPr>
        <w:pStyle w:val="INCISO"/>
        <w:spacing w:after="0" w:line="240" w:lineRule="exact"/>
        <w:ind w:left="360"/>
        <w:rPr>
          <w:b/>
          <w:smallCaps/>
        </w:rPr>
      </w:pPr>
    </w:p>
    <w:p w14:paraId="73805ECA" w14:textId="38FFD7E4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F6B3C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4F0B2B73" w14:textId="50E1CC7E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16EE9E6" w14:textId="516A8A08" w:rsidR="00445780" w:rsidRDefault="00445780" w:rsidP="003B39C5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de gestión: </w:t>
      </w:r>
    </w:p>
    <w:p w14:paraId="38E8AE11" w14:textId="77777777" w:rsidR="00445780" w:rsidRPr="00445780" w:rsidRDefault="00445780" w:rsidP="00445780">
      <w:pPr>
        <w:pStyle w:val="ROMANOS"/>
        <w:spacing w:after="0" w:line="240" w:lineRule="exact"/>
        <w:ind w:left="360" w:firstLine="0"/>
        <w:rPr>
          <w:b/>
          <w:lang w:val="es-MX"/>
        </w:rPr>
      </w:pPr>
    </w:p>
    <w:p w14:paraId="1EC16B10" w14:textId="65B1A67E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0A3323">
        <w:rPr>
          <w:rFonts w:ascii="Arial" w:eastAsia="Times New Roman" w:hAnsi="Arial" w:cs="Arial"/>
          <w:sz w:val="18"/>
          <w:szCs w:val="18"/>
          <w:lang w:eastAsia="es-ES"/>
        </w:rPr>
        <w:t>0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0A3323">
        <w:rPr>
          <w:rFonts w:ascii="Arial" w:eastAsia="Times New Roman" w:hAnsi="Arial" w:cs="Arial"/>
          <w:sz w:val="18"/>
          <w:szCs w:val="18"/>
          <w:lang w:eastAsia="es-ES"/>
        </w:rPr>
        <w:t xml:space="preserve">Junio </w:t>
      </w:r>
      <w:r w:rsidR="000B4443">
        <w:rPr>
          <w:rFonts w:ascii="Arial" w:eastAsia="Times New Roman" w:hAnsi="Arial" w:cs="Arial"/>
          <w:sz w:val="18"/>
          <w:szCs w:val="18"/>
          <w:lang w:eastAsia="es-ES"/>
        </w:rPr>
        <w:t>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</w:t>
      </w:r>
      <w:r w:rsidR="000B4443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14:paraId="336F4EC7" w14:textId="77777777" w:rsidR="002202FB" w:rsidRDefault="002202FB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</w:tblGrid>
      <w:tr w:rsidR="008F1AA7" w:rsidRPr="0059597A" w14:paraId="2DE65A65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0C11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DE6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7681F23A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962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331C" w14:textId="7A9B9F9B" w:rsidR="008F1AA7" w:rsidRPr="0059597A" w:rsidRDefault="001A7C45" w:rsidP="00C61A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C61A62">
              <w:rPr>
                <w:rFonts w:ascii="Calibri" w:eastAsia="Times New Roman" w:hAnsi="Calibri" w:cs="Calibri"/>
                <w:color w:val="000000"/>
                <w:lang w:eastAsia="es-MX"/>
              </w:rPr>
              <w:t>3,709,934.00</w:t>
            </w:r>
          </w:p>
        </w:tc>
      </w:tr>
      <w:tr w:rsidR="008F1AA7" w:rsidRPr="0059597A" w14:paraId="31C17B39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82B2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899" w14:textId="6ED0E2DE" w:rsidR="008F1AA7" w:rsidRPr="0059597A" w:rsidRDefault="00C61A62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1,530,016.00</w:t>
            </w:r>
          </w:p>
        </w:tc>
      </w:tr>
      <w:tr w:rsidR="008F1AA7" w:rsidRPr="0059597A" w14:paraId="527C842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7AD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CA6" w14:textId="0E35069B" w:rsidR="008F1AA7" w:rsidRPr="0059597A" w:rsidRDefault="00097DCE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469.00</w:t>
            </w:r>
          </w:p>
        </w:tc>
      </w:tr>
      <w:tr w:rsidR="008F1AA7" w:rsidRPr="0059597A" w14:paraId="6472371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CCB4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CFC3" w14:textId="56BFD8D3" w:rsidR="008F1AA7" w:rsidRPr="0059597A" w:rsidRDefault="008F1AA7" w:rsidP="00097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097DC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2,781,120.00</w:t>
            </w:r>
          </w:p>
        </w:tc>
      </w:tr>
    </w:tbl>
    <w:p w14:paraId="0CB96A98" w14:textId="77777777" w:rsidR="00445780" w:rsidRDefault="00445780" w:rsidP="00445780">
      <w:pPr>
        <w:jc w:val="both"/>
      </w:pPr>
    </w:p>
    <w:p w14:paraId="4AAFD347" w14:textId="0A78472A" w:rsidR="00C61A62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C61A62">
        <w:rPr>
          <w:rFonts w:ascii="Arial" w:eastAsia="Times New Roman" w:hAnsi="Arial" w:cs="Arial"/>
          <w:sz w:val="18"/>
          <w:szCs w:val="18"/>
          <w:lang w:eastAsia="es-ES"/>
        </w:rPr>
        <w:t>5,239,950.00</w:t>
      </w:r>
    </w:p>
    <w:p w14:paraId="3310FDEC" w14:textId="0A6E4A3B" w:rsidR="00445780" w:rsidRPr="0059597A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financieros por la cantidad de $</w:t>
      </w:r>
      <w:r w:rsidR="00C61A62">
        <w:rPr>
          <w:rFonts w:ascii="Arial" w:eastAsia="Times New Roman" w:hAnsi="Arial" w:cs="Arial"/>
          <w:sz w:val="18"/>
          <w:szCs w:val="18"/>
          <w:lang w:eastAsia="es-ES"/>
        </w:rPr>
        <w:t>739.00</w:t>
      </w:r>
    </w:p>
    <w:p w14:paraId="2DEA1423" w14:textId="3FD46F31" w:rsidR="00445780" w:rsidRPr="00281A15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C61A62">
        <w:rPr>
          <w:b/>
          <w:lang w:val="es-MX"/>
        </w:rPr>
        <w:t>5,240,689.00</w:t>
      </w:r>
      <w:r w:rsidR="00F12D36">
        <w:rPr>
          <w:b/>
          <w:lang w:val="es-MX"/>
        </w:rPr>
        <w:t xml:space="preserve"> (</w:t>
      </w:r>
      <w:r w:rsidR="00C61A62">
        <w:rPr>
          <w:b/>
          <w:lang w:val="es-MX"/>
        </w:rPr>
        <w:t xml:space="preserve">Cinco millones doscientos cuarenta mil seiscientos ochenta y nueve </w:t>
      </w:r>
      <w:r w:rsidR="00446985">
        <w:rPr>
          <w:b/>
          <w:lang w:val="es-MX"/>
        </w:rPr>
        <w:t xml:space="preserve">pesos </w:t>
      </w:r>
      <w:r w:rsidR="00F12D36">
        <w:rPr>
          <w:b/>
          <w:lang w:val="es-MX"/>
        </w:rPr>
        <w:t>00/100 M.N.)</w:t>
      </w:r>
    </w:p>
    <w:p w14:paraId="6B1EE700" w14:textId="77777777" w:rsidR="00554D64" w:rsidRDefault="00554D64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02DF4F2" w14:textId="77777777" w:rsidR="002202FB" w:rsidRDefault="002202F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B559204" w14:textId="17B62D77" w:rsidR="008F1AA7" w:rsidRPr="00120AA1" w:rsidRDefault="008F1AA7" w:rsidP="00F12D36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3CCF75F3" w14:textId="77777777" w:rsidR="008F1AA7" w:rsidRDefault="008F1AA7" w:rsidP="008F1AA7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0E1ABACA" w14:textId="77777777" w:rsidR="002202FB" w:rsidRDefault="002202FB" w:rsidP="008F1AA7">
      <w:pPr>
        <w:pStyle w:val="ROMANOS"/>
        <w:spacing w:after="0" w:line="240" w:lineRule="exact"/>
        <w:rPr>
          <w:lang w:val="es-MX"/>
        </w:rPr>
      </w:pPr>
    </w:p>
    <w:p w14:paraId="7DECC497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</w:tblGrid>
      <w:tr w:rsidR="008F1AA7" w:rsidRPr="0059597A" w14:paraId="7493B45E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27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9245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16E930A9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5F8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EBD" w14:textId="37157BAC" w:rsidR="008F1AA7" w:rsidRPr="0059597A" w:rsidRDefault="008F1AA7" w:rsidP="00C61A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C61A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3,395,423.00</w:t>
            </w:r>
          </w:p>
        </w:tc>
      </w:tr>
      <w:tr w:rsidR="008F1AA7" w:rsidRPr="0059597A" w14:paraId="0DFBEA7A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A4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931" w14:textId="335E5E74" w:rsidR="008F1AA7" w:rsidRPr="0059597A" w:rsidRDefault="00C61A62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142,197.000</w:t>
            </w:r>
          </w:p>
        </w:tc>
      </w:tr>
      <w:tr w:rsidR="008F1AA7" w:rsidRPr="0059597A" w14:paraId="43FD01FC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867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5618" w14:textId="053A0A5D" w:rsidR="008F1AA7" w:rsidRPr="0059597A" w:rsidRDefault="000A3323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225,501.00</w:t>
            </w:r>
          </w:p>
        </w:tc>
      </w:tr>
      <w:tr w:rsidR="008F1AA7" w:rsidRPr="0059597A" w14:paraId="4BA450C0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3A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E999" w14:textId="7E89E8F6" w:rsidR="008F1AA7" w:rsidRPr="0059597A" w:rsidRDefault="008F1AA7" w:rsidP="000A3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0A33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3,763,121.00</w:t>
            </w:r>
          </w:p>
        </w:tc>
      </w:tr>
    </w:tbl>
    <w:p w14:paraId="79BAC025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p w14:paraId="327C86D0" w14:textId="77777777" w:rsidR="002202FB" w:rsidRDefault="002202FB" w:rsidP="008F1AA7">
      <w:pPr>
        <w:pStyle w:val="ROMANOS"/>
        <w:spacing w:after="0" w:line="240" w:lineRule="exact"/>
        <w:rPr>
          <w:b/>
          <w:lang w:val="es-MX"/>
        </w:rPr>
      </w:pPr>
    </w:p>
    <w:p w14:paraId="0C6A48F3" w14:textId="77777777" w:rsidR="008F1AA7" w:rsidRPr="00F559EC" w:rsidRDefault="008F1AA7" w:rsidP="008F1AA7">
      <w:pPr>
        <w:pStyle w:val="ROMANOS"/>
        <w:spacing w:after="0" w:line="240" w:lineRule="exact"/>
        <w:rPr>
          <w:lang w:val="es-MX"/>
        </w:rPr>
      </w:pPr>
    </w:p>
    <w:p w14:paraId="0E318862" w14:textId="36EF6148" w:rsidR="008E18B6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 xml:space="preserve">Un total de </w:t>
      </w:r>
      <w:r>
        <w:rPr>
          <w:b/>
          <w:lang w:val="es-MX"/>
        </w:rPr>
        <w:t>gastos po</w:t>
      </w:r>
      <w:r w:rsidRPr="007E46DD">
        <w:rPr>
          <w:b/>
          <w:lang w:val="es-MX"/>
        </w:rPr>
        <w:t>r el importe de $</w:t>
      </w:r>
      <w:r w:rsidR="00C61A62">
        <w:rPr>
          <w:b/>
          <w:lang w:val="es-MX"/>
        </w:rPr>
        <w:t>3,</w:t>
      </w:r>
      <w:r w:rsidR="000A3323">
        <w:rPr>
          <w:b/>
          <w:lang w:val="es-MX"/>
        </w:rPr>
        <w:t>763,121.00</w:t>
      </w:r>
      <w:r w:rsidR="00F12D36">
        <w:rPr>
          <w:b/>
          <w:lang w:val="es-MX"/>
        </w:rPr>
        <w:t xml:space="preserve"> (</w:t>
      </w:r>
      <w:r w:rsidR="00C61A62">
        <w:rPr>
          <w:b/>
          <w:lang w:val="es-MX"/>
        </w:rPr>
        <w:t xml:space="preserve">Tres millones setecientos </w:t>
      </w:r>
      <w:r w:rsidR="000A3323">
        <w:rPr>
          <w:b/>
          <w:lang w:val="es-MX"/>
        </w:rPr>
        <w:t xml:space="preserve">sesenta y tres mil ciento veintiún pesos </w:t>
      </w:r>
      <w:r w:rsidR="00097DCE">
        <w:rPr>
          <w:b/>
          <w:lang w:val="es-MX"/>
        </w:rPr>
        <w:t>00/100 M.N.).</w:t>
      </w:r>
    </w:p>
    <w:p w14:paraId="27229B5B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9905C42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2301D88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AE99D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F57D8E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828F36E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60F90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E334AD5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CAD45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40533C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7FEB2A8" w14:textId="4E765E65" w:rsidR="008F1AA7" w:rsidRDefault="008F1AA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  <w:r>
        <w:rPr>
          <w:b/>
          <w:lang w:val="es-MX"/>
        </w:rPr>
        <w:t>I</w:t>
      </w:r>
      <w:r w:rsidR="00FC5E9D">
        <w:rPr>
          <w:b/>
          <w:lang w:val="es-MX"/>
        </w:rPr>
        <w:t>I</w:t>
      </w:r>
      <w:r>
        <w:rPr>
          <w:b/>
          <w:lang w:val="es-MX"/>
        </w:rPr>
        <w:t>) NOTAS AL ESTADO DE SITUACIÓN FINANCIERA.</w:t>
      </w:r>
    </w:p>
    <w:p w14:paraId="137BFE56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9CBE2AE" w14:textId="00688D6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>Activo</w:t>
      </w:r>
    </w:p>
    <w:p w14:paraId="7B9CC7AD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B34D3FB" w14:textId="77777777" w:rsidR="004B2E32" w:rsidRPr="000F6B3C" w:rsidRDefault="004B2E32" w:rsidP="004B2E32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24B51EA0" w14:textId="07135340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 xml:space="preserve">por </w:t>
      </w:r>
      <w:r w:rsidRPr="00F12D36">
        <w:rPr>
          <w:b/>
          <w:lang w:val="es-MX"/>
        </w:rPr>
        <w:t>$</w:t>
      </w:r>
      <w:r w:rsidR="00C61A62">
        <w:rPr>
          <w:b/>
          <w:lang w:val="es-MX"/>
        </w:rPr>
        <w:t>3,595,242.00</w:t>
      </w:r>
      <w:r w:rsidR="00F12D36">
        <w:rPr>
          <w:lang w:val="es-MX"/>
        </w:rPr>
        <w:t xml:space="preserve"> </w:t>
      </w:r>
      <w:r w:rsidR="00F12D36" w:rsidRPr="00F12D36">
        <w:rPr>
          <w:b/>
          <w:lang w:val="es-MX"/>
        </w:rPr>
        <w:t>(</w:t>
      </w:r>
      <w:r w:rsidR="00097DCE">
        <w:rPr>
          <w:b/>
          <w:lang w:val="es-MX"/>
        </w:rPr>
        <w:t>Tres millones</w:t>
      </w:r>
      <w:r w:rsidR="00C61A62">
        <w:rPr>
          <w:b/>
          <w:lang w:val="es-MX"/>
        </w:rPr>
        <w:t xml:space="preserve"> quinientos noventa y cinco mil doscientos cuarenta y dos pesos </w:t>
      </w:r>
      <w:r w:rsidR="00097DCE">
        <w:rPr>
          <w:b/>
          <w:lang w:val="es-MX"/>
        </w:rPr>
        <w:t xml:space="preserve"> 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78142D8B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53649CD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6918EE8F" w14:textId="1A644436" w:rsidR="00097DCE" w:rsidRDefault="00097DCE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t xml:space="preserve">Se informa que se cuenta con un saldo </w:t>
      </w:r>
      <w:r w:rsidRPr="00097DCE">
        <w:t>de</w:t>
      </w:r>
      <w:r w:rsidR="00C61A62">
        <w:rPr>
          <w:b/>
        </w:rPr>
        <w:t xml:space="preserve"> $610.</w:t>
      </w:r>
      <w:r w:rsidRPr="00097DCE">
        <w:rPr>
          <w:b/>
        </w:rPr>
        <w:t xml:space="preserve">00 </w:t>
      </w:r>
      <w:r w:rsidR="00C61A62">
        <w:rPr>
          <w:b/>
        </w:rPr>
        <w:t xml:space="preserve">(Seiscientos diez pesos </w:t>
      </w:r>
      <w:r w:rsidRPr="00097DCE">
        <w:rPr>
          <w:b/>
        </w:rPr>
        <w:t>00/100 M.N.)</w:t>
      </w:r>
      <w:r>
        <w:t xml:space="preserve"> en el rubro Derecho a Recibir Efectivo o Equivalentes, mismos que corresponden al Subsidio para el Empleo, el cual fue otorgado a un servidor público en el mes de marzo y será acreditado en las retenciones por salarios a pagar  (ISR) al SAT en mes inmediato siguiente.</w:t>
      </w:r>
    </w:p>
    <w:p w14:paraId="55E0DCB6" w14:textId="104CB5F3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que se encuentre pendiente de cobro y/o por recuperar por concepto de contribuciones.</w:t>
      </w:r>
    </w:p>
    <w:p w14:paraId="69ECD7B5" w14:textId="0C4E830C" w:rsidR="004B2E32" w:rsidRDefault="004B2E32" w:rsidP="00097DCE">
      <w:pPr>
        <w:pStyle w:val="ROMANOS"/>
        <w:spacing w:after="0" w:line="240" w:lineRule="exact"/>
        <w:ind w:left="414" w:firstLine="0"/>
        <w:rPr>
          <w:lang w:val="es-MX"/>
        </w:rPr>
      </w:pPr>
      <w:r w:rsidRPr="000E3154">
        <w:rPr>
          <w:lang w:val="es-MX"/>
        </w:rPr>
        <w:t>Se informa que el IDC al 3</w:t>
      </w:r>
      <w:r w:rsidR="00C61A62">
        <w:rPr>
          <w:lang w:val="es-MX"/>
        </w:rPr>
        <w:t>0</w:t>
      </w:r>
      <w:r w:rsidRPr="000E3154">
        <w:rPr>
          <w:lang w:val="es-MX"/>
        </w:rPr>
        <w:t xml:space="preserve"> de </w:t>
      </w:r>
      <w:r w:rsidR="00C61A62">
        <w:rPr>
          <w:lang w:val="es-MX"/>
        </w:rPr>
        <w:t>junio</w:t>
      </w:r>
      <w:r w:rsidR="005D096A">
        <w:rPr>
          <w:lang w:val="es-MX"/>
        </w:rPr>
        <w:t xml:space="preserve"> de 2025 </w:t>
      </w:r>
      <w:r w:rsidR="000E3154" w:rsidRPr="000E3154">
        <w:rPr>
          <w:lang w:val="es-MX"/>
        </w:rPr>
        <w:t xml:space="preserve">no </w:t>
      </w:r>
      <w:r w:rsidRPr="000E3154">
        <w:rPr>
          <w:lang w:val="es-MX"/>
        </w:rPr>
        <w:t>cuenta con Derechos a recibir efectivo y Equivalentes y Bienes y Servicios a Recib</w:t>
      </w:r>
      <w:r w:rsidR="00F12D36" w:rsidRPr="000E3154">
        <w:rPr>
          <w:lang w:val="es-MX"/>
        </w:rPr>
        <w:t>ir</w:t>
      </w:r>
      <w:r w:rsidR="000E3154">
        <w:rPr>
          <w:lang w:val="es-MX"/>
        </w:rPr>
        <w:t>.</w:t>
      </w:r>
    </w:p>
    <w:p w14:paraId="3C973EA0" w14:textId="77777777" w:rsidR="000E3154" w:rsidRPr="000E3154" w:rsidRDefault="000E3154" w:rsidP="000E3154">
      <w:pPr>
        <w:pStyle w:val="ROMANOS"/>
        <w:spacing w:after="0" w:line="240" w:lineRule="exact"/>
        <w:ind w:left="414" w:firstLine="0"/>
        <w:rPr>
          <w:lang w:val="es-MX"/>
        </w:rPr>
      </w:pPr>
    </w:p>
    <w:p w14:paraId="2E800357" w14:textId="45F252CF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  <w:r>
        <w:rPr>
          <w:b/>
          <w:lang w:val="es-MX"/>
        </w:rPr>
        <w:t>Inventarios</w:t>
      </w:r>
    </w:p>
    <w:p w14:paraId="000CF68D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7AF92C6B" w14:textId="77777777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</w:p>
    <w:p w14:paraId="2A37758A" w14:textId="77777777" w:rsidR="004B2E32" w:rsidRDefault="004B2E32" w:rsidP="004B2E32">
      <w:pPr>
        <w:pStyle w:val="ROMANOS"/>
        <w:spacing w:after="0" w:line="240" w:lineRule="exact"/>
        <w:ind w:left="0" w:firstLine="426"/>
        <w:rPr>
          <w:b/>
          <w:lang w:val="es-MX"/>
        </w:rPr>
      </w:pPr>
      <w:r>
        <w:rPr>
          <w:b/>
          <w:lang w:val="es-MX"/>
        </w:rPr>
        <w:t>Almacenes</w:t>
      </w:r>
    </w:p>
    <w:p w14:paraId="0C5B3FD0" w14:textId="38461608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  <w:r w:rsidRPr="004B2E32">
        <w:rPr>
          <w:lang w:val="es-MX"/>
        </w:rPr>
        <w:t>5.</w:t>
      </w:r>
      <w:r>
        <w:rPr>
          <w:lang w:val="es-MX"/>
        </w:rPr>
        <w:t xml:space="preserve">      </w:t>
      </w:r>
      <w:r w:rsidRPr="000F6B3C">
        <w:rPr>
          <w:lang w:val="es-MX"/>
        </w:rPr>
        <w:t>No se tiene la cuenta de Almacén.</w:t>
      </w:r>
    </w:p>
    <w:p w14:paraId="73C80845" w14:textId="77777777" w:rsidR="004B2E32" w:rsidRPr="004B2E32" w:rsidRDefault="004B2E32" w:rsidP="004B2E3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3ABD812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128CF2F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4450C4FE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5BF23753" w14:textId="77777777" w:rsidR="004B2E32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</w:p>
    <w:p w14:paraId="69A21C03" w14:textId="76415985" w:rsidR="004B2E32" w:rsidRDefault="004B2E32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  <w:r w:rsidRPr="000F6B3C">
        <w:rPr>
          <w:b/>
          <w:lang w:val="es-MX"/>
        </w:rPr>
        <w:t>Bienes Muebles, Inmuebles e Intangibles</w:t>
      </w:r>
    </w:p>
    <w:p w14:paraId="1BB1DA85" w14:textId="77777777" w:rsidR="00CA2058" w:rsidRPr="000F6B3C" w:rsidRDefault="00CA2058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</w:p>
    <w:p w14:paraId="79FBC551" w14:textId="77777777" w:rsidR="00CA2058" w:rsidRDefault="004B2E32" w:rsidP="00CA2058">
      <w:pPr>
        <w:pStyle w:val="ROMANOS"/>
        <w:tabs>
          <w:tab w:val="clear" w:pos="720"/>
          <w:tab w:val="left" w:pos="426"/>
        </w:tabs>
        <w:spacing w:after="0" w:line="240" w:lineRule="exact"/>
        <w:ind w:left="426" w:hanging="426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</w:r>
      <w:r w:rsidR="00CA2058" w:rsidRPr="00C602CE">
        <w:rPr>
          <w:lang w:val="es-MX"/>
        </w:rPr>
        <w:t>A la fecha de los estados financieros, no se ha calculad</w:t>
      </w:r>
      <w:r w:rsidR="00CA2058">
        <w:rPr>
          <w:lang w:val="es-MX"/>
        </w:rPr>
        <w:t>o depreciación de bienes muebles, d</w:t>
      </w:r>
      <w:r w:rsidR="00CA2058" w:rsidRPr="000F6B3C">
        <w:rPr>
          <w:lang w:val="es-MX"/>
        </w:rPr>
        <w:t>e manera general, los bienes muebles se encuentran en buen y regular estado.</w:t>
      </w:r>
    </w:p>
    <w:p w14:paraId="1118E900" w14:textId="77777777" w:rsidR="00CA2058" w:rsidRDefault="00CA2058" w:rsidP="004B2E32">
      <w:pPr>
        <w:pStyle w:val="ROMANOS"/>
        <w:spacing w:after="0" w:line="240" w:lineRule="exact"/>
        <w:ind w:left="426"/>
        <w:rPr>
          <w:lang w:val="es-MX"/>
        </w:rPr>
      </w:pPr>
    </w:p>
    <w:p w14:paraId="0B1993D5" w14:textId="15CB224D" w:rsidR="004B2E32" w:rsidRPr="000F6B3C" w:rsidRDefault="00CA2058" w:rsidP="004B2E32">
      <w:pPr>
        <w:pStyle w:val="ROMANOS"/>
        <w:spacing w:after="0" w:line="240" w:lineRule="exact"/>
        <w:ind w:left="426"/>
        <w:rPr>
          <w:lang w:val="es-MX"/>
        </w:rPr>
      </w:pPr>
      <w:r>
        <w:rPr>
          <w:lang w:val="es-MX"/>
        </w:rPr>
        <w:t xml:space="preserve">9.      </w:t>
      </w:r>
      <w:r w:rsidR="004B2E32" w:rsidRPr="000F6B3C">
        <w:rPr>
          <w:lang w:val="es-MX"/>
        </w:rPr>
        <w:t>El rubro de Bienes Muebles se integra de la siguiente manera:</w:t>
      </w:r>
    </w:p>
    <w:p w14:paraId="6F4905B4" w14:textId="77777777" w:rsidR="004B2E32" w:rsidRPr="000F6B3C" w:rsidRDefault="004B2E32" w:rsidP="004B2E32">
      <w:pPr>
        <w:pStyle w:val="ROMANOS"/>
        <w:spacing w:after="0" w:line="240" w:lineRule="exact"/>
        <w:ind w:left="426" w:firstLine="0"/>
        <w:rPr>
          <w:lang w:val="es-MX"/>
        </w:rPr>
      </w:pPr>
    </w:p>
    <w:p w14:paraId="22502A05" w14:textId="77777777" w:rsidR="00F33723" w:rsidRDefault="004B2E32" w:rsidP="00500887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lang w:val="es-MX"/>
        </w:rPr>
        <w:tab/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232"/>
      </w:tblGrid>
      <w:tr w:rsidR="00F33723" w:rsidRPr="00F33723" w14:paraId="4DE78BDC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8C2ED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AF861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F33723" w:rsidRPr="00F33723" w14:paraId="781C7068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2F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transporte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1,171,900.00 </w:t>
            </w:r>
          </w:p>
        </w:tc>
      </w:tr>
      <w:tr w:rsidR="00F33723" w:rsidRPr="00F33723" w14:paraId="6EFD4FBD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A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1A4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7,035,745.00 </w:t>
            </w:r>
          </w:p>
        </w:tc>
      </w:tr>
      <w:tr w:rsidR="00F33723" w:rsidRPr="00F33723" w14:paraId="205B1F40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9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admón.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8F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516,619.00 </w:t>
            </w:r>
          </w:p>
        </w:tc>
      </w:tr>
      <w:tr w:rsidR="00F33723" w:rsidRPr="00F33723" w14:paraId="5B06D472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17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3C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352,788.00 </w:t>
            </w:r>
          </w:p>
        </w:tc>
      </w:tr>
      <w:tr w:rsidR="00F33723" w:rsidRPr="00F33723" w14:paraId="455AD386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A5F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de generación eléctrica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A01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606,262.00 </w:t>
            </w:r>
          </w:p>
        </w:tc>
      </w:tr>
      <w:tr w:rsidR="00F33723" w:rsidRPr="00F33723" w14:paraId="04D1B84C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2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Equipos de comunicación  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9D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953,691.00 </w:t>
            </w:r>
          </w:p>
        </w:tc>
      </w:tr>
      <w:tr w:rsidR="00F33723" w:rsidRPr="00F33723" w14:paraId="7104DF2B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43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de aire acondicionado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C6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  45,500.00 </w:t>
            </w:r>
          </w:p>
        </w:tc>
      </w:tr>
      <w:tr w:rsidR="00F33723" w:rsidRPr="00F33723" w14:paraId="2784BBD5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47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520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113,252.00 </w:t>
            </w:r>
          </w:p>
        </w:tc>
      </w:tr>
      <w:tr w:rsidR="00F33723" w:rsidRPr="00F33723" w14:paraId="2349708D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69E7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9AFF8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10,795,757.00 </w:t>
            </w:r>
          </w:p>
        </w:tc>
      </w:tr>
    </w:tbl>
    <w:p w14:paraId="0787E909" w14:textId="73B282C8" w:rsidR="008F1AA7" w:rsidRDefault="008F1AA7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22181F49" w14:textId="77777777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5A7C3A60" w14:textId="77777777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1873DCCD" w14:textId="77777777" w:rsidR="000A3323" w:rsidRDefault="000A3323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2FEA6F8D" w14:textId="77777777" w:rsidR="000A3323" w:rsidRDefault="000A3323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6AD8681D" w14:textId="7B8421E8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  <w:r>
        <w:rPr>
          <w:b/>
          <w:lang w:val="es-MX"/>
        </w:rPr>
        <w:t>Depreciaciones.</w:t>
      </w:r>
    </w:p>
    <w:p w14:paraId="1274FC94" w14:textId="77777777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2"/>
        <w:gridCol w:w="2195"/>
      </w:tblGrid>
      <w:tr w:rsidR="0069422E" w14:paraId="38D19E32" w14:textId="77777777" w:rsidTr="002202FB">
        <w:trPr>
          <w:jc w:val="center"/>
        </w:trPr>
        <w:tc>
          <w:tcPr>
            <w:tcW w:w="4462" w:type="dxa"/>
            <w:shd w:val="clear" w:color="auto" w:fill="D9D9D9" w:themeFill="background1" w:themeFillShade="D9"/>
            <w:vAlign w:val="bottom"/>
          </w:tcPr>
          <w:p w14:paraId="6D859FA0" w14:textId="764DFBA8" w:rsid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F33723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bottom"/>
          </w:tcPr>
          <w:p w14:paraId="3A49B5D6" w14:textId="28BC4A54" w:rsid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F33723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69422E" w14:paraId="02ACDB95" w14:textId="77777777" w:rsidTr="002202FB">
        <w:trPr>
          <w:jc w:val="center"/>
        </w:trPr>
        <w:tc>
          <w:tcPr>
            <w:tcW w:w="4462" w:type="dxa"/>
          </w:tcPr>
          <w:p w14:paraId="5CAEBAA1" w14:textId="5398F103" w:rsidR="0069422E" w:rsidRP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9422E">
              <w:rPr>
                <w:lang w:val="es-MX"/>
              </w:rPr>
              <w:t>Mobiliario y equipo de administración</w:t>
            </w:r>
          </w:p>
        </w:tc>
        <w:tc>
          <w:tcPr>
            <w:tcW w:w="2195" w:type="dxa"/>
          </w:tcPr>
          <w:p w14:paraId="363AA3DB" w14:textId="4DFC198C" w:rsidR="0069422E" w:rsidRPr="0069422E" w:rsidRDefault="0069422E" w:rsidP="0069422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7867,876.00</w:t>
            </w:r>
          </w:p>
        </w:tc>
      </w:tr>
      <w:tr w:rsidR="0069422E" w14:paraId="2A5EEC25" w14:textId="77777777" w:rsidTr="002202FB">
        <w:trPr>
          <w:jc w:val="center"/>
        </w:trPr>
        <w:tc>
          <w:tcPr>
            <w:tcW w:w="4462" w:type="dxa"/>
          </w:tcPr>
          <w:p w14:paraId="3C70A07F" w14:textId="437D7A93" w:rsidR="0069422E" w:rsidRP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9422E">
              <w:rPr>
                <w:lang w:val="es-MX"/>
              </w:rPr>
              <w:t xml:space="preserve">Equipo de transporte </w:t>
            </w:r>
          </w:p>
        </w:tc>
        <w:tc>
          <w:tcPr>
            <w:tcW w:w="2195" w:type="dxa"/>
          </w:tcPr>
          <w:p w14:paraId="47C9F8E9" w14:textId="0DE5C60D" w:rsidR="0069422E" w:rsidRPr="0069422E" w:rsidRDefault="0069422E" w:rsidP="0069422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728,994.00</w:t>
            </w:r>
          </w:p>
        </w:tc>
      </w:tr>
      <w:tr w:rsidR="0069422E" w14:paraId="01C9E468" w14:textId="77777777" w:rsidTr="002202FB">
        <w:trPr>
          <w:jc w:val="center"/>
        </w:trPr>
        <w:tc>
          <w:tcPr>
            <w:tcW w:w="4462" w:type="dxa"/>
          </w:tcPr>
          <w:p w14:paraId="169617B1" w14:textId="49C48E72" w:rsidR="0069422E" w:rsidRP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9422E">
              <w:rPr>
                <w:lang w:val="es-MX"/>
              </w:rPr>
              <w:t>Maquinaria, otros equipos y herramientas</w:t>
            </w:r>
          </w:p>
        </w:tc>
        <w:tc>
          <w:tcPr>
            <w:tcW w:w="2195" w:type="dxa"/>
          </w:tcPr>
          <w:p w14:paraId="1717A962" w14:textId="42EB8A28" w:rsidR="0069422E" w:rsidRPr="0069422E" w:rsidRDefault="0069422E" w:rsidP="0069422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6942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770,747.00</w:t>
            </w:r>
          </w:p>
        </w:tc>
      </w:tr>
      <w:tr w:rsidR="0069422E" w14:paraId="1A6C96C3" w14:textId="77777777" w:rsidTr="002202FB">
        <w:trPr>
          <w:jc w:val="center"/>
        </w:trPr>
        <w:tc>
          <w:tcPr>
            <w:tcW w:w="4462" w:type="dxa"/>
            <w:shd w:val="clear" w:color="auto" w:fill="D9D9D9" w:themeFill="background1" w:themeFillShade="D9"/>
          </w:tcPr>
          <w:p w14:paraId="00A5FD6E" w14:textId="27675408" w:rsidR="0069422E" w:rsidRPr="0069422E" w:rsidRDefault="0069422E" w:rsidP="0069422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9422E">
              <w:rPr>
                <w:b/>
                <w:lang w:val="es-MX"/>
              </w:rPr>
              <w:t>Total depreciaciones acumuladas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7AF815E3" w14:textId="420F7B04" w:rsidR="0069422E" w:rsidRPr="0069422E" w:rsidRDefault="0069422E" w:rsidP="0069422E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4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               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,</w:t>
            </w:r>
            <w:r w:rsidRPr="00694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367,618.00</w:t>
            </w:r>
          </w:p>
        </w:tc>
      </w:tr>
    </w:tbl>
    <w:p w14:paraId="2D0A7110" w14:textId="77777777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04A04E9B" w14:textId="77777777" w:rsidR="0069422E" w:rsidRDefault="0069422E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1C6A5D67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378DFA95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7C6A26D0" w14:textId="77777777" w:rsidR="00CA2058" w:rsidRPr="000F6B3C" w:rsidRDefault="00CA2058" w:rsidP="00CA2058">
      <w:pPr>
        <w:pStyle w:val="ROMANOS"/>
        <w:spacing w:after="0" w:line="240" w:lineRule="exact"/>
        <w:rPr>
          <w:lang w:val="es-MX"/>
        </w:rPr>
      </w:pPr>
    </w:p>
    <w:p w14:paraId="5CD2E884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222EE73F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F5FEBFB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3DE86992" w14:textId="77777777" w:rsidR="006B0367" w:rsidRDefault="006B0367" w:rsidP="00CA2058">
      <w:pPr>
        <w:pStyle w:val="ROMANOS"/>
        <w:spacing w:after="0" w:line="240" w:lineRule="exact"/>
        <w:rPr>
          <w:b/>
          <w:lang w:val="es-MX"/>
        </w:rPr>
      </w:pPr>
    </w:p>
    <w:p w14:paraId="15F54B87" w14:textId="0D015A2C" w:rsidR="00CA2058" w:rsidRDefault="00CA2058" w:rsidP="00CA205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Pasivo</w:t>
      </w:r>
    </w:p>
    <w:p w14:paraId="39C5CD17" w14:textId="77777777" w:rsidR="00EC2A87" w:rsidRDefault="00EC2A87" w:rsidP="00CA2058">
      <w:pPr>
        <w:pStyle w:val="ROMANOS"/>
        <w:spacing w:after="0" w:line="240" w:lineRule="exact"/>
        <w:rPr>
          <w:b/>
          <w:lang w:val="es-MX"/>
        </w:rPr>
      </w:pPr>
    </w:p>
    <w:p w14:paraId="7459ACB1" w14:textId="12E94EFE" w:rsidR="00EC2A87" w:rsidRPr="00CA2058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Cuentas y Documentos por pagar</w:t>
      </w:r>
    </w:p>
    <w:p w14:paraId="73ED594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63284D96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75FADBCE" w14:textId="77777777" w:rsidR="00EC2A87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Fondos y bienes de terceros en garantía y/o administración.</w:t>
      </w:r>
    </w:p>
    <w:p w14:paraId="6BC133FC" w14:textId="03C0887B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B81F5D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0C408E95" w14:textId="6652B39D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Pasivos diferidos</w:t>
      </w:r>
    </w:p>
    <w:p w14:paraId="70B9309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0391EF26" w14:textId="0D6F3756" w:rsidR="00EC2A87" w:rsidRDefault="00EC2A87" w:rsidP="00EC2A87">
      <w:pPr>
        <w:pStyle w:val="ROMANOS"/>
        <w:spacing w:after="0" w:line="240" w:lineRule="exact"/>
        <w:ind w:left="426" w:firstLine="0"/>
        <w:rPr>
          <w:lang w:val="es-MX"/>
        </w:rPr>
      </w:pPr>
    </w:p>
    <w:p w14:paraId="0B8AB3A8" w14:textId="19E57B43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Provisiones</w:t>
      </w:r>
    </w:p>
    <w:p w14:paraId="58316C3B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87E9C9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6C49A91D" w14:textId="25BB531B" w:rsidR="00EC2A87" w:rsidRDefault="00EC2A87" w:rsidP="00EC2A87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EC2A87">
        <w:rPr>
          <w:b/>
          <w:lang w:val="es-MX"/>
        </w:rPr>
        <w:t>Otros Pasivos.</w:t>
      </w:r>
    </w:p>
    <w:p w14:paraId="6430B574" w14:textId="35EB98FC" w:rsidR="00EC2A87" w:rsidRDefault="00EC2A87" w:rsidP="00F409CD">
      <w:pPr>
        <w:pStyle w:val="ROMANOS"/>
        <w:numPr>
          <w:ilvl w:val="0"/>
          <w:numId w:val="3"/>
        </w:numPr>
        <w:spacing w:after="0" w:line="240" w:lineRule="exact"/>
        <w:ind w:firstLine="0"/>
        <w:rPr>
          <w:lang w:val="es-MX"/>
        </w:rPr>
      </w:pPr>
      <w:r w:rsidRPr="00E618B6">
        <w:rPr>
          <w:lang w:val="es-MX"/>
        </w:rPr>
        <w:t>Se registraron pasivos al 3</w:t>
      </w:r>
      <w:r w:rsidR="0069422E">
        <w:rPr>
          <w:lang w:val="es-MX"/>
        </w:rPr>
        <w:t>0</w:t>
      </w:r>
      <w:r w:rsidRPr="00E618B6">
        <w:rPr>
          <w:lang w:val="es-MX"/>
        </w:rPr>
        <w:t xml:space="preserve"> de </w:t>
      </w:r>
      <w:r w:rsidR="0069422E">
        <w:rPr>
          <w:lang w:val="es-MX"/>
        </w:rPr>
        <w:t xml:space="preserve">junio </w:t>
      </w:r>
      <w:r w:rsidRPr="00E618B6">
        <w:rPr>
          <w:lang w:val="es-MX"/>
        </w:rPr>
        <w:t>de 202</w:t>
      </w:r>
      <w:r w:rsidR="005D096A">
        <w:rPr>
          <w:lang w:val="es-MX"/>
        </w:rPr>
        <w:t>5</w:t>
      </w:r>
      <w:r w:rsidRPr="00E618B6">
        <w:rPr>
          <w:lang w:val="es-MX"/>
        </w:rPr>
        <w:t xml:space="preserve">, por la cantidad de </w:t>
      </w:r>
      <w:r w:rsidRPr="00E618B6">
        <w:rPr>
          <w:b/>
          <w:lang w:val="es-MX"/>
        </w:rPr>
        <w:t>$</w:t>
      </w:r>
      <w:r w:rsidR="000A3323">
        <w:rPr>
          <w:b/>
          <w:lang w:val="es-MX"/>
        </w:rPr>
        <w:t>69,872.00</w:t>
      </w:r>
      <w:r w:rsidR="009707EB" w:rsidRPr="00E618B6">
        <w:rPr>
          <w:b/>
          <w:lang w:val="es-MX"/>
        </w:rPr>
        <w:t xml:space="preserve"> </w:t>
      </w:r>
      <w:r w:rsidR="00F12D36" w:rsidRPr="00E618B6">
        <w:rPr>
          <w:b/>
          <w:lang w:val="es-MX"/>
        </w:rPr>
        <w:t>(</w:t>
      </w:r>
      <w:r w:rsidR="000A3323">
        <w:rPr>
          <w:b/>
          <w:lang w:val="es-MX"/>
        </w:rPr>
        <w:t>Ses</w:t>
      </w:r>
      <w:r w:rsidR="0069422E">
        <w:rPr>
          <w:b/>
          <w:lang w:val="es-MX"/>
        </w:rPr>
        <w:t xml:space="preserve">enta y nueve mil </w:t>
      </w:r>
      <w:r w:rsidR="000A3323">
        <w:rPr>
          <w:b/>
          <w:lang w:val="es-MX"/>
        </w:rPr>
        <w:t>ochocientos setenta y dos pe</w:t>
      </w:r>
      <w:r w:rsidR="00E618B6" w:rsidRPr="00E618B6">
        <w:rPr>
          <w:b/>
          <w:lang w:val="es-MX"/>
        </w:rPr>
        <w:t xml:space="preserve">sos </w:t>
      </w:r>
      <w:r w:rsidR="00F12D36" w:rsidRPr="00E618B6">
        <w:rPr>
          <w:b/>
          <w:lang w:val="es-MX"/>
        </w:rPr>
        <w:t>00/100 M.N.)</w:t>
      </w:r>
      <w:r w:rsidR="00F12D36" w:rsidRPr="00E618B6">
        <w:rPr>
          <w:lang w:val="es-MX"/>
        </w:rPr>
        <w:t xml:space="preserve"> </w:t>
      </w:r>
      <w:r w:rsidRPr="00E618B6">
        <w:rPr>
          <w:lang w:val="es-MX"/>
        </w:rPr>
        <w:t xml:space="preserve"> por concepto de provisión para pa</w:t>
      </w:r>
      <w:r w:rsidR="00F12D36" w:rsidRPr="00E618B6">
        <w:rPr>
          <w:lang w:val="es-MX"/>
        </w:rPr>
        <w:t>go de impuestos federales (SAT)</w:t>
      </w:r>
      <w:r w:rsidR="00E618B6">
        <w:rPr>
          <w:lang w:val="es-MX"/>
        </w:rPr>
        <w:t>.</w:t>
      </w:r>
    </w:p>
    <w:p w14:paraId="2520337A" w14:textId="77777777" w:rsidR="00E618B6" w:rsidRPr="00E618B6" w:rsidRDefault="00E618B6" w:rsidP="00E618B6">
      <w:pPr>
        <w:pStyle w:val="ROMANOS"/>
        <w:spacing w:after="0" w:line="240" w:lineRule="exact"/>
        <w:ind w:left="0" w:firstLine="0"/>
        <w:rPr>
          <w:lang w:val="es-MX"/>
        </w:rPr>
      </w:pPr>
    </w:p>
    <w:p w14:paraId="7B11E554" w14:textId="49B53DF4" w:rsidR="00EC2A87" w:rsidRPr="00E90C87" w:rsidRDefault="00EC2A87" w:rsidP="00F12D36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E90C87">
        <w:rPr>
          <w:b/>
          <w:smallCaps/>
        </w:rPr>
        <w:t>III) NOTAS AL ESTADO DE VARIACIÓNDE EN LA HACIENDA PÚBLICA.</w:t>
      </w:r>
    </w:p>
    <w:p w14:paraId="76B99C7C" w14:textId="00F9B4CF" w:rsidR="00EC2A87" w:rsidRDefault="00EC2A87" w:rsidP="00EC2A87">
      <w:pPr>
        <w:pStyle w:val="ROMANOS"/>
        <w:spacing w:after="0" w:line="240" w:lineRule="exact"/>
        <w:rPr>
          <w:lang w:val="es-MX"/>
        </w:rPr>
      </w:pPr>
    </w:p>
    <w:p w14:paraId="529B7C27" w14:textId="0CBD057A" w:rsidR="00EC2A87" w:rsidRDefault="00EC2A87" w:rsidP="005B021E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 xml:space="preserve">rimonio contribuido se modificó por la cantidad de </w:t>
      </w:r>
      <w:r w:rsidRPr="00F12D36">
        <w:rPr>
          <w:b/>
          <w:lang w:val="es-MX"/>
        </w:rPr>
        <w:t>$</w:t>
      </w:r>
      <w:r w:rsidR="0069422E">
        <w:rPr>
          <w:b/>
          <w:lang w:val="es-MX"/>
        </w:rPr>
        <w:t>388,824.00</w:t>
      </w:r>
      <w:r w:rsidR="00F12D36" w:rsidRPr="00F12D36">
        <w:rPr>
          <w:b/>
          <w:lang w:val="es-MX"/>
        </w:rPr>
        <w:t xml:space="preserve"> (</w:t>
      </w:r>
      <w:r w:rsidR="005B021E">
        <w:rPr>
          <w:b/>
          <w:lang w:val="es-MX"/>
        </w:rPr>
        <w:t>Trescientos</w:t>
      </w:r>
      <w:r w:rsidR="0069422E">
        <w:rPr>
          <w:b/>
          <w:lang w:val="es-MX"/>
        </w:rPr>
        <w:t xml:space="preserve"> ochenta y ocho mil ochocientos veinticuatro </w:t>
      </w:r>
      <w:r w:rsidR="005D096A">
        <w:rPr>
          <w:b/>
          <w:lang w:val="es-MX"/>
        </w:rPr>
        <w:t xml:space="preserve">pesos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por</w:t>
      </w:r>
      <w:r>
        <w:rPr>
          <w:lang w:val="es-MX"/>
        </w:rPr>
        <w:t xml:space="preserve"> el concepto de </w:t>
      </w:r>
      <w:r w:rsidR="005D096A">
        <w:rPr>
          <w:lang w:val="es-MX"/>
        </w:rPr>
        <w:t>pago telefónico</w:t>
      </w:r>
      <w:r w:rsidR="005B021E">
        <w:rPr>
          <w:lang w:val="es-MX"/>
        </w:rPr>
        <w:t>, y pago del ISR</w:t>
      </w:r>
      <w:r w:rsidR="0069422E">
        <w:rPr>
          <w:lang w:val="es-MX"/>
        </w:rPr>
        <w:t xml:space="preserve"> e impuesto sobre nómina derivado del </w:t>
      </w:r>
      <w:r w:rsidR="005B021E">
        <w:rPr>
          <w:lang w:val="es-MX"/>
        </w:rPr>
        <w:t xml:space="preserve">laudo laboral con número de expediente </w:t>
      </w:r>
      <w:r w:rsidR="005B021E" w:rsidRPr="005B021E">
        <w:rPr>
          <w:lang w:val="es-MX"/>
        </w:rPr>
        <w:t>483/2011-C.</w:t>
      </w:r>
    </w:p>
    <w:p w14:paraId="31F6C2CE" w14:textId="77777777" w:rsidR="00EC2A87" w:rsidRDefault="00EC2A87" w:rsidP="00EC2A87">
      <w:pPr>
        <w:pStyle w:val="ROMANOS"/>
        <w:spacing w:after="0" w:line="240" w:lineRule="exact"/>
        <w:ind w:left="288" w:firstLine="0"/>
        <w:rPr>
          <w:lang w:val="es-MX"/>
        </w:rPr>
      </w:pPr>
    </w:p>
    <w:p w14:paraId="1B2A8E9E" w14:textId="1537DBB7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>
        <w:rPr>
          <w:lang w:val="es-MX"/>
        </w:rPr>
        <w:t>El origen de los recursos es de remanentes de recursos anteriores 202</w:t>
      </w:r>
      <w:r w:rsidR="005D096A">
        <w:rPr>
          <w:lang w:val="es-MX"/>
        </w:rPr>
        <w:t>4</w:t>
      </w:r>
      <w:r>
        <w:rPr>
          <w:lang w:val="es-MX"/>
        </w:rPr>
        <w:t xml:space="preserve"> autorizado a través de acta de consejo técnico</w:t>
      </w:r>
    </w:p>
    <w:p w14:paraId="4AAE13F2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400EDF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74054" w14:textId="02C0D04E" w:rsidR="00EC2A87" w:rsidRDefault="00EC2A87" w:rsidP="00EC2A87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D41180">
        <w:rPr>
          <w:b/>
          <w:lang w:val="es-MX"/>
        </w:rPr>
        <w:t>2,976,957.00</w:t>
      </w:r>
      <w:r w:rsidR="00F12D36">
        <w:rPr>
          <w:b/>
          <w:lang w:val="es-MX"/>
        </w:rPr>
        <w:t xml:space="preserve"> (</w:t>
      </w:r>
      <w:r w:rsidR="005B021E">
        <w:rPr>
          <w:b/>
          <w:lang w:val="es-MX"/>
        </w:rPr>
        <w:t xml:space="preserve">Dos millones noventa y nueve mil doscientos diecisiete pesos </w:t>
      </w:r>
      <w:r w:rsidR="00F12D36">
        <w:rPr>
          <w:b/>
          <w:lang w:val="es-MX"/>
        </w:rPr>
        <w:t>00/100 M.N.)</w:t>
      </w:r>
      <w:r w:rsidR="0029382D">
        <w:rPr>
          <w:b/>
          <w:lang w:val="es-MX"/>
        </w:rPr>
        <w:t xml:space="preserve"> </w:t>
      </w:r>
      <w:r w:rsidRPr="001B756D">
        <w:rPr>
          <w:lang w:val="es-MX"/>
        </w:rPr>
        <w:t xml:space="preserve">integrado </w:t>
      </w:r>
      <w:r>
        <w:rPr>
          <w:lang w:val="es-MX"/>
        </w:rPr>
        <w:t>como a continuación se detalla:</w:t>
      </w:r>
    </w:p>
    <w:p w14:paraId="759A8425" w14:textId="77777777" w:rsidR="00CF71C4" w:rsidRPr="00CA2058" w:rsidRDefault="00CF71C4" w:rsidP="001B2D8B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3094"/>
        <w:gridCol w:w="2490"/>
        <w:gridCol w:w="1309"/>
      </w:tblGrid>
      <w:tr w:rsidR="00EC2A87" w:rsidRPr="00A15EA9" w14:paraId="02DBA921" w14:textId="77777777" w:rsidTr="00E90C87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C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DD4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E0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06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EC2A87" w:rsidRPr="00A15EA9" w14:paraId="0CA8AAA8" w14:textId="77777777" w:rsidTr="00E90C87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93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9FB" w14:textId="22F6BCA4" w:rsidR="00EC2A87" w:rsidRPr="008543C7" w:rsidRDefault="00F12D36" w:rsidP="00D411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D41180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2,048,411.00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BD" w14:textId="5BB77153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$928,545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575" w14:textId="65E095E2" w:rsidR="00EC2A87" w:rsidRPr="008543C7" w:rsidRDefault="00F12D36" w:rsidP="00D411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D4118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2,976,957.00</w:t>
            </w:r>
          </w:p>
        </w:tc>
      </w:tr>
    </w:tbl>
    <w:p w14:paraId="557FB885" w14:textId="77777777" w:rsidR="00CA2058" w:rsidRDefault="00CA2058" w:rsidP="001B2D8B">
      <w:pPr>
        <w:pStyle w:val="Texto"/>
        <w:spacing w:after="0" w:line="240" w:lineRule="exact"/>
        <w:rPr>
          <w:szCs w:val="18"/>
        </w:rPr>
      </w:pPr>
    </w:p>
    <w:p w14:paraId="73E2EE24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63D6E29F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6E4CB293" w14:textId="77777777" w:rsidR="002202FB" w:rsidRDefault="002202FB" w:rsidP="001B2D8B">
      <w:pPr>
        <w:pStyle w:val="Texto"/>
        <w:spacing w:after="0" w:line="240" w:lineRule="exact"/>
        <w:rPr>
          <w:szCs w:val="18"/>
        </w:rPr>
      </w:pPr>
    </w:p>
    <w:p w14:paraId="45C0DE3B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131A4990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7284E1C4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6ED60ED7" w14:textId="77777777" w:rsidR="00D41180" w:rsidRDefault="00D41180" w:rsidP="001B2D8B">
      <w:pPr>
        <w:pStyle w:val="Texto"/>
        <w:spacing w:after="0" w:line="240" w:lineRule="exact"/>
        <w:rPr>
          <w:szCs w:val="18"/>
        </w:rPr>
      </w:pPr>
    </w:p>
    <w:p w14:paraId="1ADE2A6B" w14:textId="088415A4" w:rsidR="008543C7" w:rsidRPr="000F6B3C" w:rsidRDefault="008543C7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>
        <w:rPr>
          <w:b/>
          <w:smallCaps/>
        </w:rPr>
        <w:t xml:space="preserve">iv) </w:t>
      </w:r>
      <w:r w:rsidRPr="000F6B3C">
        <w:rPr>
          <w:b/>
          <w:smallCaps/>
        </w:rPr>
        <w:t xml:space="preserve">Notas al Estado de Flujos de Efectivo </w:t>
      </w:r>
    </w:p>
    <w:p w14:paraId="580E03BE" w14:textId="77777777" w:rsidR="008543C7" w:rsidRPr="000F6B3C" w:rsidRDefault="008543C7" w:rsidP="008543C7">
      <w:pPr>
        <w:pStyle w:val="INCISO"/>
        <w:spacing w:after="0" w:line="240" w:lineRule="exact"/>
        <w:ind w:left="360"/>
        <w:rPr>
          <w:b/>
          <w:smallCaps/>
        </w:rPr>
      </w:pPr>
    </w:p>
    <w:p w14:paraId="2CB264B2" w14:textId="77777777" w:rsidR="008543C7" w:rsidRPr="000F6B3C" w:rsidRDefault="008543C7" w:rsidP="008543C7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52CDBDE1" w14:textId="77777777" w:rsidR="008543C7" w:rsidRDefault="008543C7" w:rsidP="008543C7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9FA49F0" w14:textId="77777777" w:rsidR="008543C7" w:rsidRPr="000F6B3C" w:rsidRDefault="008543C7" w:rsidP="008543C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377"/>
      </w:tblGrid>
      <w:tr w:rsidR="008543C7" w:rsidRPr="000F6B3C" w14:paraId="6E7C243E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6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AA9" w14:textId="522D1318" w:rsidR="008543C7" w:rsidRPr="000F6B3C" w:rsidRDefault="002D11D7" w:rsidP="00E90C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3A0F" w14:textId="5E4C8843" w:rsidR="008543C7" w:rsidRPr="000F6B3C" w:rsidRDefault="008543C7" w:rsidP="002D11D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2D11D7">
              <w:rPr>
                <w:szCs w:val="18"/>
                <w:lang w:val="es-MX"/>
              </w:rPr>
              <w:t>4</w:t>
            </w:r>
          </w:p>
        </w:tc>
      </w:tr>
      <w:tr w:rsidR="008543C7" w:rsidRPr="000F6B3C" w14:paraId="584F576D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3B6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A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0F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3E805C23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DAEB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5FE9" w14:textId="17E00896" w:rsidR="008543C7" w:rsidRPr="0029382D" w:rsidRDefault="00D41180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3,595,242.00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EE8" w14:textId="08CE21DD" w:rsidR="008543C7" w:rsidRPr="0029382D" w:rsidRDefault="002D11D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2D11D7">
              <w:rPr>
                <w:szCs w:val="18"/>
                <w:lang w:val="es-MX"/>
              </w:rPr>
              <w:t>2,652,361.00</w:t>
            </w:r>
          </w:p>
        </w:tc>
      </w:tr>
      <w:tr w:rsidR="008543C7" w:rsidRPr="000F6B3C" w14:paraId="102419E6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8D3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1AF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8743A36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F6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59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07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D51A640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239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E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1E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2B7FCE7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CC6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5015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16A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F853891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006" w14:textId="663D0BBF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31" w14:textId="4EF89A78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FA9D" w14:textId="324ABFA4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CB503F" w:rsidRPr="000F6B3C" w14:paraId="08F832AB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B40" w14:textId="77777777" w:rsidR="00CB503F" w:rsidRPr="001B2D8B" w:rsidRDefault="00CB503F" w:rsidP="00CB503F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E37" w14:textId="2999CFA1" w:rsidR="00CB503F" w:rsidRPr="00CB503F" w:rsidRDefault="00CB503F" w:rsidP="00D41180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 w:rsidRPr="00CB503F">
              <w:rPr>
                <w:b/>
              </w:rPr>
              <w:t>3,</w:t>
            </w:r>
            <w:r w:rsidR="00D41180">
              <w:rPr>
                <w:b/>
              </w:rPr>
              <w:t>595,242.00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1743" w14:textId="12C9AA7D" w:rsidR="00CB503F" w:rsidRPr="00CB503F" w:rsidRDefault="00CB503F" w:rsidP="00CB503F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CB503F">
              <w:rPr>
                <w:b/>
              </w:rPr>
              <w:t>2,652,361.00</w:t>
            </w:r>
          </w:p>
        </w:tc>
      </w:tr>
    </w:tbl>
    <w:p w14:paraId="5F090E0D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205E410F" w14:textId="3AFC67E8" w:rsidR="007C25CB" w:rsidRDefault="007C25CB" w:rsidP="00F32A22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elaboración de este documento (base a efectivo).</w:t>
      </w:r>
    </w:p>
    <w:p w14:paraId="23332C1B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AFFD364" w14:textId="35EA4CDF" w:rsidR="00F32A22" w:rsidRPr="00F71709" w:rsidRDefault="00F32A22" w:rsidP="00F32A22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</w:t>
      </w:r>
      <w:r w:rsidR="00D41180">
        <w:rPr>
          <w:szCs w:val="18"/>
          <w:lang w:val="es-MX"/>
        </w:rPr>
        <w:t>0</w:t>
      </w:r>
      <w:r>
        <w:rPr>
          <w:szCs w:val="18"/>
          <w:lang w:val="es-MX"/>
        </w:rPr>
        <w:t xml:space="preserve"> de </w:t>
      </w:r>
      <w:r w:rsidR="00D41180">
        <w:rPr>
          <w:szCs w:val="18"/>
          <w:lang w:val="es-MX"/>
        </w:rPr>
        <w:t xml:space="preserve">Junio </w:t>
      </w:r>
      <w:r>
        <w:rPr>
          <w:szCs w:val="18"/>
          <w:lang w:val="es-MX"/>
        </w:rPr>
        <w:t>de 202</w:t>
      </w:r>
      <w:r w:rsidR="00CB503F">
        <w:rPr>
          <w:szCs w:val="18"/>
          <w:lang w:val="es-MX"/>
        </w:rPr>
        <w:t>5</w:t>
      </w:r>
      <w:r>
        <w:rPr>
          <w:szCs w:val="18"/>
          <w:lang w:val="es-MX"/>
        </w:rPr>
        <w:t>, se integra de la siguiente manera:</w:t>
      </w:r>
    </w:p>
    <w:p w14:paraId="7D2FBA02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301"/>
      </w:tblGrid>
      <w:tr w:rsidR="00F32A22" w:rsidRPr="00F32A22" w14:paraId="6F0F0C85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FAE" w14:textId="1937A755" w:rsidR="00F32A22" w:rsidRPr="00F32A22" w:rsidRDefault="00F32A22" w:rsidP="00D411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Resultado del Ejercicio fiscal financiero al 3</w:t>
            </w:r>
            <w:r w:rsidR="00D411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D411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junio </w:t>
            </w:r>
            <w:r w:rsidR="005D09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</w:t>
            </w:r>
            <w:r w:rsidR="005D09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(incluye productos financieros por la cantidad de </w:t>
            </w:r>
            <w:r w:rsidR="0044698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D4118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739</w:t>
            </w:r>
            <w:r w:rsidR="00DD3A7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.00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):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89" w14:textId="035A8AF7" w:rsidR="00F32A22" w:rsidRPr="00F32A22" w:rsidRDefault="00F32A22" w:rsidP="000A36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0A369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1,477,568.00</w:t>
            </w:r>
          </w:p>
        </w:tc>
      </w:tr>
      <w:tr w:rsidR="00F32A22" w:rsidRPr="00F32A22" w14:paraId="2AAE660A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B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+Pasivos: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BEE" w14:textId="674BC674" w:rsidR="00F32A22" w:rsidRPr="00F32A22" w:rsidRDefault="000A369A" w:rsidP="00E03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69,872.00</w:t>
            </w:r>
          </w:p>
        </w:tc>
      </w:tr>
      <w:tr w:rsidR="00F32A22" w:rsidRPr="00346EAC" w14:paraId="525D3037" w14:textId="77777777" w:rsidTr="00F32A22">
        <w:trPr>
          <w:trHeight w:val="189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88" w14:textId="2934B68F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+Remanentes financieros de resultados de ejercicios anteriores: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AE" w14:textId="19954983" w:rsidR="00F32A22" w:rsidRPr="00F32A22" w:rsidRDefault="00D41180" w:rsidP="00CB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2,048,411.00</w:t>
            </w:r>
          </w:p>
        </w:tc>
      </w:tr>
      <w:tr w:rsidR="00F32A22" w:rsidRPr="00F32A22" w14:paraId="2C796952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353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-Deudores diversos (Fondo revolvente)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CB8" w14:textId="29693490" w:rsidR="00F32A22" w:rsidRPr="00F32A22" w:rsidRDefault="00CB503F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0.00</w:t>
            </w:r>
          </w:p>
        </w:tc>
      </w:tr>
      <w:tr w:rsidR="00CB503F" w:rsidRPr="00F32A22" w14:paraId="49A3BBDE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E8D2" w14:textId="66CAD66E" w:rsidR="00CB503F" w:rsidRPr="00F32A22" w:rsidRDefault="00CB503F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-Derechos a recibir efectivo y/o equivalentes (subsidio al empleo)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688" w14:textId="6E595A88" w:rsidR="00CB503F" w:rsidRDefault="00D41180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610.00</w:t>
            </w:r>
          </w:p>
        </w:tc>
      </w:tr>
      <w:tr w:rsidR="00F32A22" w:rsidRPr="00F32A22" w14:paraId="2A3F3C09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6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=Saldo en bancos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502" w14:textId="2E6A2FF1" w:rsidR="00F32A22" w:rsidRPr="00F32A22" w:rsidRDefault="00F32A22" w:rsidP="00D4118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$</w:t>
            </w:r>
            <w:r w:rsidR="00CB503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3,</w:t>
            </w:r>
            <w:r w:rsidR="00D4118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595,242.00</w:t>
            </w:r>
          </w:p>
        </w:tc>
      </w:tr>
    </w:tbl>
    <w:p w14:paraId="458B725F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BDE8107" w14:textId="5C10050B" w:rsidR="00E90C87" w:rsidRDefault="00E90C87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Se detallan las actividades de inversión efectivamente pagadas, </w:t>
      </w:r>
      <w:r w:rsidRPr="0029382D">
        <w:rPr>
          <w:szCs w:val="18"/>
          <w:lang w:val="es-MX"/>
        </w:rPr>
        <w:t>respecto del apartado</w:t>
      </w:r>
      <w:r>
        <w:rPr>
          <w:szCs w:val="18"/>
          <w:lang w:val="es-MX"/>
        </w:rPr>
        <w:t xml:space="preserve"> de aplicación.</w:t>
      </w:r>
    </w:p>
    <w:p w14:paraId="6744BBF2" w14:textId="77777777" w:rsidR="00D41180" w:rsidRDefault="00D41180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</w:p>
    <w:tbl>
      <w:tblPr>
        <w:tblW w:w="7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077"/>
        <w:gridCol w:w="976"/>
      </w:tblGrid>
      <w:tr w:rsidR="00E90C87" w:rsidRPr="0029382D" w14:paraId="1FED9370" w14:textId="77777777" w:rsidTr="00D41180">
        <w:trPr>
          <w:trHeight w:val="214"/>
          <w:jc w:val="center"/>
        </w:trPr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4E4E3" w14:textId="77777777" w:rsidR="00E90C87" w:rsidRPr="0029382D" w:rsidRDefault="00E90C87" w:rsidP="00E9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</w:tr>
      <w:tr w:rsidR="00E90C87" w:rsidRPr="0029382D" w14:paraId="6A08864B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DE1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8B729" w14:textId="74740ECC" w:rsidR="00E90C87" w:rsidRPr="0029382D" w:rsidRDefault="00CB503F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793A8" w14:textId="005E7EC7" w:rsidR="00E90C87" w:rsidRPr="0029382D" w:rsidRDefault="00CB503F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E90C87" w:rsidRPr="0029382D" w14:paraId="1CE94D41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99" w14:textId="5105EE6D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inmuebles, Infr</w:t>
            </w:r>
            <w:r w:rsidR="001530BF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estructura y Construcciones en Proceso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32" w14:textId="61C20764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F3" w14:textId="6BA27E3D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3EEF54B0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8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F4569A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B5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CC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8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166689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6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 no habitacionales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F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A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5B58600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83" w14:textId="1318FCA9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16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19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0F316F10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6A" w14:textId="40A1ACD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Construcciones en 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roceso en bienes de Dominio Público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21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F6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23CBA4D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0F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Construcciones en Proceso en Bienes Propios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8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F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6E128FF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E4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D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B8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A46D9D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3A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5F3" w14:textId="74E71FF6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10" w14:textId="3893B9AE" w:rsidR="00E90C87" w:rsidRPr="0029382D" w:rsidRDefault="0029382D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0C87" w:rsidRPr="0029382D" w14:paraId="608A8CCA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FB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DF6" w14:textId="405E18B8" w:rsidR="00FC5E9D" w:rsidRPr="0029382D" w:rsidRDefault="00E90C87" w:rsidP="00FC5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FC5E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138" w14:textId="754E3DC2" w:rsidR="00E90C87" w:rsidRPr="0029382D" w:rsidRDefault="00E90C87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29382D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0C87" w:rsidRPr="0029382D" w14:paraId="23F87CDC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B" w14:textId="07A50F96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14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B2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6550AED7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67" w14:textId="1571B9C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q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uipo e Instrumental Médico y de Laboratorio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E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666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D46122B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94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B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09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2B1BC6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F95" w14:textId="4E510851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</w:t>
            </w:r>
            <w:r w:rsidR="00E90C87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ensa y Seguridad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74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C7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AD293C7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2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F2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A8E7778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37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Colecciones, Obras de Arte y objetos Valiosos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D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8BC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35E7E82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1E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D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3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219593CD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9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Otras inversiones.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5CF" w14:textId="53D1CE1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53" w14:textId="666307DA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6F435DA4" w14:textId="77777777" w:rsidTr="00D41180">
        <w:trPr>
          <w:trHeight w:val="214"/>
          <w:jc w:val="center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3E05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30ECC" w14:textId="32DD145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B9F19" w14:textId="4059F0C2" w:rsidR="00E90C87" w:rsidRPr="0029382D" w:rsidRDefault="0029382D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52EB2CAC" w14:textId="77777777" w:rsidR="00D41180" w:rsidRDefault="00D41180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31DA2B2" w14:textId="77777777" w:rsidR="00D41180" w:rsidRDefault="00D41180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E511208" w14:textId="6041E9C9" w:rsidR="00E90C87" w:rsidRDefault="001530BF" w:rsidP="001530BF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Se presenta la conciliación de los Flujos de Efectivo Netos de las Actividades de Operación y los saldos de Resultados del Ejercicio (ahorro/desahorro), como a continuación se detalla:</w:t>
      </w:r>
    </w:p>
    <w:p w14:paraId="5BB2B815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1454"/>
      </w:tblGrid>
      <w:tr w:rsidR="001530BF" w:rsidRPr="000F6B3C" w14:paraId="7060A8B4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B06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8BDD" w14:textId="308D9110" w:rsidR="001530BF" w:rsidRPr="00FC5E9D" w:rsidRDefault="00CB503F" w:rsidP="00FA57A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2B3" w14:textId="0354EA54" w:rsidR="001530BF" w:rsidRPr="00FC5E9D" w:rsidRDefault="001530BF" w:rsidP="00FC5E9D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</w:t>
            </w:r>
            <w:r w:rsidR="00CB503F">
              <w:rPr>
                <w:b/>
                <w:szCs w:val="18"/>
                <w:lang w:val="es-MX"/>
              </w:rPr>
              <w:t>4</w:t>
            </w:r>
          </w:p>
        </w:tc>
      </w:tr>
      <w:tr w:rsidR="001530BF" w:rsidRPr="000F6B3C" w14:paraId="6D245517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C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9EB" w14:textId="06BA42C2" w:rsidR="001530BF" w:rsidRPr="009A45DE" w:rsidRDefault="000A369A" w:rsidP="00DD3A74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1,477,568.00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E77C" w14:textId="78B54C1B" w:rsidR="001530BF" w:rsidRDefault="00CB503F" w:rsidP="00FA57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503F">
              <w:rPr>
                <w:color w:val="000000" w:themeColor="text1"/>
                <w:szCs w:val="18"/>
                <w:lang w:val="es-MX"/>
              </w:rPr>
              <w:t>$1,994,785.00</w:t>
            </w:r>
          </w:p>
        </w:tc>
      </w:tr>
      <w:tr w:rsidR="001530BF" w:rsidRPr="000F6B3C" w14:paraId="5999E16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68D" w14:textId="77777777" w:rsidR="001530BF" w:rsidRPr="001530BF" w:rsidRDefault="001530BF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530BF">
              <w:rPr>
                <w:b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E44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4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5F91A0C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BE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D2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BEE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05F514E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8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4A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A6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339661A3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E8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8B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5E1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1C7FBAF9" w14:textId="77777777" w:rsidTr="007C25CB">
        <w:trPr>
          <w:cantSplit/>
          <w:trHeight w:val="21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66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B64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9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0FD0C4B3" w14:textId="77777777" w:rsidTr="007C25CB">
        <w:trPr>
          <w:cantSplit/>
          <w:trHeight w:val="10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1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CBC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56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4998A34A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48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3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682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D82829" w:rsidRPr="00757631" w14:paraId="360FCCA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475" w14:textId="77777777" w:rsidR="00D82829" w:rsidRPr="00757631" w:rsidRDefault="00D82829" w:rsidP="00D82829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FE5" w14:textId="33EDEE65" w:rsidR="00D82829" w:rsidRPr="00D82829" w:rsidRDefault="00D82829" w:rsidP="000A369A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D82829">
              <w:rPr>
                <w:b/>
                <w:lang w:val="es-MX"/>
              </w:rPr>
              <w:t>$</w:t>
            </w:r>
            <w:r w:rsidR="00D41180">
              <w:rPr>
                <w:b/>
              </w:rPr>
              <w:t>1,</w:t>
            </w:r>
            <w:r w:rsidR="000A369A">
              <w:rPr>
                <w:b/>
              </w:rPr>
              <w:t>477,568.00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38A" w14:textId="3828885C" w:rsidR="00D82829" w:rsidRPr="00D82829" w:rsidRDefault="00D82829" w:rsidP="00D82829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D82829">
              <w:rPr>
                <w:b/>
              </w:rPr>
              <w:t>$1,994,785.00</w:t>
            </w:r>
          </w:p>
        </w:tc>
      </w:tr>
    </w:tbl>
    <w:p w14:paraId="724CE554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p w14:paraId="253DDE1D" w14:textId="125604C6" w:rsidR="001530BF" w:rsidRDefault="007C25CB" w:rsidP="007C25CB">
      <w:pPr>
        <w:pStyle w:val="Texto"/>
        <w:spacing w:after="0" w:line="240" w:lineRule="exact"/>
        <w:rPr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   </w:t>
      </w:r>
      <w:r w:rsidRPr="00EF7987">
        <w:rPr>
          <w:color w:val="000000" w:themeColor="text1"/>
          <w:szCs w:val="18"/>
          <w:lang w:val="es-MX"/>
        </w:rPr>
        <w:t>Se informa que el Instituto de Catastro tuvo una variación en flujos de efectivo por el importe $</w:t>
      </w:r>
      <w:r w:rsidR="00045AA5">
        <w:rPr>
          <w:color w:val="000000" w:themeColor="text1"/>
          <w:szCs w:val="18"/>
          <w:lang w:val="es-MX"/>
        </w:rPr>
        <w:t>942,881.00</w:t>
      </w:r>
      <w:r w:rsidR="00E031FE">
        <w:rPr>
          <w:color w:val="000000" w:themeColor="text1"/>
          <w:szCs w:val="18"/>
          <w:lang w:val="es-MX"/>
        </w:rPr>
        <w:t>.</w:t>
      </w:r>
    </w:p>
    <w:p w14:paraId="408DA70B" w14:textId="77777777" w:rsidR="00FC5E9D" w:rsidRDefault="00FC5E9D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53738585" w14:textId="2535A31E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045AA5">
        <w:rPr>
          <w:color w:val="000000" w:themeColor="text1"/>
          <w:szCs w:val="18"/>
          <w:lang w:val="es-MX"/>
        </w:rPr>
        <w:t>0</w:t>
      </w:r>
      <w:r>
        <w:rPr>
          <w:color w:val="000000" w:themeColor="text1"/>
          <w:szCs w:val="18"/>
          <w:lang w:val="es-MX"/>
        </w:rPr>
        <w:t xml:space="preserve"> de </w:t>
      </w:r>
      <w:r w:rsidR="00045AA5">
        <w:rPr>
          <w:color w:val="000000" w:themeColor="text1"/>
          <w:szCs w:val="18"/>
          <w:lang w:val="es-MX"/>
        </w:rPr>
        <w:t>junio d</w:t>
      </w:r>
      <w:r w:rsidR="005D096A">
        <w:rPr>
          <w:color w:val="000000" w:themeColor="text1"/>
          <w:szCs w:val="18"/>
          <w:lang w:val="es-MX"/>
        </w:rPr>
        <w:t xml:space="preserve">e </w:t>
      </w:r>
      <w:r>
        <w:rPr>
          <w:color w:val="000000" w:themeColor="text1"/>
          <w:szCs w:val="18"/>
          <w:lang w:val="es-MX"/>
        </w:rPr>
        <w:t>202</w:t>
      </w:r>
      <w:r w:rsidR="005D096A">
        <w:rPr>
          <w:color w:val="000000" w:themeColor="text1"/>
          <w:szCs w:val="18"/>
          <w:lang w:val="es-MX"/>
        </w:rPr>
        <w:t>5</w:t>
      </w:r>
      <w:r>
        <w:rPr>
          <w:color w:val="000000" w:themeColor="text1"/>
          <w:szCs w:val="18"/>
          <w:lang w:val="es-MX"/>
        </w:rPr>
        <w:t xml:space="preserve"> se integra de la siguiente manera: </w:t>
      </w:r>
    </w:p>
    <w:p w14:paraId="11D62CDD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4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3751"/>
      </w:tblGrid>
      <w:tr w:rsidR="007C25CB" w:rsidRPr="00F24F9A" w14:paraId="424B2584" w14:textId="77777777" w:rsidTr="002202FB">
        <w:trPr>
          <w:trHeight w:val="13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30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3EAF9E86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B5" w14:textId="16609F4E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0A369A">
              <w:rPr>
                <w:szCs w:val="18"/>
                <w:lang w:val="es-MX"/>
              </w:rPr>
              <w:t>1,477,568.00</w:t>
            </w:r>
          </w:p>
          <w:p w14:paraId="1C7B3267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95" w14:textId="5A1742CD" w:rsidR="007C25CB" w:rsidRPr="00F24F9A" w:rsidRDefault="007C25CB" w:rsidP="000A36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0A369A">
              <w:rPr>
                <w:szCs w:val="18"/>
                <w:lang w:val="es-MX"/>
              </w:rPr>
              <w:t xml:space="preserve">1,477,568.00 </w:t>
            </w:r>
            <w:r>
              <w:rPr>
                <w:szCs w:val="18"/>
                <w:lang w:val="es-MX"/>
              </w:rPr>
              <w:t>de resultado financiero (productos financieros $</w:t>
            </w:r>
            <w:r w:rsidR="00045AA5">
              <w:rPr>
                <w:szCs w:val="18"/>
                <w:lang w:val="es-MX"/>
              </w:rPr>
              <w:t>739.</w:t>
            </w:r>
            <w:r w:rsidR="00D82829">
              <w:rPr>
                <w:szCs w:val="18"/>
                <w:lang w:val="es-MX"/>
              </w:rPr>
              <w:t>00</w:t>
            </w:r>
            <w:r>
              <w:rPr>
                <w:szCs w:val="18"/>
                <w:lang w:val="es-MX"/>
              </w:rPr>
              <w:t>).</w:t>
            </w:r>
          </w:p>
        </w:tc>
      </w:tr>
      <w:tr w:rsidR="007C25CB" w:rsidRPr="00F24F9A" w14:paraId="730E9905" w14:textId="77777777" w:rsidTr="002202FB">
        <w:trPr>
          <w:trHeight w:val="15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03E" w14:textId="079CC14D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(tecnologías de la información)</w:t>
            </w:r>
          </w:p>
          <w:p w14:paraId="6FDB0BD0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1CFA" w14:textId="5812D9DF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</w:t>
            </w:r>
            <w:r w:rsidR="007C25CB">
              <w:rPr>
                <w:szCs w:val="18"/>
                <w:lang w:val="es-MX"/>
              </w:rPr>
              <w:t>00</w:t>
            </w:r>
          </w:p>
          <w:p w14:paraId="45A18ABF" w14:textId="77777777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604" w14:textId="77777777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2F0ED4E8" w14:textId="77777777" w:rsidTr="002202FB">
        <w:trPr>
          <w:trHeight w:val="1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D0B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(equipo de comunicación y telecomunicación)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BF3" w14:textId="06B9408D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5B4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30357016" w14:textId="77777777" w:rsidTr="002202FB">
        <w:trPr>
          <w:trHeight w:val="16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767" w14:textId="5F5E07D4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5D096A">
              <w:rPr>
                <w:b/>
                <w:szCs w:val="18"/>
                <w:lang w:val="es-MX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3DA" w14:textId="2A6B6EDA" w:rsidR="007C25CB" w:rsidRPr="003B4183" w:rsidRDefault="00CF1FFE" w:rsidP="00045AA5">
            <w:pPr>
              <w:jc w:val="center"/>
              <w:rPr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  <w:r w:rsidR="00D82829" w:rsidRPr="00D8282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0A369A" w:rsidRPr="000A369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1,477,568.00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D135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0EC4D53E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76F48747" w14:textId="77777777" w:rsidR="001530BF" w:rsidRDefault="001530BF" w:rsidP="00FC5E9D">
      <w:pPr>
        <w:pStyle w:val="Texto"/>
        <w:spacing w:after="0" w:line="240" w:lineRule="exact"/>
        <w:ind w:left="648" w:firstLine="0"/>
        <w:jc w:val="center"/>
        <w:rPr>
          <w:szCs w:val="18"/>
          <w:lang w:val="es-MX"/>
        </w:rPr>
      </w:pPr>
    </w:p>
    <w:p w14:paraId="6602EB4B" w14:textId="77777777" w:rsidR="002D77A6" w:rsidRDefault="002D77A6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0F6B3C">
        <w:rPr>
          <w:b/>
          <w:smallCaps/>
        </w:rPr>
        <w:t xml:space="preserve">V) Conciliación entre los ingresos presupuestarios y contables, así como entre los egresos presupuestarios y </w:t>
      </w:r>
      <w:bookmarkStart w:id="7" w:name="_GoBack"/>
      <w:bookmarkEnd w:id="7"/>
      <w:r w:rsidRPr="000F6B3C">
        <w:rPr>
          <w:b/>
          <w:smallCaps/>
        </w:rPr>
        <w:t>los gastos contables</w:t>
      </w:r>
    </w:p>
    <w:p w14:paraId="19B0E099" w14:textId="213C93EF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ingresos Presupuestarios y Contables.</w:t>
      </w:r>
    </w:p>
    <w:p w14:paraId="1909930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2B4D2D" w:rsidRPr="002B4D2D" w14:paraId="03D417CD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3EBA6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2B4D2D" w:rsidRPr="002B4D2D" w14:paraId="289429E5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1B470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2B4D2D" w:rsidRPr="002B4D2D" w14:paraId="4E6E7422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7FDBF" w14:textId="6D0BB78C" w:rsidR="002B4D2D" w:rsidRPr="002B4D2D" w:rsidRDefault="002B4D2D" w:rsidP="00045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01 de enero al 3</w:t>
            </w:r>
            <w:r w:rsidR="00045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045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junio 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202</w:t>
            </w:r>
            <w:r w:rsidR="005D0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2B4D2D" w:rsidRPr="002B4D2D" w14:paraId="5D1F5731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1D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75A48" w14:textId="660E2685" w:rsidR="002B4D2D" w:rsidRPr="002B4D2D" w:rsidRDefault="005D096A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2025</w:t>
            </w:r>
          </w:p>
        </w:tc>
      </w:tr>
      <w:tr w:rsidR="002B4D2D" w:rsidRPr="002B4D2D" w14:paraId="2CEB24D4" w14:textId="77777777" w:rsidTr="00FA57A1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0E73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 Total de Ingresos Presupuestarios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F357" w14:textId="05B89D62" w:rsidR="00DD3A74" w:rsidRPr="002B4D2D" w:rsidRDefault="00FA57A1" w:rsidP="00045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45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5,240,689.00</w:t>
            </w:r>
          </w:p>
        </w:tc>
      </w:tr>
      <w:tr w:rsidR="002B4D2D" w:rsidRPr="002B4D2D" w14:paraId="4C88A09E" w14:textId="77777777" w:rsidTr="00FA57A1">
        <w:trPr>
          <w:trHeight w:val="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92C9" w14:textId="43F2A1F5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49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6C81CB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B1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E90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4729B68E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D87" w14:textId="12DD1074" w:rsidR="002B4D2D" w:rsidRPr="002B4D2D" w:rsidRDefault="002B4D2D" w:rsidP="00FA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ngresos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5C" w14:textId="3BABDB26" w:rsidR="002B4D2D" w:rsidRPr="002B4D2D" w:rsidRDefault="002B4D2D" w:rsidP="00AE4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B4D2D" w:rsidRPr="002B4D2D" w14:paraId="55D52195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007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Incremento por Variación de Inventarios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93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08023A1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26C" w14:textId="6627A63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83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D561143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B5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Disminución Del exceso de Provisiones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19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79954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D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Otros Ingresos y Beneficios Varios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A96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805C60C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B9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otros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DF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B3C1492" w14:textId="77777777" w:rsidTr="00FA57A1">
        <w:trPr>
          <w:trHeight w:val="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93C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AFA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AB3CA98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60" w14:textId="22CF68AE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546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5BFF5C64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3F3" w14:textId="4A43F971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Aprovechamientos Patrimoniales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F8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251E388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 Ingresos Derivados de Financiamientos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A5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156F001A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E56" w14:textId="23D05D6D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 otros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3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0CB4401" w14:textId="77777777" w:rsidTr="00FA57A1">
        <w:trPr>
          <w:trHeight w:val="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A97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08D99D0" w14:textId="77777777" w:rsidTr="00045AA5">
        <w:trPr>
          <w:trHeight w:val="4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D50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Ingresos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507EB" w14:textId="63CD7902" w:rsidR="002B4D2D" w:rsidRPr="002B4D2D" w:rsidRDefault="00AE4D36" w:rsidP="00045A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045A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5,240,689.00</w:t>
            </w:r>
          </w:p>
        </w:tc>
      </w:tr>
    </w:tbl>
    <w:p w14:paraId="49062BF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1DBA8F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8AF30B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CD55193" w14:textId="6636F263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Egresos Presupuestarios y Gastos Contables.</w:t>
      </w:r>
    </w:p>
    <w:p w14:paraId="2C03ED8D" w14:textId="2ED31766" w:rsidR="00FA57A1" w:rsidRDefault="00FA57A1" w:rsidP="00FA57A1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1974"/>
      </w:tblGrid>
      <w:tr w:rsidR="00F52257" w:rsidRPr="00F52257" w14:paraId="12D16C47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0D67D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Catastro del Estado de Tlaxcala</w:t>
            </w:r>
          </w:p>
        </w:tc>
      </w:tr>
      <w:tr w:rsidR="00F52257" w:rsidRPr="00F52257" w14:paraId="63463179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3A4C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Conciliación entre Egresos Presupuestarios y Gastos Contables</w:t>
            </w:r>
          </w:p>
        </w:tc>
      </w:tr>
      <w:tr w:rsidR="00F52257" w:rsidRPr="00F52257" w14:paraId="66DD5365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E4E978" w14:textId="4CCFB86B" w:rsidR="00F52257" w:rsidRPr="00F52257" w:rsidRDefault="00F52257" w:rsidP="00045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01 de enero al 3</w:t>
            </w:r>
            <w:r w:rsidR="00045AA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045AA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junio 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F52257" w:rsidRPr="00F52257" w14:paraId="47551E2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5296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11FFE" w14:textId="24E01500" w:rsidR="00F52257" w:rsidRPr="00F52257" w:rsidRDefault="005D096A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2025</w:t>
            </w:r>
          </w:p>
        </w:tc>
      </w:tr>
      <w:tr w:rsidR="00F52257" w:rsidRPr="00F52257" w14:paraId="3D5E1C9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719D1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1. Total de Egresos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3A783" w14:textId="3E232DD7" w:rsidR="00F52257" w:rsidRPr="00F52257" w:rsidRDefault="00F52257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560A0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</w:t>
            </w:r>
            <w:r w:rsidR="000A369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763,121.00</w:t>
            </w:r>
          </w:p>
        </w:tc>
      </w:tr>
      <w:tr w:rsidR="00F52257" w:rsidRPr="00F52257" w14:paraId="3BA6E130" w14:textId="77777777" w:rsidTr="00F52257">
        <w:trPr>
          <w:trHeight w:val="18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C9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F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3B0C3E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B3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2. Menos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3F7" w14:textId="2BA95422" w:rsidR="00F52257" w:rsidRPr="00D5203F" w:rsidRDefault="000A369A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142,197.00</w:t>
            </w:r>
          </w:p>
        </w:tc>
      </w:tr>
      <w:tr w:rsidR="00F52257" w:rsidRPr="00F52257" w14:paraId="720F090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B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 Materias Primas y Materiales de Producción y Comercialización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F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5CB50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C4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 Materiales y Suministros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BAF" w14:textId="6A5431B1" w:rsidR="00F52257" w:rsidRPr="00F52257" w:rsidRDefault="00560A0E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142,197.00</w:t>
            </w:r>
          </w:p>
        </w:tc>
      </w:tr>
      <w:tr w:rsidR="00F52257" w:rsidRPr="00F52257" w14:paraId="7FF68C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8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2.3 Mobiliario y Equipo de Administración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62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E2DB81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B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2.4 Mobiliario y Equipo Educacional y recreativo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4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D1CDA0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D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2.5 Equipo e Instrumental Médico y de Laboratorio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5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557B13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2.6 Vehículos y Equipo de Transporte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1735A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C4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2.7 Equipo de Defensa y Seguridad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E0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C315F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D7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2.8 Maquinaria, Otros Equipos y Herramientas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B6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4FA19E8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8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2.9 Activos Biológicos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3D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6CB0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2.10 Bienes Inmuebles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C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D6DFA9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8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2.11 Activos intangibles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3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BC42AC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E1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2.12 Obra Pública en Bienes de Dominio Público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74887B1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57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2.13 Obra Pública en Bienes Propios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2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A7C141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9D7" w14:textId="2EEF896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2.14 Acciones y Participaciones de Capital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AD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7CF9CE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DE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2.15 Compra de Títulos y Valores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24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03BDF19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92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2.16 Concesión de Préstamos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BF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C4638C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6F" w14:textId="225E7C44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2.17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Inversiones en fideicomisos, M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tos y Otros Análogos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F6C2A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2.18 Provisiones para Contingencias y otros erogaciones Especiales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2F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95BBC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AC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2.19 Amortización de la Deuda Pública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17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140A74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B46" w14:textId="02D0EE7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2.20 Adeudos de Ejercidos Fiscales Anteriores (ADEFAS)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88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AB6764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73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2.21 Otros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E5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37CDD53" w14:textId="77777777" w:rsidTr="00F52257">
        <w:trPr>
          <w:trHeight w:val="142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FB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D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4B92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3. Más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62E" w14:textId="47577BB3" w:rsidR="00F52257" w:rsidRPr="00F52257" w:rsidRDefault="00560A0E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$142,197.00</w:t>
            </w:r>
          </w:p>
        </w:tc>
      </w:tr>
      <w:tr w:rsidR="00F52257" w:rsidRPr="00F52257" w14:paraId="75645EC7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219" w14:textId="2492571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4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0AF73B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9C5" w14:textId="211A6FC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3.2 Provis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iones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F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DFB7FC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18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3.3 Disminución de Inventarios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6BE36A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4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3.4 Otros Gastos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AB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7EE00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A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3.5 Inversión Pública no Capitalizable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75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9877DB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4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3.6 Materiales y Suministros (consumos)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0E8" w14:textId="388B659F" w:rsidR="00F52257" w:rsidRPr="00F52257" w:rsidRDefault="00560A0E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142,197.00</w:t>
            </w:r>
          </w:p>
        </w:tc>
      </w:tr>
      <w:tr w:rsidR="00F52257" w:rsidRPr="00F52257" w14:paraId="696E84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0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3.7 Otros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FA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BBEC824" w14:textId="77777777" w:rsidTr="00F52257">
        <w:trPr>
          <w:trHeight w:val="21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F8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8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EBFE8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CCC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4. Total de Gastos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C642D" w14:textId="25D88D6D" w:rsidR="00F52257" w:rsidRPr="00F52257" w:rsidRDefault="005F5309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0A369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3,763,121.00</w:t>
            </w:r>
          </w:p>
        </w:tc>
      </w:tr>
    </w:tbl>
    <w:p w14:paraId="3BD54D17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0FB51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692C04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38320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4D1A3F" w14:textId="3EF76E22" w:rsidR="00DD6193" w:rsidRPr="000F6B3C" w:rsidRDefault="00DD6193" w:rsidP="00DD61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0F6B3C">
        <w:rPr>
          <w:b/>
          <w:szCs w:val="18"/>
        </w:rPr>
        <w:t>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2AF4C68B" w14:textId="77777777" w:rsidR="00DD6193" w:rsidRPr="000F6B3C" w:rsidRDefault="00DD6193" w:rsidP="00DD61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B718C4E" w14:textId="77777777" w:rsidR="00DD6193" w:rsidRDefault="00DD6193" w:rsidP="00DD6193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1E203C98" w14:textId="77777777" w:rsidR="00DD6193" w:rsidRPr="00856D32" w:rsidRDefault="00DD6193" w:rsidP="00DD6193">
      <w:pPr>
        <w:pStyle w:val="Texto"/>
        <w:spacing w:after="0" w:line="240" w:lineRule="exact"/>
        <w:rPr>
          <w:szCs w:val="18"/>
        </w:rPr>
      </w:pPr>
    </w:p>
    <w:p w14:paraId="55C145CB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729F6DE3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</w:p>
    <w:p w14:paraId="7750EAB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76496B75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79AC66CE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65F0DE0D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6FF09256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</w:r>
      <w:r>
        <w:rPr>
          <w:szCs w:val="18"/>
        </w:rPr>
        <w:t>Inversión mediante proyectos para prestación de Servicios (PPS) y Similares</w:t>
      </w:r>
    </w:p>
    <w:p w14:paraId="2475317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B748F39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6743C4D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43A22ED" w14:textId="617C78DC" w:rsidR="00DD6193" w:rsidRDefault="00DD6193" w:rsidP="00E90C87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DD6193">
        <w:rPr>
          <w:b/>
          <w:szCs w:val="18"/>
        </w:rPr>
        <w:t>Cuentas de Orden Presupuestario.</w:t>
      </w:r>
    </w:p>
    <w:p w14:paraId="7F358495" w14:textId="47A743C4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 w:rsidRPr="00DD6193">
        <w:rPr>
          <w:szCs w:val="18"/>
        </w:rPr>
        <w:t xml:space="preserve">Cuentas de Ingresos </w:t>
      </w:r>
    </w:p>
    <w:p w14:paraId="76DF89BF" w14:textId="79201299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 w:rsidRPr="00DD6193">
        <w:rPr>
          <w:szCs w:val="18"/>
        </w:rPr>
        <w:tab/>
      </w:r>
      <w:r w:rsidRPr="00DD6193">
        <w:rPr>
          <w:szCs w:val="18"/>
        </w:rPr>
        <w:tab/>
        <w:t>Cuentas de egresos</w:t>
      </w:r>
    </w:p>
    <w:p w14:paraId="5E765D5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DE7797D" w14:textId="039E9B91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En las cuentas de orden presupuestarias, se informa el avance que se registró, previo al cierre presupuestario del periodo comprendido del 01 de enero al 3</w:t>
      </w:r>
      <w:r w:rsidR="00560A0E">
        <w:rPr>
          <w:szCs w:val="18"/>
        </w:rPr>
        <w:t>0</w:t>
      </w:r>
      <w:r>
        <w:rPr>
          <w:szCs w:val="18"/>
        </w:rPr>
        <w:t xml:space="preserve"> de </w:t>
      </w:r>
      <w:r w:rsidR="00560A0E">
        <w:rPr>
          <w:szCs w:val="18"/>
        </w:rPr>
        <w:t>junio d</w:t>
      </w:r>
      <w:r>
        <w:rPr>
          <w:szCs w:val="18"/>
        </w:rPr>
        <w:t>e 202</w:t>
      </w:r>
      <w:r w:rsidR="005D096A">
        <w:rPr>
          <w:szCs w:val="18"/>
        </w:rPr>
        <w:t>5</w:t>
      </w:r>
      <w:r>
        <w:rPr>
          <w:szCs w:val="18"/>
        </w:rPr>
        <w:t>.</w:t>
      </w:r>
    </w:p>
    <w:p w14:paraId="01B35FB1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DED3A92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6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82"/>
      </w:tblGrid>
      <w:tr w:rsidR="00DD6193" w:rsidRPr="00DD6193" w14:paraId="01678578" w14:textId="77777777" w:rsidTr="00CF1FFE">
        <w:trPr>
          <w:trHeight w:val="300"/>
          <w:jc w:val="center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D304AE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Ingresos</w:t>
            </w:r>
          </w:p>
        </w:tc>
      </w:tr>
      <w:tr w:rsidR="00DD6193" w:rsidRPr="00DD6193" w14:paraId="6BE200D3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8029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93FD1" w14:textId="28BACA0F" w:rsidR="00DD6193" w:rsidRPr="00DD6193" w:rsidRDefault="00DD6193" w:rsidP="005D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DD6193" w:rsidRPr="00DD6193" w14:paraId="033A5FB8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EE" w14:textId="72A53515" w:rsidR="00DD6193" w:rsidRPr="00DD6193" w:rsidRDefault="00F52257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ey de Ingresos estimada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91A" w14:textId="4BC0AF65" w:rsidR="00DD6193" w:rsidRPr="00DD6193" w:rsidRDefault="00DD6193" w:rsidP="00D8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color w:val="000000"/>
                <w:lang w:eastAsia="es-MX"/>
              </w:rPr>
              <w:t>11,026,748.00</w:t>
            </w:r>
          </w:p>
        </w:tc>
      </w:tr>
      <w:tr w:rsidR="00DD6193" w:rsidRPr="00DD6193" w14:paraId="4FA633BC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14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3DC" w14:textId="4F2EF343" w:rsidR="00DD6193" w:rsidRPr="00DD6193" w:rsidRDefault="00560A0E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5,664,343.00</w:t>
            </w:r>
          </w:p>
        </w:tc>
      </w:tr>
      <w:tr w:rsidR="00BC1B8E" w:rsidRPr="00DD6193" w14:paraId="4614424C" w14:textId="77777777" w:rsidTr="003D48B0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408" w14:textId="0E1D8295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Modificaciones a la Ley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de Ingresos estimados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7D" w14:textId="37AEA79C" w:rsidR="00BC1B8E" w:rsidRPr="00DD6193" w:rsidRDefault="00560A0E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-121,715.00</w:t>
            </w:r>
          </w:p>
        </w:tc>
      </w:tr>
      <w:tr w:rsidR="00BC1B8E" w:rsidRPr="00DD6193" w14:paraId="060D5DCE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F1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Devengada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338" w14:textId="377CFEBA" w:rsidR="00BC1B8E" w:rsidRPr="00DD6193" w:rsidRDefault="00560A0E" w:rsidP="00651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5,240,689.00</w:t>
            </w:r>
          </w:p>
        </w:tc>
      </w:tr>
      <w:tr w:rsidR="00BC1B8E" w:rsidRPr="00DD6193" w14:paraId="4401A4D6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EE0" w14:textId="64A07F21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333" w14:textId="2215E946" w:rsidR="00BC1B8E" w:rsidRPr="00DD6193" w:rsidRDefault="00560A0E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5,240,689.00</w:t>
            </w:r>
          </w:p>
        </w:tc>
      </w:tr>
    </w:tbl>
    <w:p w14:paraId="40ECDC17" w14:textId="5D507E92" w:rsidR="00DD6193" w:rsidRDefault="001220AB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</w:t>
      </w:r>
    </w:p>
    <w:p w14:paraId="0FE3292E" w14:textId="00FFDA95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AF786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582"/>
      </w:tblGrid>
      <w:tr w:rsidR="00DD6193" w:rsidRPr="00DD6193" w14:paraId="5BFC2EE4" w14:textId="77777777" w:rsidTr="00E21F88">
        <w:trPr>
          <w:trHeight w:val="300"/>
          <w:jc w:val="center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A7F24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DD6193" w:rsidRPr="00DD6193" w14:paraId="44BCDB7A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FBE1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D54D9" w14:textId="43BBA713" w:rsidR="00DD6193" w:rsidRPr="00DD6193" w:rsidRDefault="00DD6193" w:rsidP="005D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DD6193" w:rsidRPr="00DD6193" w14:paraId="6619F57E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E9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C6A" w14:textId="01510635" w:rsidR="00DD6193" w:rsidRPr="00DD6193" w:rsidRDefault="00DD6193" w:rsidP="00D82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color w:val="000000"/>
                <w:lang w:eastAsia="es-MX"/>
              </w:rPr>
              <w:t>11,026,748.00</w:t>
            </w:r>
          </w:p>
        </w:tc>
      </w:tr>
      <w:tr w:rsidR="00DD6193" w:rsidRPr="00DD6193" w14:paraId="0604DC38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B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por Ejercer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38" w14:textId="7AD64E29" w:rsidR="00DD6193" w:rsidRPr="00DD6193" w:rsidRDefault="00560A0E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7,1</w:t>
            </w:r>
            <w:r w:rsidR="000A369A">
              <w:rPr>
                <w:rFonts w:ascii="Calibri" w:eastAsia="Times New Roman" w:hAnsi="Calibri" w:cs="Calibri"/>
                <w:color w:val="000000"/>
                <w:lang w:eastAsia="es-MX"/>
              </w:rPr>
              <w:t>41,912.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</w:t>
            </w:r>
          </w:p>
        </w:tc>
      </w:tr>
      <w:tr w:rsidR="00DD6193" w:rsidRPr="00DD6193" w14:paraId="7CE67504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E7" w14:textId="06E42090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 al Presupuesto de Egresos Ap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02" w14:textId="49E3F3B8" w:rsidR="00DD6193" w:rsidRPr="00DD6193" w:rsidRDefault="00560A0E" w:rsidP="00606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-121,715.00</w:t>
            </w:r>
          </w:p>
        </w:tc>
      </w:tr>
      <w:tr w:rsidR="00DD6193" w:rsidRPr="00DD6193" w14:paraId="3DC564F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CC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BD3" w14:textId="1C5E8A9E" w:rsidR="00DD6193" w:rsidRPr="00DD6193" w:rsidRDefault="00560A0E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3,7</w:t>
            </w:r>
            <w:r w:rsidR="000A369A">
              <w:rPr>
                <w:rFonts w:ascii="Calibri" w:eastAsia="Times New Roman" w:hAnsi="Calibri" w:cs="Calibri"/>
                <w:color w:val="000000"/>
                <w:lang w:eastAsia="es-MX"/>
              </w:rPr>
              <w:t>63,121.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00</w:t>
            </w:r>
          </w:p>
        </w:tc>
      </w:tr>
      <w:tr w:rsidR="000A369A" w:rsidRPr="00DD6193" w14:paraId="0FE330C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B9E" w14:textId="77777777" w:rsidR="000A369A" w:rsidRPr="00DD6193" w:rsidRDefault="000A369A" w:rsidP="000A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Devengado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43D6" w14:textId="2A234625" w:rsidR="000A369A" w:rsidRPr="00DD6193" w:rsidRDefault="000A369A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6F36">
              <w:rPr>
                <w:rFonts w:ascii="Calibri" w:eastAsia="Times New Roman" w:hAnsi="Calibri" w:cs="Calibri"/>
                <w:color w:val="000000"/>
                <w:lang w:eastAsia="es-MX"/>
              </w:rPr>
              <w:t>3,763,121.00</w:t>
            </w:r>
          </w:p>
        </w:tc>
      </w:tr>
      <w:tr w:rsidR="000A369A" w:rsidRPr="00DD6193" w14:paraId="7D7E604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95" w14:textId="44D1606E" w:rsidR="000A369A" w:rsidRPr="00DD6193" w:rsidRDefault="000A369A" w:rsidP="000A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sos ejercido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2E3" w14:textId="06665FDC" w:rsidR="000A369A" w:rsidRPr="00DD6193" w:rsidRDefault="000A369A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6F36">
              <w:rPr>
                <w:rFonts w:ascii="Calibri" w:eastAsia="Times New Roman" w:hAnsi="Calibri" w:cs="Calibri"/>
                <w:color w:val="000000"/>
                <w:lang w:eastAsia="es-MX"/>
              </w:rPr>
              <w:t>3,763,121.00</w:t>
            </w:r>
          </w:p>
        </w:tc>
      </w:tr>
      <w:tr w:rsidR="000A369A" w:rsidRPr="00DD6193" w14:paraId="453ED3FB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85" w14:textId="77777777" w:rsidR="000A369A" w:rsidRPr="00DD6193" w:rsidRDefault="000A369A" w:rsidP="000A3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Pagado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14A" w14:textId="3AD2D0AC" w:rsidR="000A369A" w:rsidRPr="00DD6193" w:rsidRDefault="000A369A" w:rsidP="000A3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6F36">
              <w:rPr>
                <w:rFonts w:ascii="Calibri" w:eastAsia="Times New Roman" w:hAnsi="Calibri" w:cs="Calibri"/>
                <w:color w:val="000000"/>
                <w:lang w:eastAsia="es-MX"/>
              </w:rPr>
              <w:t>3,763,121.00</w:t>
            </w:r>
          </w:p>
        </w:tc>
      </w:tr>
    </w:tbl>
    <w:p w14:paraId="1D2743A1" w14:textId="77777777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106C5C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BDDFC19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E1D034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139D7A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D8D0D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FB457E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49C0E0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sectPr w:rsidR="002D77A6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2D693" w14:textId="77777777" w:rsidR="008D2DAF" w:rsidRDefault="008D2DAF" w:rsidP="00EA5418">
      <w:pPr>
        <w:spacing w:after="0" w:line="240" w:lineRule="auto"/>
      </w:pPr>
      <w:r>
        <w:separator/>
      </w:r>
    </w:p>
  </w:endnote>
  <w:endnote w:type="continuationSeparator" w:id="0">
    <w:p w14:paraId="522F735F" w14:textId="77777777" w:rsidR="008D2DAF" w:rsidRDefault="008D2D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076EB3" w:rsidRPr="004E3EA4" w:rsidRDefault="00076EB3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202FB" w:rsidRPr="002202FB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076EB3" w:rsidRDefault="00076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076EB3" w:rsidRPr="003527CD" w:rsidRDefault="00076EB3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202FB" w:rsidRPr="002202FB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98A70" w14:textId="77777777" w:rsidR="008D2DAF" w:rsidRDefault="008D2DAF" w:rsidP="00EA5418">
      <w:pPr>
        <w:spacing w:after="0" w:line="240" w:lineRule="auto"/>
      </w:pPr>
      <w:r>
        <w:separator/>
      </w:r>
    </w:p>
  </w:footnote>
  <w:footnote w:type="continuationSeparator" w:id="0">
    <w:p w14:paraId="4B2C4C24" w14:textId="77777777" w:rsidR="008D2DAF" w:rsidRDefault="008D2D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076EB3" w:rsidRDefault="00076EB3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21225998" w:rsidR="00076EB3" w:rsidRDefault="00076EB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  <w:p w14:paraId="385ADCE5" w14:textId="77777777" w:rsidR="00076EB3" w:rsidRPr="00DE4269" w:rsidRDefault="00076EB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71F0A79B" w14:textId="21225998" w:rsidR="006F4CBF" w:rsidRDefault="006F4CB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  <w:p w14:paraId="385ADCE5" w14:textId="77777777" w:rsidR="006F4CBF" w:rsidRPr="00DE4269" w:rsidRDefault="006F4CB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03BE09C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076EB3" w:rsidRDefault="00076EB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076EB3" w:rsidRDefault="00076EB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4449AA20" w:rsidR="00076EB3" w:rsidRPr="00275FC6" w:rsidRDefault="00076EB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JUNIO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6F4CBF" w:rsidRDefault="006F4CB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6F4CBF" w:rsidRDefault="006F4CB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4449AA20" w:rsidR="006F4CBF" w:rsidRPr="00275FC6" w:rsidRDefault="006F4CB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110A1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110A1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JUNIO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0CB0E943" w:rsidR="00076EB3" w:rsidRPr="003527CD" w:rsidRDefault="00076EB3" w:rsidP="009C50DA">
    <w:pPr>
      <w:pStyle w:val="Encabezado"/>
      <w:tabs>
        <w:tab w:val="left" w:pos="400"/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7EC"/>
    <w:multiLevelType w:val="hybridMultilevel"/>
    <w:tmpl w:val="02F00026"/>
    <w:lvl w:ilvl="0" w:tplc="E9064546">
      <w:start w:val="1"/>
      <w:numFmt w:val="decimal"/>
      <w:lvlText w:val="%1."/>
      <w:lvlJc w:val="left"/>
      <w:pPr>
        <w:ind w:left="648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FD0CA4"/>
    <w:multiLevelType w:val="hybridMultilevel"/>
    <w:tmpl w:val="26F02E22"/>
    <w:lvl w:ilvl="0" w:tplc="02AA7AA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069A6235"/>
    <w:multiLevelType w:val="hybridMultilevel"/>
    <w:tmpl w:val="118221A0"/>
    <w:lvl w:ilvl="0" w:tplc="C3506D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553CE6"/>
    <w:multiLevelType w:val="hybridMultilevel"/>
    <w:tmpl w:val="BAD0360E"/>
    <w:lvl w:ilvl="0" w:tplc="CF7AF5E4">
      <w:start w:val="2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8B21972"/>
    <w:multiLevelType w:val="hybridMultilevel"/>
    <w:tmpl w:val="02E69464"/>
    <w:lvl w:ilvl="0" w:tplc="72386C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91E1F"/>
    <w:multiLevelType w:val="hybridMultilevel"/>
    <w:tmpl w:val="DAA80544"/>
    <w:lvl w:ilvl="0" w:tplc="C004D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C06777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2CED31B8"/>
    <w:multiLevelType w:val="hybridMultilevel"/>
    <w:tmpl w:val="C598E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01D2"/>
    <w:multiLevelType w:val="hybridMultilevel"/>
    <w:tmpl w:val="D8FA6D9C"/>
    <w:lvl w:ilvl="0" w:tplc="37DC7DC8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BF3980"/>
    <w:multiLevelType w:val="hybridMultilevel"/>
    <w:tmpl w:val="E77AE7C8"/>
    <w:lvl w:ilvl="0" w:tplc="B7466826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4B1A67A4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01E7"/>
    <w:multiLevelType w:val="hybridMultilevel"/>
    <w:tmpl w:val="8BC8DC18"/>
    <w:lvl w:ilvl="0" w:tplc="959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732A4"/>
    <w:multiLevelType w:val="hybridMultilevel"/>
    <w:tmpl w:val="F40E6686"/>
    <w:lvl w:ilvl="0" w:tplc="3CEA48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18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6"/>
  </w:num>
  <w:num w:numId="15">
    <w:abstractNumId w:val="19"/>
  </w:num>
  <w:num w:numId="16">
    <w:abstractNumId w:val="7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108B"/>
    <w:rsid w:val="0001342E"/>
    <w:rsid w:val="000155BC"/>
    <w:rsid w:val="00015D26"/>
    <w:rsid w:val="00015F9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2C36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AA5"/>
    <w:rsid w:val="00045BDA"/>
    <w:rsid w:val="0004695D"/>
    <w:rsid w:val="000474FE"/>
    <w:rsid w:val="00054C4D"/>
    <w:rsid w:val="00056EDF"/>
    <w:rsid w:val="000574E6"/>
    <w:rsid w:val="00057C1C"/>
    <w:rsid w:val="000617A9"/>
    <w:rsid w:val="00062509"/>
    <w:rsid w:val="00063159"/>
    <w:rsid w:val="00064A2A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6EB3"/>
    <w:rsid w:val="00077A1F"/>
    <w:rsid w:val="0008099F"/>
    <w:rsid w:val="00080D6B"/>
    <w:rsid w:val="00084D46"/>
    <w:rsid w:val="000872D9"/>
    <w:rsid w:val="00090FD9"/>
    <w:rsid w:val="0009604B"/>
    <w:rsid w:val="00097255"/>
    <w:rsid w:val="00097DCE"/>
    <w:rsid w:val="000A00F8"/>
    <w:rsid w:val="000A1DD4"/>
    <w:rsid w:val="000A3323"/>
    <w:rsid w:val="000A369A"/>
    <w:rsid w:val="000A4867"/>
    <w:rsid w:val="000A5776"/>
    <w:rsid w:val="000A58AB"/>
    <w:rsid w:val="000A7734"/>
    <w:rsid w:val="000A7AB8"/>
    <w:rsid w:val="000B0542"/>
    <w:rsid w:val="000B0742"/>
    <w:rsid w:val="000B15F5"/>
    <w:rsid w:val="000B41BF"/>
    <w:rsid w:val="000B4443"/>
    <w:rsid w:val="000B54AD"/>
    <w:rsid w:val="000B552D"/>
    <w:rsid w:val="000B62E8"/>
    <w:rsid w:val="000B6DEA"/>
    <w:rsid w:val="000B6E5A"/>
    <w:rsid w:val="000C420F"/>
    <w:rsid w:val="000C69F4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3154"/>
    <w:rsid w:val="000E4072"/>
    <w:rsid w:val="000E5C7A"/>
    <w:rsid w:val="000E6692"/>
    <w:rsid w:val="000E68BD"/>
    <w:rsid w:val="000E78F7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0A10"/>
    <w:rsid w:val="00111884"/>
    <w:rsid w:val="00112770"/>
    <w:rsid w:val="001130E9"/>
    <w:rsid w:val="001133D7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20AB"/>
    <w:rsid w:val="00123461"/>
    <w:rsid w:val="001234D1"/>
    <w:rsid w:val="00125004"/>
    <w:rsid w:val="0013011C"/>
    <w:rsid w:val="00130680"/>
    <w:rsid w:val="001309CB"/>
    <w:rsid w:val="00132671"/>
    <w:rsid w:val="001330F9"/>
    <w:rsid w:val="001340E0"/>
    <w:rsid w:val="00134F21"/>
    <w:rsid w:val="0013556B"/>
    <w:rsid w:val="00136E7D"/>
    <w:rsid w:val="00142035"/>
    <w:rsid w:val="001435CE"/>
    <w:rsid w:val="00144A5D"/>
    <w:rsid w:val="0014540D"/>
    <w:rsid w:val="00150CEC"/>
    <w:rsid w:val="0015136E"/>
    <w:rsid w:val="001528B7"/>
    <w:rsid w:val="001530BF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A7C45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104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06D1"/>
    <w:rsid w:val="00212203"/>
    <w:rsid w:val="0021250F"/>
    <w:rsid w:val="00217C35"/>
    <w:rsid w:val="002202FB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6B7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382D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4D2D"/>
    <w:rsid w:val="002B547F"/>
    <w:rsid w:val="002B7C62"/>
    <w:rsid w:val="002C0A9F"/>
    <w:rsid w:val="002C1934"/>
    <w:rsid w:val="002C416F"/>
    <w:rsid w:val="002C479E"/>
    <w:rsid w:val="002C47D6"/>
    <w:rsid w:val="002C4A76"/>
    <w:rsid w:val="002C4E19"/>
    <w:rsid w:val="002C55F6"/>
    <w:rsid w:val="002C5ACA"/>
    <w:rsid w:val="002C6D4D"/>
    <w:rsid w:val="002D0278"/>
    <w:rsid w:val="002D11D7"/>
    <w:rsid w:val="002D22E8"/>
    <w:rsid w:val="002D2813"/>
    <w:rsid w:val="002D2BEE"/>
    <w:rsid w:val="002D77A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5A19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6EAC"/>
    <w:rsid w:val="003478FA"/>
    <w:rsid w:val="00347BC6"/>
    <w:rsid w:val="00351921"/>
    <w:rsid w:val="003527CD"/>
    <w:rsid w:val="003530FB"/>
    <w:rsid w:val="00354047"/>
    <w:rsid w:val="0035405F"/>
    <w:rsid w:val="0035468F"/>
    <w:rsid w:val="00354D08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36FD"/>
    <w:rsid w:val="003A4303"/>
    <w:rsid w:val="003A6C39"/>
    <w:rsid w:val="003A731F"/>
    <w:rsid w:val="003A77C9"/>
    <w:rsid w:val="003A7ADE"/>
    <w:rsid w:val="003B1371"/>
    <w:rsid w:val="003B1B0C"/>
    <w:rsid w:val="003B39C5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181D"/>
    <w:rsid w:val="003D2E3D"/>
    <w:rsid w:val="003D4089"/>
    <w:rsid w:val="003D48B0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95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570A"/>
    <w:rsid w:val="004373B9"/>
    <w:rsid w:val="00437809"/>
    <w:rsid w:val="00441E7C"/>
    <w:rsid w:val="0044253C"/>
    <w:rsid w:val="00445780"/>
    <w:rsid w:val="004466A7"/>
    <w:rsid w:val="00446985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325"/>
    <w:rsid w:val="00481D29"/>
    <w:rsid w:val="00482E20"/>
    <w:rsid w:val="004842C3"/>
    <w:rsid w:val="004849D3"/>
    <w:rsid w:val="00484C0D"/>
    <w:rsid w:val="00484E35"/>
    <w:rsid w:val="0048652C"/>
    <w:rsid w:val="00487AC2"/>
    <w:rsid w:val="0049279C"/>
    <w:rsid w:val="00493E27"/>
    <w:rsid w:val="004965A8"/>
    <w:rsid w:val="00496633"/>
    <w:rsid w:val="00497078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2E32"/>
    <w:rsid w:val="004B5686"/>
    <w:rsid w:val="004B65EC"/>
    <w:rsid w:val="004C0ECA"/>
    <w:rsid w:val="004C1616"/>
    <w:rsid w:val="004C187E"/>
    <w:rsid w:val="004C4F16"/>
    <w:rsid w:val="004C5E7B"/>
    <w:rsid w:val="004D179C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0887"/>
    <w:rsid w:val="0050183B"/>
    <w:rsid w:val="00502359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2"/>
    <w:rsid w:val="00521938"/>
    <w:rsid w:val="00522632"/>
    <w:rsid w:val="00522815"/>
    <w:rsid w:val="00522EF3"/>
    <w:rsid w:val="00523182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2E37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4D64"/>
    <w:rsid w:val="00555610"/>
    <w:rsid w:val="00556D2F"/>
    <w:rsid w:val="00556DC7"/>
    <w:rsid w:val="0056081A"/>
    <w:rsid w:val="00560A0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265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21E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96A"/>
    <w:rsid w:val="005D0D10"/>
    <w:rsid w:val="005D2686"/>
    <w:rsid w:val="005D26E2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309"/>
    <w:rsid w:val="005F5707"/>
    <w:rsid w:val="005F734D"/>
    <w:rsid w:val="005F7D1B"/>
    <w:rsid w:val="00600110"/>
    <w:rsid w:val="00600878"/>
    <w:rsid w:val="00601D73"/>
    <w:rsid w:val="00602E51"/>
    <w:rsid w:val="00603BFE"/>
    <w:rsid w:val="006049C8"/>
    <w:rsid w:val="00605027"/>
    <w:rsid w:val="00606442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2EF2"/>
    <w:rsid w:val="00643BBD"/>
    <w:rsid w:val="0064409F"/>
    <w:rsid w:val="006441E4"/>
    <w:rsid w:val="006443DF"/>
    <w:rsid w:val="00650760"/>
    <w:rsid w:val="0065134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4781"/>
    <w:rsid w:val="00675B86"/>
    <w:rsid w:val="00677384"/>
    <w:rsid w:val="006774BF"/>
    <w:rsid w:val="006822AA"/>
    <w:rsid w:val="00693B49"/>
    <w:rsid w:val="0069422E"/>
    <w:rsid w:val="006942ED"/>
    <w:rsid w:val="006944EF"/>
    <w:rsid w:val="0069676C"/>
    <w:rsid w:val="006A04E9"/>
    <w:rsid w:val="006A289F"/>
    <w:rsid w:val="006A33FB"/>
    <w:rsid w:val="006B0367"/>
    <w:rsid w:val="006B1FE7"/>
    <w:rsid w:val="006B4727"/>
    <w:rsid w:val="006C2C92"/>
    <w:rsid w:val="006C3C59"/>
    <w:rsid w:val="006C4213"/>
    <w:rsid w:val="006C4B6D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3055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4CBF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4614D"/>
    <w:rsid w:val="00757631"/>
    <w:rsid w:val="00757C3E"/>
    <w:rsid w:val="00760894"/>
    <w:rsid w:val="00764D64"/>
    <w:rsid w:val="00765216"/>
    <w:rsid w:val="00770054"/>
    <w:rsid w:val="00770CA4"/>
    <w:rsid w:val="00772307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DAE"/>
    <w:rsid w:val="007B2FE4"/>
    <w:rsid w:val="007B4793"/>
    <w:rsid w:val="007B6BF7"/>
    <w:rsid w:val="007B72F6"/>
    <w:rsid w:val="007B7847"/>
    <w:rsid w:val="007C12A7"/>
    <w:rsid w:val="007C1CF4"/>
    <w:rsid w:val="007C25CB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7F5A2E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4A7F"/>
    <w:rsid w:val="00826474"/>
    <w:rsid w:val="00826A46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3C7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E61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75E0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2DAF"/>
    <w:rsid w:val="008D4953"/>
    <w:rsid w:val="008D64D4"/>
    <w:rsid w:val="008D7129"/>
    <w:rsid w:val="008E12FF"/>
    <w:rsid w:val="008E18B6"/>
    <w:rsid w:val="008E3652"/>
    <w:rsid w:val="008E3672"/>
    <w:rsid w:val="008E49AB"/>
    <w:rsid w:val="008E5316"/>
    <w:rsid w:val="008E73AD"/>
    <w:rsid w:val="008F056B"/>
    <w:rsid w:val="008F0CF5"/>
    <w:rsid w:val="008F1AA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209"/>
    <w:rsid w:val="00964A60"/>
    <w:rsid w:val="009650A6"/>
    <w:rsid w:val="0096610B"/>
    <w:rsid w:val="00966C57"/>
    <w:rsid w:val="00970543"/>
    <w:rsid w:val="009707EB"/>
    <w:rsid w:val="0097113C"/>
    <w:rsid w:val="00971CDF"/>
    <w:rsid w:val="00973356"/>
    <w:rsid w:val="009743B6"/>
    <w:rsid w:val="00974D23"/>
    <w:rsid w:val="00975CBF"/>
    <w:rsid w:val="009768AE"/>
    <w:rsid w:val="00980D38"/>
    <w:rsid w:val="00982476"/>
    <w:rsid w:val="00983770"/>
    <w:rsid w:val="00985709"/>
    <w:rsid w:val="00986365"/>
    <w:rsid w:val="009869E9"/>
    <w:rsid w:val="00986BC3"/>
    <w:rsid w:val="00987EEE"/>
    <w:rsid w:val="00991656"/>
    <w:rsid w:val="00993E40"/>
    <w:rsid w:val="00996671"/>
    <w:rsid w:val="009A00D4"/>
    <w:rsid w:val="009A258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4CA9"/>
    <w:rsid w:val="009B515F"/>
    <w:rsid w:val="009B5552"/>
    <w:rsid w:val="009B64AA"/>
    <w:rsid w:val="009B68CB"/>
    <w:rsid w:val="009C26AF"/>
    <w:rsid w:val="009C2938"/>
    <w:rsid w:val="009C379E"/>
    <w:rsid w:val="009C4575"/>
    <w:rsid w:val="009C50DA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661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451"/>
    <w:rsid w:val="00A045DD"/>
    <w:rsid w:val="00A06D66"/>
    <w:rsid w:val="00A073BF"/>
    <w:rsid w:val="00A07E0D"/>
    <w:rsid w:val="00A13D30"/>
    <w:rsid w:val="00A14DCC"/>
    <w:rsid w:val="00A15DA5"/>
    <w:rsid w:val="00A167F5"/>
    <w:rsid w:val="00A179AA"/>
    <w:rsid w:val="00A2273D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225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59CA"/>
    <w:rsid w:val="00AA6498"/>
    <w:rsid w:val="00AA7AE3"/>
    <w:rsid w:val="00AB2062"/>
    <w:rsid w:val="00AB31F3"/>
    <w:rsid w:val="00AB3613"/>
    <w:rsid w:val="00AB3D59"/>
    <w:rsid w:val="00AB5D6A"/>
    <w:rsid w:val="00AB6115"/>
    <w:rsid w:val="00AC2CB6"/>
    <w:rsid w:val="00AC47BE"/>
    <w:rsid w:val="00AC4CEB"/>
    <w:rsid w:val="00AC5247"/>
    <w:rsid w:val="00AD1C11"/>
    <w:rsid w:val="00AD27C1"/>
    <w:rsid w:val="00AD3E82"/>
    <w:rsid w:val="00AD46DD"/>
    <w:rsid w:val="00AD4F95"/>
    <w:rsid w:val="00AD5E8D"/>
    <w:rsid w:val="00AE0E84"/>
    <w:rsid w:val="00AE2CC1"/>
    <w:rsid w:val="00AE30F7"/>
    <w:rsid w:val="00AE32DD"/>
    <w:rsid w:val="00AE4D36"/>
    <w:rsid w:val="00AE6A0D"/>
    <w:rsid w:val="00AF0E64"/>
    <w:rsid w:val="00AF4311"/>
    <w:rsid w:val="00AF4558"/>
    <w:rsid w:val="00AF495A"/>
    <w:rsid w:val="00AF4C0F"/>
    <w:rsid w:val="00AF4DBC"/>
    <w:rsid w:val="00AF68D1"/>
    <w:rsid w:val="00B006FD"/>
    <w:rsid w:val="00B00B91"/>
    <w:rsid w:val="00B02C90"/>
    <w:rsid w:val="00B0402E"/>
    <w:rsid w:val="00B04DFA"/>
    <w:rsid w:val="00B052B4"/>
    <w:rsid w:val="00B06D4E"/>
    <w:rsid w:val="00B073ED"/>
    <w:rsid w:val="00B10DA4"/>
    <w:rsid w:val="00B11CB7"/>
    <w:rsid w:val="00B146E2"/>
    <w:rsid w:val="00B149B9"/>
    <w:rsid w:val="00B14AB7"/>
    <w:rsid w:val="00B15C1F"/>
    <w:rsid w:val="00B16B5B"/>
    <w:rsid w:val="00B22704"/>
    <w:rsid w:val="00B22AC4"/>
    <w:rsid w:val="00B23F18"/>
    <w:rsid w:val="00B24953"/>
    <w:rsid w:val="00B27A40"/>
    <w:rsid w:val="00B32FA6"/>
    <w:rsid w:val="00B3324B"/>
    <w:rsid w:val="00B33522"/>
    <w:rsid w:val="00B341D7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05C"/>
    <w:rsid w:val="00B849EE"/>
    <w:rsid w:val="00B84D02"/>
    <w:rsid w:val="00B850E5"/>
    <w:rsid w:val="00B86826"/>
    <w:rsid w:val="00B870E0"/>
    <w:rsid w:val="00B87589"/>
    <w:rsid w:val="00B91360"/>
    <w:rsid w:val="00B94935"/>
    <w:rsid w:val="00B95032"/>
    <w:rsid w:val="00B97444"/>
    <w:rsid w:val="00BA0268"/>
    <w:rsid w:val="00BA1AD8"/>
    <w:rsid w:val="00BA1ADB"/>
    <w:rsid w:val="00BA26B4"/>
    <w:rsid w:val="00BA2940"/>
    <w:rsid w:val="00BA318A"/>
    <w:rsid w:val="00BA3481"/>
    <w:rsid w:val="00BA3B1A"/>
    <w:rsid w:val="00BA3B1D"/>
    <w:rsid w:val="00BA58E7"/>
    <w:rsid w:val="00BA7B26"/>
    <w:rsid w:val="00BB327F"/>
    <w:rsid w:val="00BB3832"/>
    <w:rsid w:val="00BB7DA9"/>
    <w:rsid w:val="00BC1B8E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5A0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56E25"/>
    <w:rsid w:val="00C60544"/>
    <w:rsid w:val="00C6076C"/>
    <w:rsid w:val="00C60DEB"/>
    <w:rsid w:val="00C61A62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5078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058"/>
    <w:rsid w:val="00CA21D2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503F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1FFE"/>
    <w:rsid w:val="00CF2D36"/>
    <w:rsid w:val="00CF342E"/>
    <w:rsid w:val="00CF470D"/>
    <w:rsid w:val="00CF6A26"/>
    <w:rsid w:val="00CF71C4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1180"/>
    <w:rsid w:val="00D43342"/>
    <w:rsid w:val="00D4394E"/>
    <w:rsid w:val="00D44728"/>
    <w:rsid w:val="00D45237"/>
    <w:rsid w:val="00D511CD"/>
    <w:rsid w:val="00D5203F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2829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24FA"/>
    <w:rsid w:val="00DC4EE2"/>
    <w:rsid w:val="00DD09A9"/>
    <w:rsid w:val="00DD136E"/>
    <w:rsid w:val="00DD22DD"/>
    <w:rsid w:val="00DD2474"/>
    <w:rsid w:val="00DD2AA9"/>
    <w:rsid w:val="00DD3A74"/>
    <w:rsid w:val="00DD47AF"/>
    <w:rsid w:val="00DD4F48"/>
    <w:rsid w:val="00DD5827"/>
    <w:rsid w:val="00DD6193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4341"/>
    <w:rsid w:val="00DF56C9"/>
    <w:rsid w:val="00DF6AC4"/>
    <w:rsid w:val="00E004F0"/>
    <w:rsid w:val="00E007EC"/>
    <w:rsid w:val="00E01158"/>
    <w:rsid w:val="00E031FE"/>
    <w:rsid w:val="00E03CED"/>
    <w:rsid w:val="00E04013"/>
    <w:rsid w:val="00E0449B"/>
    <w:rsid w:val="00E04E64"/>
    <w:rsid w:val="00E06027"/>
    <w:rsid w:val="00E06A0E"/>
    <w:rsid w:val="00E1077F"/>
    <w:rsid w:val="00E119AC"/>
    <w:rsid w:val="00E13927"/>
    <w:rsid w:val="00E13B06"/>
    <w:rsid w:val="00E14CFE"/>
    <w:rsid w:val="00E17516"/>
    <w:rsid w:val="00E203D5"/>
    <w:rsid w:val="00E21F88"/>
    <w:rsid w:val="00E233D8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4701D"/>
    <w:rsid w:val="00E505EF"/>
    <w:rsid w:val="00E514F6"/>
    <w:rsid w:val="00E545B2"/>
    <w:rsid w:val="00E55108"/>
    <w:rsid w:val="00E56275"/>
    <w:rsid w:val="00E57C06"/>
    <w:rsid w:val="00E61065"/>
    <w:rsid w:val="00E618B6"/>
    <w:rsid w:val="00E63180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C87"/>
    <w:rsid w:val="00E90D36"/>
    <w:rsid w:val="00E913D9"/>
    <w:rsid w:val="00E91553"/>
    <w:rsid w:val="00E92735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1107"/>
    <w:rsid w:val="00EB2A4A"/>
    <w:rsid w:val="00EB3D8F"/>
    <w:rsid w:val="00EC0BE3"/>
    <w:rsid w:val="00EC1988"/>
    <w:rsid w:val="00EC1EBD"/>
    <w:rsid w:val="00EC2A87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2D36"/>
    <w:rsid w:val="00F141BF"/>
    <w:rsid w:val="00F16A95"/>
    <w:rsid w:val="00F177C0"/>
    <w:rsid w:val="00F17C0D"/>
    <w:rsid w:val="00F17CFB"/>
    <w:rsid w:val="00F20F31"/>
    <w:rsid w:val="00F233E1"/>
    <w:rsid w:val="00F2612E"/>
    <w:rsid w:val="00F27AD6"/>
    <w:rsid w:val="00F30A85"/>
    <w:rsid w:val="00F32A22"/>
    <w:rsid w:val="00F32EC8"/>
    <w:rsid w:val="00F33723"/>
    <w:rsid w:val="00F34C98"/>
    <w:rsid w:val="00F364E9"/>
    <w:rsid w:val="00F378E3"/>
    <w:rsid w:val="00F409CD"/>
    <w:rsid w:val="00F40A84"/>
    <w:rsid w:val="00F424B7"/>
    <w:rsid w:val="00F44CFC"/>
    <w:rsid w:val="00F4519D"/>
    <w:rsid w:val="00F46140"/>
    <w:rsid w:val="00F46965"/>
    <w:rsid w:val="00F50FC7"/>
    <w:rsid w:val="00F5225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96B46"/>
    <w:rsid w:val="00FA025C"/>
    <w:rsid w:val="00FA0D0F"/>
    <w:rsid w:val="00FA4CD5"/>
    <w:rsid w:val="00FA57A1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5E9D"/>
    <w:rsid w:val="00FD16BF"/>
    <w:rsid w:val="00FD5A63"/>
    <w:rsid w:val="00FE0968"/>
    <w:rsid w:val="00FE1848"/>
    <w:rsid w:val="00FE3A52"/>
    <w:rsid w:val="00FE4810"/>
    <w:rsid w:val="00FE6B37"/>
    <w:rsid w:val="00FE75AC"/>
    <w:rsid w:val="00FE7EF5"/>
    <w:rsid w:val="00FF1FEF"/>
    <w:rsid w:val="00FF227C"/>
    <w:rsid w:val="00FF28CB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B65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86A6-975E-494A-96C4-E944A92B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19</Pages>
  <Words>3655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82</cp:revision>
  <cp:lastPrinted>2025-07-08T16:30:00Z</cp:lastPrinted>
  <dcterms:created xsi:type="dcterms:W3CDTF">2022-04-08T04:30:00Z</dcterms:created>
  <dcterms:modified xsi:type="dcterms:W3CDTF">2025-07-08T16:30:00Z</dcterms:modified>
</cp:coreProperties>
</file>