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2E4" w:rsidRDefault="006A32E4" w:rsidP="006A32E4">
      <w:pPr>
        <w:spacing w:line="360" w:lineRule="auto"/>
        <w:jc w:val="center"/>
        <w:rPr>
          <w:b/>
          <w:sz w:val="20"/>
          <w:szCs w:val="20"/>
        </w:rPr>
      </w:pPr>
      <w:r>
        <w:rPr>
          <w:b/>
          <w:sz w:val="20"/>
          <w:szCs w:val="20"/>
        </w:rPr>
        <w:t>CRITERIOS DE POLÍTICA ECONÓMICA DEL ESTADO DE TLAXCALA</w:t>
      </w:r>
    </w:p>
    <w:p w:rsidR="006A32E4" w:rsidRDefault="006A32E4" w:rsidP="006A32E4">
      <w:pPr>
        <w:spacing w:line="360" w:lineRule="auto"/>
        <w:jc w:val="center"/>
        <w:rPr>
          <w:sz w:val="20"/>
          <w:szCs w:val="20"/>
        </w:rPr>
      </w:pPr>
    </w:p>
    <w:p w:rsidR="00A1791B" w:rsidRDefault="00A1791B" w:rsidP="006A32E4">
      <w:pPr>
        <w:spacing w:line="360" w:lineRule="auto"/>
        <w:jc w:val="center"/>
        <w:rPr>
          <w:sz w:val="20"/>
          <w:szCs w:val="20"/>
        </w:rPr>
      </w:pPr>
    </w:p>
    <w:p w:rsidR="006A32E4" w:rsidRDefault="006A32E4" w:rsidP="006A32E4">
      <w:pPr>
        <w:pStyle w:val="PRIMERAPLANA"/>
        <w:numPr>
          <w:ilvl w:val="0"/>
          <w:numId w:val="29"/>
        </w:numPr>
        <w:spacing w:line="360" w:lineRule="auto"/>
        <w:ind w:left="567" w:hanging="567"/>
        <w:rPr>
          <w:rFonts w:ascii="Times New Roman" w:hAnsi="Times New Roman"/>
          <w:b/>
          <w:lang w:val="es-ES"/>
        </w:rPr>
      </w:pPr>
      <w:r>
        <w:rPr>
          <w:rFonts w:ascii="Times New Roman" w:hAnsi="Times New Roman"/>
          <w:b/>
          <w:lang w:val="es-ES"/>
        </w:rPr>
        <w:t>INTRODUCCIÓN</w:t>
      </w:r>
    </w:p>
    <w:p w:rsidR="006A32E4" w:rsidRDefault="006A32E4" w:rsidP="006A32E4">
      <w:pPr>
        <w:pStyle w:val="PRIMERAPLANA"/>
        <w:spacing w:line="360" w:lineRule="auto"/>
        <w:rPr>
          <w:rFonts w:ascii="Times New Roman" w:hAnsi="Times New Roman"/>
          <w:bCs/>
          <w:lang w:val="es-ES"/>
        </w:rPr>
      </w:pPr>
    </w:p>
    <w:p w:rsidR="006A32E4" w:rsidRDefault="006A32E4" w:rsidP="006A32E4">
      <w:pPr>
        <w:pStyle w:val="PRIMERAPLANA"/>
        <w:spacing w:line="360" w:lineRule="auto"/>
        <w:rPr>
          <w:rFonts w:ascii="Times New Roman" w:hAnsi="Times New Roman"/>
          <w:bCs/>
          <w:lang w:val="es-ES"/>
        </w:rPr>
      </w:pPr>
      <w:r>
        <w:rPr>
          <w:rFonts w:ascii="Times New Roman" w:hAnsi="Times New Roman"/>
          <w:bCs/>
          <w:lang w:val="es-ES"/>
        </w:rPr>
        <w:t>Los Criterios de Política Económica del Estado de Tlaxcala, para el Ejercicio Fiscal 2020, son elaborados y entregados por el Ejecutivo Estatal al Congreso del Estado, con el objeto de facilitar el análisis de las iniciativas de Ley de Ingresos, así como del Decreto de Presupuesto de Egresos del Estado de Tlaxcala para el Ejercicio Fiscal 2020.</w:t>
      </w:r>
    </w:p>
    <w:p w:rsidR="006A32E4" w:rsidRDefault="006A32E4" w:rsidP="006A32E4">
      <w:pPr>
        <w:pStyle w:val="PRIMERAPLANA"/>
        <w:spacing w:line="360" w:lineRule="auto"/>
        <w:rPr>
          <w:rFonts w:ascii="Times New Roman" w:hAnsi="Times New Roman"/>
          <w:bCs/>
          <w:lang w:val="es-ES"/>
        </w:rPr>
      </w:pPr>
    </w:p>
    <w:p w:rsidR="006A32E4" w:rsidRDefault="006A32E4" w:rsidP="006A32E4">
      <w:pPr>
        <w:pStyle w:val="PRIMERAPLANA"/>
        <w:spacing w:line="360" w:lineRule="auto"/>
        <w:rPr>
          <w:rFonts w:ascii="Times New Roman" w:hAnsi="Times New Roman"/>
          <w:bCs/>
          <w:lang w:val="es-ES"/>
        </w:rPr>
      </w:pPr>
      <w:r>
        <w:rPr>
          <w:rFonts w:ascii="Times New Roman" w:hAnsi="Times New Roman"/>
          <w:bCs/>
          <w:lang w:val="es-ES"/>
        </w:rPr>
        <w:t xml:space="preserve">Los Criterios de Política Económica, se elaboran en base a los lineamientos definidos por el Gobierno Federal y a las prioridades que el Ejecutivo del Estado ha definido para el año 2020. En este documento, se definen las metas para el crecimiento económico estatal, considerando las expectativas del crecimiento económico nacional y mundial para 2020, así como el impacto que tendrán en la creación de nuevas empresas y en la generación de empleos. </w:t>
      </w:r>
    </w:p>
    <w:p w:rsidR="006A32E4" w:rsidRDefault="006A32E4" w:rsidP="006A32E4">
      <w:pPr>
        <w:pStyle w:val="PRIMERAPLANA"/>
        <w:spacing w:line="360" w:lineRule="auto"/>
        <w:rPr>
          <w:rFonts w:ascii="Times New Roman" w:hAnsi="Times New Roman"/>
          <w:bCs/>
          <w:lang w:val="es-ES"/>
        </w:rPr>
      </w:pPr>
    </w:p>
    <w:p w:rsidR="006A32E4" w:rsidRDefault="006A32E4" w:rsidP="006A32E4">
      <w:pPr>
        <w:pStyle w:val="PRIMERAPLANA"/>
        <w:spacing w:line="360" w:lineRule="auto"/>
        <w:rPr>
          <w:rFonts w:ascii="Times New Roman" w:hAnsi="Times New Roman"/>
          <w:bCs/>
          <w:lang w:val="es-ES"/>
        </w:rPr>
      </w:pPr>
      <w:r>
        <w:rPr>
          <w:rFonts w:ascii="Times New Roman" w:hAnsi="Times New Roman"/>
          <w:bCs/>
          <w:lang w:val="es-ES"/>
        </w:rPr>
        <w:t>Finalmente, se integran los principales lineamientos estratégicos y acciones que habrán de impulsarse en materia de ingreso y gasto, así como la política de deuda a seguir, definidos en la Iniciativa de Ley de Ingresos y en el Proyecto de Decreto de Presupuesto de Egresos 2020, en los que se establecen los recursos necesarios a obtener para satisfacer las demandas y necesidades de la población, impulsar el crecimiento económico del Estado siguiendo el rumbo definido en el Plan Estatal de Desarrollo 2017-2021.</w:t>
      </w:r>
    </w:p>
    <w:p w:rsidR="006A32E4" w:rsidRDefault="006A32E4" w:rsidP="006A32E4">
      <w:pPr>
        <w:pStyle w:val="PRIMERAPLANA"/>
        <w:spacing w:line="360" w:lineRule="auto"/>
        <w:rPr>
          <w:rFonts w:ascii="Times New Roman" w:hAnsi="Times New Roman"/>
          <w:bCs/>
          <w:lang w:val="es-ES"/>
        </w:rPr>
      </w:pPr>
    </w:p>
    <w:p w:rsidR="006A32E4" w:rsidRDefault="006A32E4" w:rsidP="006A32E4">
      <w:pPr>
        <w:pStyle w:val="PRIMERAPLANA"/>
        <w:spacing w:line="360" w:lineRule="auto"/>
        <w:rPr>
          <w:rFonts w:ascii="Times New Roman" w:hAnsi="Times New Roman"/>
          <w:bCs/>
          <w:lang w:val="es-ES"/>
        </w:rPr>
      </w:pPr>
      <w:r>
        <w:rPr>
          <w:rFonts w:ascii="Times New Roman" w:hAnsi="Times New Roman"/>
          <w:bCs/>
          <w:lang w:val="es-ES"/>
        </w:rPr>
        <w:t>Se han fortalecido las potestades tributarias del Estado, incrementando los niveles de eficiencia del sistema tributario, para incidir de manera positiva en los coeficientes de distribución de participaciones federales a la Entidad. Esta administración, ha insistido en la participación activa de la ciudadanía en el quehacer gubernamental, con el firme propósito de mantener una estabilidad política, económica y social.</w:t>
      </w:r>
    </w:p>
    <w:p w:rsidR="006A32E4" w:rsidRDefault="006A32E4" w:rsidP="006A32E4">
      <w:pPr>
        <w:pStyle w:val="PRIMERAPLANA"/>
        <w:spacing w:line="360" w:lineRule="auto"/>
        <w:rPr>
          <w:rFonts w:ascii="Times New Roman" w:hAnsi="Times New Roman"/>
          <w:bCs/>
          <w:lang w:val="es-ES"/>
        </w:rPr>
      </w:pPr>
    </w:p>
    <w:p w:rsidR="006A32E4" w:rsidRDefault="006A32E4" w:rsidP="006A32E4">
      <w:pPr>
        <w:pStyle w:val="PRIMERAPLANA"/>
        <w:spacing w:line="360" w:lineRule="auto"/>
        <w:rPr>
          <w:rFonts w:ascii="Times New Roman" w:hAnsi="Times New Roman"/>
          <w:bCs/>
          <w:lang w:val="es-ES"/>
        </w:rPr>
      </w:pPr>
      <w:r>
        <w:rPr>
          <w:rFonts w:ascii="Times New Roman" w:hAnsi="Times New Roman"/>
          <w:bCs/>
          <w:lang w:val="es-ES"/>
        </w:rPr>
        <w:t>La creciente demanda de bienes y servicios públicos de la población tlaxcalteca nos impulsa a servir con mayor calidad y eficiencia, atendiendo los valores y principios de honestidad, transparencia y rendición de cuentas, optimizando el uso de los recursos públicos para lograr el bienestar general. Para el logro de ese propósito, es indispensable conjuntar voluntades, esfuerzos y principalmente, es necesario contar con los medios económicos que permitan sufragar los programas, proyectos, obras y acciones destinados a atender los servicios públicos y los justos reclamos sociales.</w:t>
      </w:r>
    </w:p>
    <w:p w:rsidR="006A32E4" w:rsidRDefault="006A32E4" w:rsidP="006A32E4">
      <w:pPr>
        <w:pStyle w:val="PRIMERAPLANA"/>
        <w:spacing w:line="360" w:lineRule="auto"/>
        <w:rPr>
          <w:rFonts w:ascii="Times New Roman" w:hAnsi="Times New Roman"/>
          <w:bCs/>
          <w:lang w:val="es-ES"/>
        </w:rPr>
      </w:pPr>
    </w:p>
    <w:p w:rsidR="006A32E4" w:rsidRDefault="006A32E4" w:rsidP="006A32E4">
      <w:pPr>
        <w:pStyle w:val="PRIMERAPLANA"/>
        <w:spacing w:line="360" w:lineRule="auto"/>
        <w:rPr>
          <w:rFonts w:ascii="Times New Roman" w:hAnsi="Times New Roman"/>
          <w:bCs/>
          <w:lang w:val="es-ES"/>
        </w:rPr>
      </w:pPr>
      <w:r>
        <w:rPr>
          <w:rFonts w:ascii="Times New Roman" w:hAnsi="Times New Roman"/>
          <w:bCs/>
          <w:lang w:val="es-ES"/>
        </w:rPr>
        <w:t>Uno de los principios rectores de la actual administración, ha sido conducir las finanzas del Estado con total responsabilidad hacendaria y transparencia presupuestal, lo cual ha permitido dar seguimiento puntual a los objetivos de los programas y proyectos emanados del Plan Estatal de Desarrollo 2017-2021.</w:t>
      </w:r>
    </w:p>
    <w:p w:rsidR="006A32E4" w:rsidRDefault="006A32E4" w:rsidP="006A32E4">
      <w:pPr>
        <w:pStyle w:val="PRIMERAPLANA"/>
        <w:spacing w:line="360" w:lineRule="auto"/>
        <w:rPr>
          <w:rFonts w:ascii="Times New Roman" w:hAnsi="Times New Roman"/>
          <w:bCs/>
          <w:lang w:val="es-ES"/>
        </w:rPr>
      </w:pPr>
    </w:p>
    <w:p w:rsidR="006A32E4" w:rsidRDefault="006A32E4" w:rsidP="00A1791B">
      <w:pPr>
        <w:pStyle w:val="PRIMERAPLANA"/>
        <w:spacing w:line="360" w:lineRule="auto"/>
        <w:rPr>
          <w:rFonts w:ascii="Times New Roman" w:hAnsi="Times New Roman"/>
          <w:bCs/>
          <w:lang w:val="es-ES"/>
        </w:rPr>
      </w:pPr>
      <w:r>
        <w:rPr>
          <w:rFonts w:ascii="Times New Roman" w:hAnsi="Times New Roman"/>
          <w:bCs/>
          <w:lang w:val="es-ES"/>
        </w:rPr>
        <w:t xml:space="preserve">La política de ingresos está apegada a los objetivos, estrategias y líneas de acción establecidas en el Plan Estatal de Desarrollo 2017-2021, concentrando los esfuerzos del Gobierno del Estado en: </w:t>
      </w:r>
    </w:p>
    <w:p w:rsidR="00A1791B" w:rsidRDefault="00A1791B" w:rsidP="00A1791B">
      <w:pPr>
        <w:pStyle w:val="PRIMERAPLANA"/>
        <w:spacing w:line="360" w:lineRule="auto"/>
        <w:rPr>
          <w:rFonts w:ascii="Times New Roman" w:hAnsi="Times New Roman"/>
          <w:bCs/>
          <w:lang w:val="es-ES"/>
        </w:rPr>
      </w:pPr>
    </w:p>
    <w:p w:rsidR="006A32E4" w:rsidRDefault="006A32E4" w:rsidP="00A1791B">
      <w:pPr>
        <w:pStyle w:val="PRIMERAPLANA"/>
        <w:numPr>
          <w:ilvl w:val="0"/>
          <w:numId w:val="30"/>
        </w:numPr>
        <w:rPr>
          <w:rFonts w:ascii="Times New Roman" w:hAnsi="Times New Roman"/>
          <w:bCs/>
          <w:lang w:val="es-ES"/>
        </w:rPr>
      </w:pPr>
      <w:r>
        <w:rPr>
          <w:rFonts w:ascii="Times New Roman" w:hAnsi="Times New Roman"/>
          <w:bCs/>
          <w:lang w:val="es-ES"/>
        </w:rPr>
        <w:t>Fortalecer la recaudación de ingresos propios y atraer mayores recursos federales.</w:t>
      </w:r>
    </w:p>
    <w:p w:rsidR="006A32E4" w:rsidRDefault="006A32E4" w:rsidP="00A1791B">
      <w:pPr>
        <w:pStyle w:val="PRIMERAPLANA"/>
        <w:ind w:left="1080"/>
        <w:rPr>
          <w:rFonts w:ascii="Times New Roman" w:hAnsi="Times New Roman"/>
          <w:bCs/>
          <w:lang w:val="es-ES"/>
        </w:rPr>
      </w:pPr>
    </w:p>
    <w:p w:rsidR="006A32E4" w:rsidRDefault="006A32E4" w:rsidP="00A1791B">
      <w:pPr>
        <w:pStyle w:val="PRIMERAPLANA"/>
        <w:numPr>
          <w:ilvl w:val="0"/>
          <w:numId w:val="30"/>
        </w:numPr>
        <w:rPr>
          <w:rFonts w:ascii="Times New Roman" w:hAnsi="Times New Roman"/>
          <w:bCs/>
          <w:lang w:val="es-ES"/>
        </w:rPr>
      </w:pPr>
      <w:r>
        <w:rPr>
          <w:rFonts w:ascii="Times New Roman" w:hAnsi="Times New Roman"/>
          <w:bCs/>
          <w:lang w:val="es-ES"/>
        </w:rPr>
        <w:t>Consolidar el sistema de recaudación, a través de la mejora continua de la administración tributaria del Estado, y</w:t>
      </w:r>
    </w:p>
    <w:p w:rsidR="006A32E4" w:rsidRDefault="006A32E4" w:rsidP="00A1791B">
      <w:pPr>
        <w:pStyle w:val="PRIMERAPLANA"/>
        <w:ind w:left="1080"/>
        <w:rPr>
          <w:rFonts w:ascii="Times New Roman" w:hAnsi="Times New Roman"/>
          <w:bCs/>
          <w:lang w:val="es-ES"/>
        </w:rPr>
      </w:pPr>
    </w:p>
    <w:p w:rsidR="006A32E4" w:rsidRDefault="006A32E4" w:rsidP="00A1791B">
      <w:pPr>
        <w:pStyle w:val="PRIMERAPLANA"/>
        <w:numPr>
          <w:ilvl w:val="0"/>
          <w:numId w:val="30"/>
        </w:numPr>
        <w:rPr>
          <w:rFonts w:ascii="Times New Roman" w:hAnsi="Times New Roman"/>
          <w:bCs/>
          <w:lang w:val="es-ES"/>
        </w:rPr>
      </w:pPr>
      <w:r>
        <w:rPr>
          <w:rFonts w:ascii="Times New Roman" w:hAnsi="Times New Roman"/>
          <w:bCs/>
          <w:lang w:val="es-ES"/>
        </w:rPr>
        <w:t>Mantener la salud y fortaleza de las finanzas públicas estatales.</w:t>
      </w:r>
    </w:p>
    <w:p w:rsidR="006A32E4" w:rsidRDefault="006A32E4" w:rsidP="006A32E4">
      <w:pPr>
        <w:pStyle w:val="PRIMERAPLANA"/>
        <w:spacing w:line="360" w:lineRule="auto"/>
        <w:rPr>
          <w:rFonts w:ascii="Times New Roman" w:hAnsi="Times New Roman"/>
          <w:bCs/>
          <w:lang w:val="es-ES"/>
        </w:rPr>
      </w:pPr>
    </w:p>
    <w:p w:rsidR="00A1791B" w:rsidRDefault="00A1791B" w:rsidP="006A32E4">
      <w:pPr>
        <w:pStyle w:val="PRIMERAPLANA"/>
        <w:spacing w:line="360" w:lineRule="auto"/>
        <w:rPr>
          <w:rFonts w:ascii="Times New Roman" w:hAnsi="Times New Roman"/>
          <w:bCs/>
          <w:lang w:val="es-ES"/>
        </w:rPr>
      </w:pPr>
    </w:p>
    <w:p w:rsidR="006A32E4" w:rsidRDefault="006A32E4" w:rsidP="006A32E4">
      <w:pPr>
        <w:pStyle w:val="PRIMERAPLANA"/>
        <w:spacing w:line="360" w:lineRule="auto"/>
        <w:rPr>
          <w:rFonts w:ascii="Times New Roman" w:hAnsi="Times New Roman"/>
          <w:bCs/>
          <w:lang w:val="es-ES"/>
        </w:rPr>
      </w:pPr>
      <w:r>
        <w:rPr>
          <w:rFonts w:ascii="Times New Roman" w:hAnsi="Times New Roman"/>
          <w:bCs/>
          <w:lang w:val="es-ES"/>
        </w:rPr>
        <w:t xml:space="preserve">Los esfuerzos del Estado en materia de planeación, programación y </w:t>
      </w:r>
      <w:proofErr w:type="spellStart"/>
      <w:r>
        <w:rPr>
          <w:rFonts w:ascii="Times New Roman" w:hAnsi="Times New Roman"/>
          <w:bCs/>
          <w:lang w:val="es-ES"/>
        </w:rPr>
        <w:t>presupuestación</w:t>
      </w:r>
      <w:proofErr w:type="spellEnd"/>
      <w:r>
        <w:rPr>
          <w:rFonts w:ascii="Times New Roman" w:hAnsi="Times New Roman"/>
          <w:bCs/>
          <w:lang w:val="es-ES"/>
        </w:rPr>
        <w:t xml:space="preserve">, consideran metas de ingresos prudentes y realistas, en relación a los supuestos del marco macroeconómico y fiscal que ha definido el Gobierno Federal en el Documento relativo al Cumplimiento de las Disposiciones Contenidas en el artículo 42, fracción I, de la Ley Federal de Presupuesto y Responsabilidad Hacendaria (Pre-Criterios 2020) y de los Criterios Generales de Política Económica para la Iniciativa </w:t>
      </w:r>
      <w:proofErr w:type="gramStart"/>
      <w:r>
        <w:rPr>
          <w:rFonts w:ascii="Times New Roman" w:hAnsi="Times New Roman"/>
          <w:bCs/>
          <w:lang w:val="es-ES"/>
        </w:rPr>
        <w:lastRenderedPageBreak/>
        <w:t>de</w:t>
      </w:r>
      <w:proofErr w:type="gramEnd"/>
      <w:r>
        <w:rPr>
          <w:rFonts w:ascii="Times New Roman" w:hAnsi="Times New Roman"/>
          <w:bCs/>
          <w:lang w:val="es-ES"/>
        </w:rPr>
        <w:t xml:space="preserve"> Ley de Ingresos y el Proyecto de Presupuesto de Egresos de la Federación correspondientes al Ejercicio Fiscal 2020.</w:t>
      </w:r>
    </w:p>
    <w:p w:rsidR="006A32E4" w:rsidRDefault="006A32E4" w:rsidP="006A32E4">
      <w:pPr>
        <w:pStyle w:val="PRIMERAPLANA"/>
        <w:spacing w:line="360" w:lineRule="auto"/>
        <w:rPr>
          <w:rFonts w:ascii="Times New Roman" w:hAnsi="Times New Roman"/>
          <w:bCs/>
          <w:lang w:val="es-ES"/>
        </w:rPr>
      </w:pPr>
    </w:p>
    <w:p w:rsidR="006A32E4" w:rsidRDefault="006A32E4" w:rsidP="006A32E4">
      <w:pPr>
        <w:pStyle w:val="PRIMERAPLANA"/>
        <w:spacing w:line="360" w:lineRule="auto"/>
        <w:rPr>
          <w:rFonts w:ascii="Times New Roman" w:hAnsi="Times New Roman"/>
          <w:bCs/>
          <w:lang w:val="es-ES"/>
        </w:rPr>
      </w:pPr>
      <w:r>
        <w:rPr>
          <w:rFonts w:ascii="Times New Roman" w:hAnsi="Times New Roman"/>
          <w:bCs/>
          <w:lang w:val="es-ES"/>
        </w:rPr>
        <w:t xml:space="preserve">El artículo 5 de la Ley de Disciplina Financiera de las Entidades Federativas y los Municipios, establece que las iniciativas de la Ley de Ingresos y el Proyecto de Presupuesto de Egresos deben elaborarse conforme a lo establecido en la legislación local. Además, contendrán entre otros los apartados siguientes: </w:t>
      </w:r>
    </w:p>
    <w:p w:rsidR="00A1791B" w:rsidRDefault="00A1791B" w:rsidP="006A32E4">
      <w:pPr>
        <w:pStyle w:val="PRIMERAPLANA"/>
        <w:spacing w:line="360" w:lineRule="auto"/>
        <w:rPr>
          <w:rFonts w:ascii="Times New Roman" w:hAnsi="Times New Roman"/>
          <w:bCs/>
          <w:lang w:val="es-ES"/>
        </w:rPr>
      </w:pPr>
    </w:p>
    <w:p w:rsidR="006A32E4" w:rsidRDefault="006A32E4" w:rsidP="00A1791B">
      <w:pPr>
        <w:pStyle w:val="PRIMERAPLANA"/>
        <w:numPr>
          <w:ilvl w:val="0"/>
          <w:numId w:val="31"/>
        </w:numPr>
        <w:rPr>
          <w:rFonts w:ascii="Times New Roman" w:hAnsi="Times New Roman"/>
          <w:bCs/>
          <w:lang w:val="es-ES"/>
        </w:rPr>
      </w:pPr>
      <w:r>
        <w:rPr>
          <w:rFonts w:ascii="Times New Roman" w:hAnsi="Times New Roman"/>
          <w:bCs/>
          <w:lang w:val="es-ES"/>
        </w:rPr>
        <w:t xml:space="preserve">Los objetivos anuales, las estrategias y las metas; </w:t>
      </w:r>
    </w:p>
    <w:p w:rsidR="006A32E4" w:rsidRDefault="006A32E4" w:rsidP="00A1791B">
      <w:pPr>
        <w:pStyle w:val="PRIMERAPLANA"/>
        <w:rPr>
          <w:rFonts w:ascii="Times New Roman" w:hAnsi="Times New Roman"/>
          <w:bCs/>
          <w:lang w:val="es-ES"/>
        </w:rPr>
      </w:pPr>
    </w:p>
    <w:p w:rsidR="006A32E4" w:rsidRDefault="006A32E4" w:rsidP="00A1791B">
      <w:pPr>
        <w:pStyle w:val="PRIMERAPLANA"/>
        <w:numPr>
          <w:ilvl w:val="0"/>
          <w:numId w:val="31"/>
        </w:numPr>
        <w:rPr>
          <w:rFonts w:ascii="Times New Roman" w:hAnsi="Times New Roman"/>
          <w:bCs/>
          <w:lang w:val="es-ES"/>
        </w:rPr>
      </w:pPr>
      <w:r>
        <w:rPr>
          <w:rFonts w:ascii="Times New Roman" w:hAnsi="Times New Roman"/>
          <w:bCs/>
          <w:lang w:val="es-ES"/>
        </w:rPr>
        <w:t xml:space="preserve">Las proyecciones de finanzas públicas a partir de los Criterios Generales de Política Económica del Gobierno Federal, así como la estimación de las transferencias federales etiquetadas y no etiquetadas; y </w:t>
      </w:r>
    </w:p>
    <w:p w:rsidR="006A32E4" w:rsidRDefault="006A32E4" w:rsidP="00A1791B">
      <w:pPr>
        <w:pStyle w:val="PRIMERAPLANA"/>
        <w:rPr>
          <w:rFonts w:ascii="Times New Roman" w:hAnsi="Times New Roman"/>
          <w:bCs/>
          <w:lang w:val="es-ES"/>
        </w:rPr>
      </w:pPr>
    </w:p>
    <w:p w:rsidR="006A32E4" w:rsidRDefault="006A32E4" w:rsidP="00A1791B">
      <w:pPr>
        <w:pStyle w:val="PRIMERAPLANA"/>
        <w:numPr>
          <w:ilvl w:val="0"/>
          <w:numId w:val="31"/>
        </w:numPr>
        <w:rPr>
          <w:rFonts w:ascii="Times New Roman" w:hAnsi="Times New Roman"/>
          <w:bCs/>
          <w:lang w:val="es-ES"/>
        </w:rPr>
      </w:pPr>
      <w:r>
        <w:rPr>
          <w:rFonts w:ascii="Times New Roman" w:hAnsi="Times New Roman"/>
          <w:bCs/>
          <w:lang w:val="es-ES"/>
        </w:rPr>
        <w:t xml:space="preserve">La identificación de los riesgos relevantes para las finanzas públicas, incluyendo los montos de la deuda contingente. </w:t>
      </w:r>
    </w:p>
    <w:p w:rsidR="006A32E4" w:rsidRDefault="006A32E4" w:rsidP="006A32E4">
      <w:pPr>
        <w:pStyle w:val="PRIMERAPLANA"/>
        <w:spacing w:line="360" w:lineRule="auto"/>
        <w:rPr>
          <w:rFonts w:ascii="Times New Roman" w:hAnsi="Times New Roman"/>
          <w:bCs/>
        </w:rPr>
      </w:pPr>
    </w:p>
    <w:p w:rsidR="00A1791B" w:rsidRDefault="00A1791B" w:rsidP="006A32E4">
      <w:pPr>
        <w:pStyle w:val="PRIMERAPLANA"/>
        <w:spacing w:line="360" w:lineRule="auto"/>
        <w:rPr>
          <w:rFonts w:ascii="Times New Roman" w:hAnsi="Times New Roman"/>
          <w:bCs/>
        </w:rPr>
      </w:pPr>
    </w:p>
    <w:p w:rsidR="006A32E4" w:rsidRDefault="006A32E4" w:rsidP="006A32E4">
      <w:pPr>
        <w:pStyle w:val="PRIMERAPLANA"/>
        <w:spacing w:line="360" w:lineRule="auto"/>
        <w:rPr>
          <w:rFonts w:ascii="Times New Roman" w:hAnsi="Times New Roman"/>
          <w:bCs/>
          <w:lang w:val="es-ES"/>
        </w:rPr>
      </w:pPr>
      <w:r>
        <w:rPr>
          <w:rFonts w:ascii="Times New Roman" w:hAnsi="Times New Roman"/>
          <w:bCs/>
        </w:rPr>
        <w:t xml:space="preserve">Para </w:t>
      </w:r>
      <w:r>
        <w:rPr>
          <w:rFonts w:ascii="Times New Roman" w:hAnsi="Times New Roman"/>
          <w:bCs/>
          <w:lang w:val="es-ES"/>
        </w:rPr>
        <w:t>el uso eficiente de los recursos públicos y la promoción óptima del desarrollo del Estado, esta</w:t>
      </w:r>
      <w:r>
        <w:rPr>
          <w:rFonts w:ascii="Times New Roman" w:hAnsi="Times New Roman"/>
          <w:bCs/>
        </w:rPr>
        <w:t xml:space="preserve"> Administración ha considerado </w:t>
      </w:r>
      <w:r>
        <w:rPr>
          <w:rFonts w:ascii="Times New Roman" w:hAnsi="Times New Roman"/>
          <w:bCs/>
          <w:lang w:val="es-ES"/>
        </w:rPr>
        <w:t>como un pilar fundamental la gestión basada en resultados, cuyo objetivo es el construir un gobierno abierto, democrático, organizado y orientado al logro de resultados.</w:t>
      </w:r>
    </w:p>
    <w:p w:rsidR="006A32E4" w:rsidRDefault="006A32E4" w:rsidP="006A32E4">
      <w:pPr>
        <w:pStyle w:val="PRIMERAPLANA"/>
        <w:spacing w:line="360" w:lineRule="auto"/>
        <w:rPr>
          <w:rFonts w:ascii="Times New Roman" w:hAnsi="Times New Roman"/>
          <w:bCs/>
          <w:lang w:val="es-ES"/>
        </w:rPr>
      </w:pPr>
    </w:p>
    <w:p w:rsidR="00A1791B" w:rsidRDefault="00A1791B" w:rsidP="006A32E4">
      <w:pPr>
        <w:pStyle w:val="PRIMERAPLANA"/>
        <w:spacing w:line="360" w:lineRule="auto"/>
        <w:rPr>
          <w:rFonts w:ascii="Times New Roman" w:hAnsi="Times New Roman"/>
          <w:bCs/>
          <w:lang w:val="es-ES"/>
        </w:rPr>
      </w:pPr>
    </w:p>
    <w:p w:rsidR="006A32E4" w:rsidRDefault="006A32E4" w:rsidP="006A32E4">
      <w:pPr>
        <w:pStyle w:val="Prrafodelista"/>
        <w:numPr>
          <w:ilvl w:val="0"/>
          <w:numId w:val="32"/>
        </w:numPr>
        <w:spacing w:line="360" w:lineRule="auto"/>
        <w:ind w:left="709"/>
        <w:contextualSpacing/>
        <w:rPr>
          <w:b/>
          <w:sz w:val="20"/>
          <w:szCs w:val="20"/>
        </w:rPr>
      </w:pPr>
      <w:r>
        <w:rPr>
          <w:b/>
          <w:sz w:val="20"/>
          <w:szCs w:val="20"/>
        </w:rPr>
        <w:t>EN MATERIA DE INGRESOS</w:t>
      </w:r>
    </w:p>
    <w:p w:rsidR="006A32E4" w:rsidRDefault="006A32E4" w:rsidP="006A32E4">
      <w:pPr>
        <w:spacing w:line="360" w:lineRule="auto"/>
        <w:rPr>
          <w:sz w:val="20"/>
          <w:szCs w:val="20"/>
        </w:rPr>
      </w:pPr>
    </w:p>
    <w:p w:rsidR="006A32E4" w:rsidRDefault="006A32E4" w:rsidP="006A32E4">
      <w:pPr>
        <w:pStyle w:val="PRIMERAPLANA"/>
        <w:spacing w:line="360" w:lineRule="auto"/>
        <w:rPr>
          <w:rFonts w:ascii="Times New Roman" w:hAnsi="Times New Roman"/>
          <w:b/>
          <w:lang w:val="es-ES"/>
        </w:rPr>
      </w:pPr>
      <w:r>
        <w:rPr>
          <w:rFonts w:ascii="Times New Roman" w:hAnsi="Times New Roman"/>
          <w:b/>
          <w:lang w:val="es-ES"/>
        </w:rPr>
        <w:t>CONSIDERACIONES GENERALES</w:t>
      </w:r>
    </w:p>
    <w:p w:rsidR="006A32E4" w:rsidRDefault="006A32E4" w:rsidP="006A32E4">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La iniciativa de Ley de Ingresos del Estado de Tlaxcala para el Ejercicio Fiscal 2020, que se somete a consideración de esa Legislatura, es una propuesta objetiva, responsable y sobre todo, comprometida </w:t>
      </w:r>
      <w:r w:rsidRPr="00A1791B">
        <w:rPr>
          <w:rFonts w:ascii="Times New Roman" w:hAnsi="Times New Roman"/>
          <w:bCs/>
          <w:lang w:val="es-ES"/>
        </w:rPr>
        <w:lastRenderedPageBreak/>
        <w:t>con el bienestar de las familias tlaxcaltecas, garantizando la implementación de políticas públicas que permitan el desarrollo de las finanzas estatales, a través de un presupuesto equilibrado y del manejo responsable de los recursos, estimulando la actividad económica del Estado. Se han fortalecido las potestades tributarias del Estado, incrementando los niveles de eficiencia del sistema tributario, para incidir de manera positiva en los coeficientes de distribución de participaciones federales a la Entidad. Esta administración, ha insistido en la participación activa de la ciudadanía en el quehacer gubernamental, con el firme propósito de mantener una estabilidad política, económica y social.</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La estrategia de construir mecanismos y rediseñar estrategias que consoliden la economía, para fortalecer la infraestructura estatal, su equipamiento y modernización de los servicios que proporciona el Estado, ha permitido disminuir la brecha de la pobreza entre los ciudadanos tlaxcaltecas, mejorando su calidad de vida, consolidando a nuestra Entidad en una de las más prósperas y competitivas dentro del mercado nacional e internacional.</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Este objetivo guía las aspiraciones de la presente administración, manteniendo vigentes los principios rectores del Plan Estatal de Desarrollo 2017-2021, y redoblar esfuerzos para hacerlos realidad, refrendando los compromisos que fortalezcan la capacidad para potenciar las oportunidades para el desarrollo humano integral de los habitantes de la Entidad, en aspectos fundamentales como son: educación, salud, seguridad, empleo y eficiente infraestructura carretera.</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La creciente demanda de bienes y servicios públicos de la población tlaxcalteca nos impulsa a servir con mayor calidad y eficiencia, atendiendo los valores y principios de honestidad, transparencia y rendición de cuentas, optimizando el uso de los recursos públicos para lograr el bienestar general. Para el logro de ese propósito, es indispensable conjuntar voluntades, esfuerzos, y principalmente es necesario contar con los medios económicos que permitan sufragar los programas, proyectos, obras y acciones destinados a atender los servicios públicos y los justos reclamos sociales.</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lastRenderedPageBreak/>
        <w:t>En la Iniciativa de Ley de Ingresos del Estado de Tlaxcala para el Ejercicio Fiscal 2020, que se somete a consideración de esa Legislatura, se encuentra implícito el compromiso de eficientar la recaudación y las acciones de fiscalización, coadyuvando a incrementar los ingresos propios del Estado, que permitan complementar los ingresos por concepto de participaciones y aportaciones federales, derivados del Sistema Nacional de Coordinación Fiscal.</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Uno de los principios rectores de la actual administración, ha sido conducir las finanzas del Estado con total responsabilidad hacendaria y transparencia presupuestal, lo cual ha permitido dar seguimiento puntual a los objetivos de los programas y proyectos emanados del Plan Estatal de Desarrollo 2017-2021.</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En el marco legal que rige a la Hacienda Pública Estatal, la Ley de Ingresos del Estado de Tlaxcala es el instrumento jurídico mediante el cual se establecen las fuentes de ingreso y los recursos que anualmente son necesarios para satisfacer las necesidades y los requerimientos de la población tlaxcalteca, y en la perspectiva del Gobierno del Estado, la política fiscal estatal está orientada a garantizar el respeto a los principios fundamentales de proporcionalidad, equidad y legalidad consagrados en la fracción IV del artículo 31 de la Constitución Política de los Estados Unidos Mexicanos.</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La política de ingresos está apegada a los objetivos, estrategias y líneas de acción establecidas en el Plan Estatal de Desarrollo 2017-2021, concentrando los esfuerzos del Gobierno del Estado en: </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numPr>
          <w:ilvl w:val="0"/>
          <w:numId w:val="5"/>
        </w:numPr>
        <w:spacing w:line="360" w:lineRule="auto"/>
        <w:rPr>
          <w:rFonts w:ascii="Times New Roman" w:hAnsi="Times New Roman"/>
          <w:bCs/>
          <w:lang w:val="es-ES"/>
        </w:rPr>
      </w:pPr>
      <w:r w:rsidRPr="00A1791B">
        <w:rPr>
          <w:rFonts w:ascii="Times New Roman" w:hAnsi="Times New Roman"/>
          <w:bCs/>
          <w:lang w:val="es-ES"/>
        </w:rPr>
        <w:t>Fortalecer la recaudación de ingresos propios y atraer mayores recursos federales;</w:t>
      </w:r>
    </w:p>
    <w:p w:rsidR="00A1791B" w:rsidRPr="00A1791B" w:rsidRDefault="00A1791B" w:rsidP="00A1791B">
      <w:pPr>
        <w:pStyle w:val="PRIMERAPLANA"/>
        <w:spacing w:line="360" w:lineRule="auto"/>
        <w:ind w:left="1080"/>
        <w:rPr>
          <w:rFonts w:ascii="Times New Roman" w:hAnsi="Times New Roman"/>
          <w:bCs/>
          <w:lang w:val="es-ES"/>
        </w:rPr>
      </w:pPr>
    </w:p>
    <w:p w:rsidR="00A1791B" w:rsidRPr="00A1791B" w:rsidRDefault="00A1791B" w:rsidP="00A1791B">
      <w:pPr>
        <w:pStyle w:val="PRIMERAPLANA"/>
        <w:numPr>
          <w:ilvl w:val="0"/>
          <w:numId w:val="5"/>
        </w:numPr>
        <w:spacing w:line="360" w:lineRule="auto"/>
        <w:rPr>
          <w:rFonts w:ascii="Times New Roman" w:hAnsi="Times New Roman"/>
          <w:bCs/>
          <w:lang w:val="es-ES"/>
        </w:rPr>
      </w:pPr>
      <w:r w:rsidRPr="00A1791B">
        <w:rPr>
          <w:rFonts w:ascii="Times New Roman" w:hAnsi="Times New Roman"/>
          <w:bCs/>
          <w:lang w:val="es-ES"/>
        </w:rPr>
        <w:t>Consolidar el sistema de recaudación, a través de la mejora continua de la administración tributaria del Estado, y</w:t>
      </w:r>
    </w:p>
    <w:p w:rsidR="00A1791B" w:rsidRPr="00A1791B" w:rsidRDefault="00A1791B" w:rsidP="00A1791B">
      <w:pPr>
        <w:pStyle w:val="PRIMERAPLANA"/>
        <w:spacing w:line="360" w:lineRule="auto"/>
        <w:ind w:left="1080"/>
        <w:rPr>
          <w:rFonts w:ascii="Times New Roman" w:hAnsi="Times New Roman"/>
          <w:bCs/>
          <w:lang w:val="es-ES"/>
        </w:rPr>
      </w:pPr>
    </w:p>
    <w:p w:rsidR="00A1791B" w:rsidRPr="00A1791B" w:rsidRDefault="00A1791B" w:rsidP="00A1791B">
      <w:pPr>
        <w:pStyle w:val="PRIMERAPLANA"/>
        <w:numPr>
          <w:ilvl w:val="0"/>
          <w:numId w:val="5"/>
        </w:numPr>
        <w:spacing w:line="360" w:lineRule="auto"/>
        <w:rPr>
          <w:rFonts w:ascii="Times New Roman" w:hAnsi="Times New Roman"/>
          <w:bCs/>
          <w:lang w:val="es-ES"/>
        </w:rPr>
      </w:pPr>
      <w:r w:rsidRPr="00A1791B">
        <w:rPr>
          <w:rFonts w:ascii="Times New Roman" w:hAnsi="Times New Roman"/>
          <w:bCs/>
          <w:lang w:val="es-ES"/>
        </w:rPr>
        <w:t>Mantener la salud y fortaleza de las finanzas públicas estatales.</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La Iniciativa de Ley de Ingresos del Estado de Tlaxcala para el Ejercicio Fiscal 2020, se elaboró con base en las proyecciones económicas previstas por la Secretaría de Hacienda y Crédito Público, a través de los Criterios Generales de Política Económica para la Iniciativa de Ley de Ingresos y el Proyecto de Presupuesto de Egresos de la Federación correspondientes al Ejercicio Fiscal 2020, así como en la tendencia que han presentado los ingresos estatales durante los últimos cinco años; contempla principios de responsabilidad fiscal, eficiencia recaudatoria y control presupuestal; con lo anterior, se pretende generar suficiencia de recursos para el financiamiento del gasto social y la inversión pública, logrando un balance presupuestario sostenible.</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Los esfuerzos del Estado en materia de planeación, programación y </w:t>
      </w:r>
      <w:proofErr w:type="spellStart"/>
      <w:r w:rsidRPr="00A1791B">
        <w:rPr>
          <w:rFonts w:ascii="Times New Roman" w:hAnsi="Times New Roman"/>
          <w:bCs/>
          <w:lang w:val="es-ES"/>
        </w:rPr>
        <w:t>presupuestación</w:t>
      </w:r>
      <w:proofErr w:type="spellEnd"/>
      <w:r w:rsidRPr="00A1791B">
        <w:rPr>
          <w:rFonts w:ascii="Times New Roman" w:hAnsi="Times New Roman"/>
          <w:bCs/>
          <w:lang w:val="es-ES"/>
        </w:rPr>
        <w:t>, consideran metas de ingresos prudentes y realistas, en relación a los supuestos del marco macroeconómico y fiscal que ha definido el Gobierno Federal en el Documento relativo al Cumplimiento de las Disposiciones Contenidas en el artículo 42, fracción I, de la Ley Federal de Presupuesto y Responsabilidad Hacendaria (Pre-Criterios 2020) y de los Criterios Generales de Política Económica para la Iniciativa de Ley de Ingresos y el Proyecto de Presupuesto de Egresos de la Federación correspondientes al Ejercicio Fiscal 2020 (CGPE_2020).</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El artículo 5 de la Ley de Disciplina Financiera de las Entidades Federativas y los Municipios, establece que las iniciativas de la Ley de Ingresos y el Proyecto de Presupuesto de Egresos deben elaborarse conforme a lo establecido en la legislación local. Además, contendrán entre otros los apartados siguientes: </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numPr>
          <w:ilvl w:val="0"/>
          <w:numId w:val="19"/>
        </w:numPr>
        <w:spacing w:line="360" w:lineRule="auto"/>
        <w:rPr>
          <w:rFonts w:ascii="Times New Roman" w:hAnsi="Times New Roman"/>
          <w:bCs/>
          <w:lang w:val="es-ES"/>
        </w:rPr>
      </w:pPr>
      <w:r w:rsidRPr="00A1791B">
        <w:rPr>
          <w:rFonts w:ascii="Times New Roman" w:hAnsi="Times New Roman"/>
          <w:bCs/>
          <w:lang w:val="es-ES"/>
        </w:rPr>
        <w:t xml:space="preserve">Los objetivos anuales, las estrategias y las metas; </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numPr>
          <w:ilvl w:val="0"/>
          <w:numId w:val="19"/>
        </w:numPr>
        <w:spacing w:line="360" w:lineRule="auto"/>
        <w:rPr>
          <w:rFonts w:ascii="Times New Roman" w:hAnsi="Times New Roman"/>
          <w:bCs/>
          <w:lang w:val="es-ES"/>
        </w:rPr>
      </w:pPr>
      <w:r w:rsidRPr="00A1791B">
        <w:rPr>
          <w:rFonts w:ascii="Times New Roman" w:hAnsi="Times New Roman"/>
          <w:bCs/>
          <w:lang w:val="es-ES"/>
        </w:rPr>
        <w:t xml:space="preserve">Las proyecciones de finanzas públicas a partir de los Criterios Generales de Política Económica del Gobierno Federal, así como la estimación de las transferencias federales etiquetadas y no etiquetadas; y </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numPr>
          <w:ilvl w:val="0"/>
          <w:numId w:val="19"/>
        </w:numPr>
        <w:spacing w:line="360" w:lineRule="auto"/>
        <w:rPr>
          <w:rFonts w:ascii="Times New Roman" w:hAnsi="Times New Roman"/>
          <w:bCs/>
          <w:lang w:val="es-ES"/>
        </w:rPr>
      </w:pPr>
      <w:r w:rsidRPr="00A1791B">
        <w:rPr>
          <w:rFonts w:ascii="Times New Roman" w:hAnsi="Times New Roman"/>
          <w:bCs/>
          <w:lang w:val="es-ES"/>
        </w:rPr>
        <w:t xml:space="preserve">La identificación de los riesgos relevantes para las finanzas públicas, incluyendo los montos de la deuda contingente. </w:t>
      </w:r>
    </w:p>
    <w:p w:rsidR="00A1791B" w:rsidRPr="00A1791B" w:rsidRDefault="00A1791B" w:rsidP="00A1791B">
      <w:pPr>
        <w:pStyle w:val="PRIMERAPLANA"/>
        <w:spacing w:line="360" w:lineRule="auto"/>
        <w:rPr>
          <w:rFonts w:ascii="Times New Roman" w:hAnsi="Times New Roman"/>
          <w:bC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rPr>
        <w:t xml:space="preserve">Para </w:t>
      </w:r>
      <w:r w:rsidRPr="00A1791B">
        <w:rPr>
          <w:rFonts w:ascii="Times New Roman" w:hAnsi="Times New Roman"/>
          <w:bCs/>
          <w:lang w:val="es-ES"/>
        </w:rPr>
        <w:t>el uso eficiente de los recursos públicos y la promoción óptima del desarrollo del Estado, esta</w:t>
      </w:r>
      <w:r w:rsidRPr="00A1791B">
        <w:rPr>
          <w:rFonts w:ascii="Times New Roman" w:hAnsi="Times New Roman"/>
          <w:bCs/>
        </w:rPr>
        <w:t xml:space="preserve"> Administración ha considerado </w:t>
      </w:r>
      <w:r w:rsidRPr="00A1791B">
        <w:rPr>
          <w:rFonts w:ascii="Times New Roman" w:hAnsi="Times New Roman"/>
          <w:bCs/>
          <w:lang w:val="es-ES"/>
        </w:rPr>
        <w:t>como un pilar fundamental la gestión basada en resultados, cuyo objetivo es el construir un gobierno abierto, democrático, organizado y orientado al logro de resultados.</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Por otra parte, de conformidad con las Normas emitidas por el Consejo Nacional de Armonización Contable (CONAC), organismo competente en términos de lo dispuesto en los artículos 9, fracciones I y IX, 14 y 61 de la Ley General de Contabilidad Gubernamental, se somete a la consideración de esta Legislatura, la presente Iniciativa de Ley en el formato aprobado por dicho Ente Público, donde se desglosan los rubros e importes que el Estado estima percibir de conformidad con el Clasificador por Rubro de Ingresos. Por lo anterior, y con la finalidad de proveer los recursos necesarios para la consecución de los objetivos planteados en el Plan Estatal de Desarrollo 2017-2021, se exponen las políticas económicas y financieras que sustentan esta Iniciativa de Ley de Ingresos, considerando los principios de la Ley General de Contabilidad Gubernamental, la Ley de Disciplina Financiera de las Entidades Federativas y los Municipios, y el Código Financiero para el Estado de Tlaxcala y sus Municipios, así como del entorno económico internacional, nacional y local, permitiendo realizar la propuesta de los montos que en ingresos federales y locales estima recibir el Estado en el ejercicio fiscal 2020.</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De conformidad con lo establecido en la Constitución Política del Estado Libre y Soberano de Tlaxcala y el Código Financiero para el Estado de Tlaxcala y sus Municipios, el Ejecutivo del Estado somete a consideración de esa Soberanía la Iniciativa de Ley de Ingresos del Estado de Tlaxcala para el Ejercicio Fiscal 2020; considerando un panorama económico global que muestra señales claras de desaceleración. El Fondo Monetario Internacional (FMI), en sus estimaciones de julio de 2019, </w:t>
      </w:r>
      <w:r w:rsidRPr="00A1791B">
        <w:rPr>
          <w:rFonts w:ascii="Times New Roman" w:hAnsi="Times New Roman"/>
          <w:bCs/>
          <w:lang w:val="es-ES"/>
        </w:rPr>
        <w:lastRenderedPageBreak/>
        <w:t>proyectó que el crecimiento mundial alcance una tasa real anual de 3.2% en 2019, lo cual implica una revisión a la baja de 0.1 puntos porcentuales respecto a la tasa esperada en las proyecciones de abril, y de 0.4 puntos porcentuales respecto de la de enero de 2019. Asimismo, el FMI anticipó que el crecimiento mundial en 2020 se ubicará en 3.5%, 0.1 puntos porcentuales menos que las proyecciones previas. Al respecto, la institución destacó que las revisiones a las tasas de crecimiento son consistentes con el desarrollo de las tensiones comerciales, un aumento prolongado de la aversión al riesgo y la existencia de crecientes presiones deflacionarias.</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Ante este entorno internacional complejo, la economía mexicana mostró resultados mixtos. Por un lado, la actividad industrial y la inversión </w:t>
      </w:r>
      <w:proofErr w:type="gramStart"/>
      <w:r w:rsidRPr="00A1791B">
        <w:rPr>
          <w:rFonts w:ascii="Times New Roman" w:hAnsi="Times New Roman"/>
          <w:bCs/>
          <w:lang w:val="es-ES"/>
        </w:rPr>
        <w:t>ha</w:t>
      </w:r>
      <w:proofErr w:type="gramEnd"/>
      <w:r w:rsidRPr="00A1791B">
        <w:rPr>
          <w:rFonts w:ascii="Times New Roman" w:hAnsi="Times New Roman"/>
          <w:bCs/>
          <w:lang w:val="es-ES"/>
        </w:rPr>
        <w:t xml:space="preserve"> evidenciado una mayor debilidad, mientras que por el otro, las exportaciones no petroleras continúan presentando una tendencia positiva, acompañadas por un desempeño estable del mercado laboral con crecimiento en el salario real. </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La desaceleración observada en la actividad económica agregada, tanto en México como a nivel global, tiene que ver con factores relacionados al ciclo económico y no con los factores que tienen un efecto permanente sobre la economía y que determinan el crecimiento de la actividad en el largo plazo. Durante 2019, a pesar de un entorno internacional con elevada volatilidad, el peso se ha mantenido dentro de los parámetros esperados. En el primer semestre del año, el tipo de cambio reflejó una apreciación, mientras que la curva de rendimientos se desplazó hacia abajo en línea con los mercados internacionales.</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Para 2020, se proyecta un precio para la mezcla mexicana de exportación de 49.0 dólares por barril (dpb), por una menor demanda del energético, resultado de el escalamiento de las tensiones comerciales, la desaceleración de la actividad industrial a nivel global, así como la entrada en vigor en 2020 de la regulación de la Organización Marítima Internacional (OMI) sobre el contenido máximo de azufre del combustóleo. Asimismo, se propone una plataforma de producción de 1,951 de barriles de petróleo diarios, de acuerdo con el Plan de Negocios de Petróleos Mexicanos (PEMEX) 2019-2023 y las estimaciones de la Secretaría de Energía sobre la producción privada.</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Para el cierre de 2020, se prevé una inflación anual de 3.0%, igual a la proyectada por el Banco de México para el cuarto trimestre de ese año en su Informe Trimestral de abril-junio de 2019; un tipo de cambio nominal de 20.0 pesos por dólar, y una tasa de interés nominal promedio de Certificados de la Tesorería (CETES) a 28 días de 7.4%.</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El balance presupuestario para 2020 que se presenta, corresponde a un déficit de 2.1% del Producto Interno Bruto (PIB), el cual es consistente con un superávit del balance primario de 0.7% del PIB. La meta para el balance presupuestario, sin considerar el gasto en inversión del Gobierno Federal y las empresas productivas del Estado hasta por 2.0% del PIB, es de un déficit de 0.1% del PIB. En materia de política de ingresos, se reitera el compromiso de no proponer la creación de impuestos nuevos ni el incremento en tasas de los impuestos existentes durante el ejercicio fiscal 2020.</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Para 2020, se propone un techo de endeudamiento neto interno del Gobierno Federal de 532 mil millones de pesos (</w:t>
      </w:r>
      <w:proofErr w:type="spellStart"/>
      <w:r w:rsidRPr="00A1791B">
        <w:rPr>
          <w:rFonts w:ascii="Times New Roman" w:hAnsi="Times New Roman"/>
          <w:bCs/>
          <w:lang w:val="es-ES"/>
        </w:rPr>
        <w:t>mmp</w:t>
      </w:r>
      <w:proofErr w:type="spellEnd"/>
      <w:r w:rsidRPr="00A1791B">
        <w:rPr>
          <w:rFonts w:ascii="Times New Roman" w:hAnsi="Times New Roman"/>
          <w:bCs/>
          <w:lang w:val="es-ES"/>
        </w:rPr>
        <w:t xml:space="preserve">) y un techo de endeudamiento neto externo del Sector Público de 5.3 mil millones de dólares (mmd). Para PEMEX y sus empresas productivas subsidiarias contemplan un techo de endeudamiento interno neto de hasta por 10 </w:t>
      </w:r>
      <w:proofErr w:type="spellStart"/>
      <w:r w:rsidRPr="00A1791B">
        <w:rPr>
          <w:rFonts w:ascii="Times New Roman" w:hAnsi="Times New Roman"/>
          <w:bCs/>
          <w:lang w:val="es-ES"/>
        </w:rPr>
        <w:t>mmp</w:t>
      </w:r>
      <w:proofErr w:type="spellEnd"/>
      <w:r w:rsidRPr="00A1791B">
        <w:rPr>
          <w:rFonts w:ascii="Times New Roman" w:hAnsi="Times New Roman"/>
          <w:bCs/>
          <w:lang w:val="es-ES"/>
        </w:rPr>
        <w:t xml:space="preserve"> y un techo de endeudamiento externo neto de 1.25 mmd. Por su parte, la CFE y sus empresas productivas subsidiarias solicitan un techo de endeudamiento interno neto de 9.8 </w:t>
      </w:r>
      <w:proofErr w:type="spellStart"/>
      <w:r w:rsidRPr="00A1791B">
        <w:rPr>
          <w:rFonts w:ascii="Times New Roman" w:hAnsi="Times New Roman"/>
          <w:bCs/>
          <w:lang w:val="es-ES"/>
        </w:rPr>
        <w:t>mmp</w:t>
      </w:r>
      <w:proofErr w:type="spellEnd"/>
      <w:r w:rsidRPr="00A1791B">
        <w:rPr>
          <w:rFonts w:ascii="Times New Roman" w:hAnsi="Times New Roman"/>
          <w:bCs/>
          <w:lang w:val="es-ES"/>
        </w:rPr>
        <w:t xml:space="preserve"> y un techo de endeudamiento externo neto de 508 millones de dólares. </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Con el objetivo de mantener la salud de las finanzas públicas ante posibles eventos adversos, el Gobierno de México continuará implementado diversas acciones, entre las cuales destacan: </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numPr>
          <w:ilvl w:val="0"/>
          <w:numId w:val="22"/>
        </w:numPr>
        <w:rPr>
          <w:rFonts w:ascii="Times New Roman" w:hAnsi="Times New Roman"/>
          <w:bCs/>
          <w:lang w:val="es-ES"/>
        </w:rPr>
      </w:pPr>
      <w:r w:rsidRPr="00A1791B">
        <w:rPr>
          <w:rFonts w:ascii="Times New Roman" w:hAnsi="Times New Roman"/>
          <w:bCs/>
          <w:lang w:val="es-ES"/>
        </w:rPr>
        <w:t xml:space="preserve">El programa de coberturas petroleras por parte del Gobierno Federal; </w:t>
      </w:r>
    </w:p>
    <w:p w:rsidR="00A1791B" w:rsidRPr="00A1791B" w:rsidRDefault="00A1791B" w:rsidP="00A1791B">
      <w:pPr>
        <w:pStyle w:val="PRIMERAPLANA"/>
        <w:ind w:left="1080"/>
        <w:rPr>
          <w:rFonts w:ascii="Times New Roman" w:hAnsi="Times New Roman"/>
          <w:bCs/>
          <w:lang w:val="es-ES"/>
        </w:rPr>
      </w:pPr>
    </w:p>
    <w:p w:rsidR="00A1791B" w:rsidRPr="00A1791B" w:rsidRDefault="00A1791B" w:rsidP="00A1791B">
      <w:pPr>
        <w:pStyle w:val="PRIMERAPLANA"/>
        <w:numPr>
          <w:ilvl w:val="0"/>
          <w:numId w:val="22"/>
        </w:numPr>
        <w:rPr>
          <w:rFonts w:ascii="Times New Roman" w:hAnsi="Times New Roman"/>
          <w:bCs/>
          <w:lang w:val="es-ES"/>
        </w:rPr>
      </w:pPr>
      <w:r w:rsidRPr="00A1791B">
        <w:rPr>
          <w:rFonts w:ascii="Times New Roman" w:hAnsi="Times New Roman"/>
          <w:bCs/>
          <w:lang w:val="es-ES"/>
        </w:rPr>
        <w:t xml:space="preserve">La acumulación de recursos en los fondos de estabilización, los cuales al cierre de junio registran en su conjunto un saldo históricamente alto equivalente a 409.7 </w:t>
      </w:r>
      <w:proofErr w:type="spellStart"/>
      <w:r w:rsidRPr="00A1791B">
        <w:rPr>
          <w:rFonts w:ascii="Times New Roman" w:hAnsi="Times New Roman"/>
          <w:bCs/>
          <w:lang w:val="es-ES"/>
        </w:rPr>
        <w:t>mmp</w:t>
      </w:r>
      <w:proofErr w:type="spellEnd"/>
      <w:r w:rsidRPr="00A1791B">
        <w:rPr>
          <w:rFonts w:ascii="Times New Roman" w:hAnsi="Times New Roman"/>
          <w:bCs/>
          <w:lang w:val="es-ES"/>
        </w:rPr>
        <w:t xml:space="preserve">, lo que representa el 1.6% del PIB; </w:t>
      </w:r>
    </w:p>
    <w:p w:rsidR="00A1791B" w:rsidRPr="00A1791B" w:rsidRDefault="00A1791B" w:rsidP="00A1791B">
      <w:pPr>
        <w:pStyle w:val="Prrafodelista"/>
        <w:rPr>
          <w:bCs/>
          <w:sz w:val="20"/>
          <w:szCs w:val="20"/>
        </w:rPr>
      </w:pPr>
    </w:p>
    <w:p w:rsidR="00A1791B" w:rsidRPr="00A1791B" w:rsidRDefault="00A1791B" w:rsidP="00A1791B">
      <w:pPr>
        <w:pStyle w:val="PRIMERAPLANA"/>
        <w:numPr>
          <w:ilvl w:val="0"/>
          <w:numId w:val="22"/>
        </w:numPr>
        <w:rPr>
          <w:rFonts w:ascii="Times New Roman" w:hAnsi="Times New Roman"/>
          <w:bCs/>
          <w:lang w:val="es-ES"/>
        </w:rPr>
      </w:pPr>
      <w:r w:rsidRPr="00A1791B">
        <w:rPr>
          <w:rFonts w:ascii="Times New Roman" w:hAnsi="Times New Roman"/>
          <w:bCs/>
          <w:lang w:val="es-ES"/>
        </w:rPr>
        <w:t xml:space="preserve">Mantener la Línea de Crédito Flexible con el FMI, y </w:t>
      </w:r>
    </w:p>
    <w:p w:rsidR="00A1791B" w:rsidRPr="00A1791B" w:rsidRDefault="00A1791B" w:rsidP="00A1791B">
      <w:pPr>
        <w:pStyle w:val="Prrafodelista"/>
        <w:rPr>
          <w:bCs/>
          <w:sz w:val="20"/>
          <w:szCs w:val="20"/>
        </w:rPr>
      </w:pPr>
    </w:p>
    <w:p w:rsidR="00A1791B" w:rsidRPr="00A1791B" w:rsidRDefault="00A1791B" w:rsidP="00A1791B">
      <w:pPr>
        <w:pStyle w:val="PRIMERAPLANA"/>
        <w:numPr>
          <w:ilvl w:val="0"/>
          <w:numId w:val="22"/>
        </w:numPr>
        <w:rPr>
          <w:rFonts w:ascii="Times New Roman" w:hAnsi="Times New Roman"/>
          <w:bCs/>
          <w:lang w:val="es-ES"/>
        </w:rPr>
      </w:pPr>
      <w:r w:rsidRPr="00A1791B">
        <w:rPr>
          <w:rFonts w:ascii="Times New Roman" w:hAnsi="Times New Roman"/>
          <w:bCs/>
          <w:lang w:val="es-ES"/>
        </w:rPr>
        <w:t>Un mejoramiento en el perfil de deuda.</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Se espera que en 2020 la economía estadounidense registre un crecimiento de 1.8%, menor al de 2019 debido a la disipación de los efectos de la reforma fiscal implementada en 2018, una demanda interna débil y una producción industrial con estimaciones a la baja; aunada a un comercio global menos dinámico debido a los conflictos arancelarios que se mantienen con China. Para la zona del euro, el FMI estima que el crecimiento se desacelerará como resultado de una moderación en el crecimiento de sus exportaciones, una demanda y producción automotriz débiles en Alemania e incertidumbre fiscal en Francia e Italia, aunada a las consecuencias del </w:t>
      </w:r>
      <w:proofErr w:type="spellStart"/>
      <w:r w:rsidRPr="00A1791B">
        <w:rPr>
          <w:rFonts w:ascii="Times New Roman" w:hAnsi="Times New Roman"/>
          <w:bCs/>
          <w:lang w:val="es-ES"/>
        </w:rPr>
        <w:t>Brexit</w:t>
      </w:r>
      <w:proofErr w:type="spellEnd"/>
      <w:r w:rsidRPr="00A1791B">
        <w:rPr>
          <w:rFonts w:ascii="Times New Roman" w:hAnsi="Times New Roman"/>
          <w:bCs/>
          <w:lang w:val="es-ES"/>
        </w:rPr>
        <w:t>. Probablemente en 2020, también las medidas fiscales implementadas en Japón se reflejen en un menor dinamismo en su actividad económica. Además, para las economías emergentes, el FMI espera que el crecimiento se mantenga positivo pero débil, particularmente en Latinoamérica, tras los reveses económicos en Venezuela y Argentina.</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Para efectos de las estimaciones de finanzas públicas, se plantea utilizar un crecimiento puntual del PIB para 2020 de 2.0%. Esta previsión se encuentra por arriba de lo esperado por algunos especialistas del sector privado y en línea con los organismos internacionales, y la proyección del Banco de México según su Informe Trimestral para el periodo abril-junio de 2019.</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Se prevé una inflación anual para el cierre de 2020 de 3.0%, igual a la estimada para el cuarto trimestre de 2019 por el Banco de México, según lo publicado en su Informe Trimestral abril-junio. Para las estimaciones de finanzas públicas, se utiliza un tipo de cambio nominal al cierre de 2020 de 20.00 pesos por dólar, ligeramente por debajo del 20.38 pesos por dólar esperado por los analistas de acuerdo con la Encuesta de Expectativas del Banco de México, publicada el 2 de septiembre de 2018.</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lastRenderedPageBreak/>
        <w:t>El panorama descrito, permite prever para 2019 y 2020 un déficit de la cuenta corriente de la balanza de pagos equivalente a -1.8 y -2.0% del PIB, respectivamente. Estos porcentajes son menores a los estimados en los CGPE 2019 (-2.2 y -2.1% del PIB en 2019 y 2020, respectivamente). Ello refleja el panorama descrito, en particular, el déficit de cuenta corriente mejora ligeramente de manera consistente con las proyecciones del PIB de México y de Estados Unidos.</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Se prevé que la plataforma de producción de petróleo promedie 1,783 miles de barriles diarios (</w:t>
      </w:r>
      <w:proofErr w:type="spellStart"/>
      <w:r w:rsidRPr="00A1791B">
        <w:rPr>
          <w:rFonts w:ascii="Times New Roman" w:hAnsi="Times New Roman"/>
          <w:bCs/>
          <w:lang w:val="es-ES"/>
        </w:rPr>
        <w:t>mbd</w:t>
      </w:r>
      <w:proofErr w:type="spellEnd"/>
      <w:r w:rsidRPr="00A1791B">
        <w:rPr>
          <w:rFonts w:ascii="Times New Roman" w:hAnsi="Times New Roman"/>
          <w:bCs/>
          <w:lang w:val="es-ES"/>
        </w:rPr>
        <w:t xml:space="preserve">) durante 2019, monto menor a la plataforma aprobada por el H. Congreso de la Unión en el Paquete Económico para este año (1,847 </w:t>
      </w:r>
      <w:proofErr w:type="spellStart"/>
      <w:r w:rsidRPr="00A1791B">
        <w:rPr>
          <w:rFonts w:ascii="Times New Roman" w:hAnsi="Times New Roman"/>
          <w:bCs/>
          <w:lang w:val="es-ES"/>
        </w:rPr>
        <w:t>mbd</w:t>
      </w:r>
      <w:proofErr w:type="spellEnd"/>
      <w:r w:rsidRPr="00A1791B">
        <w:rPr>
          <w:rFonts w:ascii="Times New Roman" w:hAnsi="Times New Roman"/>
          <w:bCs/>
          <w:lang w:val="es-ES"/>
        </w:rPr>
        <w:t xml:space="preserve">), y 1,916 </w:t>
      </w:r>
      <w:proofErr w:type="spellStart"/>
      <w:r w:rsidRPr="00A1791B">
        <w:rPr>
          <w:rFonts w:ascii="Times New Roman" w:hAnsi="Times New Roman"/>
          <w:bCs/>
          <w:lang w:val="es-ES"/>
        </w:rPr>
        <w:t>mbd</w:t>
      </w:r>
      <w:proofErr w:type="spellEnd"/>
      <w:r w:rsidRPr="00A1791B">
        <w:rPr>
          <w:rFonts w:ascii="Times New Roman" w:hAnsi="Times New Roman"/>
          <w:bCs/>
          <w:lang w:val="es-ES"/>
        </w:rPr>
        <w:t xml:space="preserve"> durante 2020. Ambas cifras son consistentes con las estimaciones de producción aprobadas por el Consejo de Administración de PEMEX, así como con las proyecciones de producción de privados que elabora la Secretaría de Energía.</w:t>
      </w:r>
    </w:p>
    <w:p w:rsidR="00A1791B" w:rsidRPr="00A1791B" w:rsidRDefault="00A1791B" w:rsidP="00A1791B">
      <w:pPr>
        <w:pStyle w:val="PRIMERAPLANA"/>
        <w:spacing w:line="360" w:lineRule="auto"/>
        <w:rPr>
          <w:rFonts w:ascii="Times New Roman" w:hAnsi="Times New Roman"/>
          <w:bCs/>
          <w:lang w:val="es-ES"/>
        </w:rPr>
      </w:pPr>
    </w:p>
    <w:p w:rsid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El entorno macroeconómico previsto para 2020 se encuentra sujeto a diversos riesgos. Destacan como riesgos a la baja: </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numPr>
          <w:ilvl w:val="0"/>
          <w:numId w:val="23"/>
        </w:numPr>
        <w:rPr>
          <w:rFonts w:ascii="Times New Roman" w:hAnsi="Times New Roman"/>
          <w:bCs/>
          <w:lang w:val="es-ES"/>
        </w:rPr>
      </w:pPr>
      <w:r w:rsidRPr="00A1791B">
        <w:rPr>
          <w:rFonts w:ascii="Times New Roman" w:hAnsi="Times New Roman"/>
          <w:bCs/>
          <w:lang w:val="es-ES"/>
        </w:rPr>
        <w:t xml:space="preserve">El mayor retraso en la aprobación del Tratado </w:t>
      </w:r>
      <w:proofErr w:type="spellStart"/>
      <w:r w:rsidRPr="00A1791B">
        <w:rPr>
          <w:rFonts w:ascii="Times New Roman" w:hAnsi="Times New Roman"/>
          <w:bCs/>
          <w:lang w:val="es-ES"/>
        </w:rPr>
        <w:t>ebtre</w:t>
      </w:r>
      <w:proofErr w:type="spellEnd"/>
      <w:r w:rsidRPr="00A1791B">
        <w:rPr>
          <w:rFonts w:ascii="Times New Roman" w:hAnsi="Times New Roman"/>
          <w:bCs/>
          <w:lang w:val="es-ES"/>
        </w:rPr>
        <w:t xml:space="preserve"> México, Estados Unidos y Canadá (T-MEC); </w:t>
      </w:r>
    </w:p>
    <w:p w:rsidR="00A1791B" w:rsidRPr="00A1791B" w:rsidRDefault="00A1791B" w:rsidP="00A1791B">
      <w:pPr>
        <w:pStyle w:val="PRIMERAPLANA"/>
        <w:ind w:left="1080"/>
        <w:rPr>
          <w:rFonts w:ascii="Times New Roman" w:hAnsi="Times New Roman"/>
          <w:bCs/>
          <w:lang w:val="es-ES"/>
        </w:rPr>
      </w:pPr>
    </w:p>
    <w:p w:rsidR="00A1791B" w:rsidRPr="00A1791B" w:rsidRDefault="00A1791B" w:rsidP="00A1791B">
      <w:pPr>
        <w:pStyle w:val="PRIMERAPLANA"/>
        <w:numPr>
          <w:ilvl w:val="0"/>
          <w:numId w:val="23"/>
        </w:numPr>
        <w:rPr>
          <w:rFonts w:ascii="Times New Roman" w:hAnsi="Times New Roman"/>
          <w:bCs/>
          <w:lang w:val="es-ES"/>
        </w:rPr>
      </w:pPr>
      <w:r w:rsidRPr="00A1791B">
        <w:rPr>
          <w:rFonts w:ascii="Times New Roman" w:hAnsi="Times New Roman"/>
          <w:bCs/>
          <w:lang w:val="es-ES"/>
        </w:rPr>
        <w:t xml:space="preserve">Un escalamiento de los conflictos geopolíticos y comerciales a nivel mundial, que a su vez podrían afectar el comercio, el flujo de capitales, la productividad y el crecimiento global; </w:t>
      </w:r>
    </w:p>
    <w:p w:rsidR="00A1791B" w:rsidRPr="00A1791B" w:rsidRDefault="00A1791B" w:rsidP="00A1791B">
      <w:pPr>
        <w:pStyle w:val="Prrafodelista"/>
        <w:rPr>
          <w:bCs/>
          <w:sz w:val="20"/>
          <w:szCs w:val="20"/>
        </w:rPr>
      </w:pPr>
    </w:p>
    <w:p w:rsidR="00A1791B" w:rsidRPr="00A1791B" w:rsidRDefault="00A1791B" w:rsidP="00A1791B">
      <w:pPr>
        <w:pStyle w:val="PRIMERAPLANA"/>
        <w:numPr>
          <w:ilvl w:val="0"/>
          <w:numId w:val="23"/>
        </w:numPr>
        <w:rPr>
          <w:rFonts w:ascii="Times New Roman" w:hAnsi="Times New Roman"/>
          <w:bCs/>
          <w:lang w:val="es-ES"/>
        </w:rPr>
      </w:pPr>
      <w:r w:rsidRPr="00A1791B">
        <w:rPr>
          <w:rFonts w:ascii="Times New Roman" w:hAnsi="Times New Roman"/>
          <w:bCs/>
          <w:lang w:val="es-ES"/>
        </w:rPr>
        <w:t xml:space="preserve">Mayor desaceleración de la economía mundial y, en particular, en la producción industrial de Estados Unidos; </w:t>
      </w:r>
    </w:p>
    <w:p w:rsidR="00A1791B" w:rsidRPr="00A1791B" w:rsidRDefault="00A1791B" w:rsidP="00A1791B">
      <w:pPr>
        <w:pStyle w:val="Prrafodelista"/>
        <w:rPr>
          <w:bCs/>
          <w:sz w:val="20"/>
          <w:szCs w:val="20"/>
        </w:rPr>
      </w:pPr>
    </w:p>
    <w:p w:rsidR="00A1791B" w:rsidRPr="00A1791B" w:rsidRDefault="00A1791B" w:rsidP="00A1791B">
      <w:pPr>
        <w:pStyle w:val="PRIMERAPLANA"/>
        <w:numPr>
          <w:ilvl w:val="0"/>
          <w:numId w:val="23"/>
        </w:numPr>
        <w:rPr>
          <w:rFonts w:ascii="Times New Roman" w:hAnsi="Times New Roman"/>
          <w:bCs/>
          <w:lang w:val="es-ES"/>
        </w:rPr>
      </w:pPr>
      <w:r w:rsidRPr="00A1791B">
        <w:rPr>
          <w:rFonts w:ascii="Times New Roman" w:hAnsi="Times New Roman"/>
          <w:bCs/>
          <w:lang w:val="es-ES"/>
        </w:rPr>
        <w:t xml:space="preserve">Un mayor deterioro en la calificación crediticia de PEMEX con su posible contagio a la deuda soberana; y </w:t>
      </w:r>
    </w:p>
    <w:p w:rsidR="00A1791B" w:rsidRPr="00A1791B" w:rsidRDefault="00A1791B" w:rsidP="00A1791B">
      <w:pPr>
        <w:pStyle w:val="Prrafodelista"/>
        <w:rPr>
          <w:bCs/>
          <w:sz w:val="20"/>
          <w:szCs w:val="20"/>
        </w:rPr>
      </w:pPr>
    </w:p>
    <w:p w:rsidR="00A1791B" w:rsidRDefault="00A1791B" w:rsidP="00A1791B">
      <w:pPr>
        <w:pStyle w:val="PRIMERAPLANA"/>
        <w:numPr>
          <w:ilvl w:val="0"/>
          <w:numId w:val="23"/>
        </w:numPr>
        <w:rPr>
          <w:rFonts w:ascii="Times New Roman" w:hAnsi="Times New Roman"/>
          <w:bCs/>
          <w:lang w:val="es-ES"/>
        </w:rPr>
      </w:pPr>
      <w:r w:rsidRPr="00A1791B">
        <w:rPr>
          <w:rFonts w:ascii="Times New Roman" w:hAnsi="Times New Roman"/>
          <w:bCs/>
          <w:lang w:val="es-ES"/>
        </w:rPr>
        <w:t xml:space="preserve">Una mayor debilidad de la inversión privada. </w:t>
      </w:r>
    </w:p>
    <w:p w:rsidR="00A1791B" w:rsidRPr="00A1791B" w:rsidRDefault="00A1791B" w:rsidP="00A1791B">
      <w:pPr>
        <w:pStyle w:val="PRIMERAPLANA"/>
        <w:rPr>
          <w:rFonts w:ascii="Times New Roman" w:hAnsi="Times New Roman"/>
          <w:bCs/>
          <w:lang w:val="es-ES"/>
        </w:rPr>
      </w:pPr>
    </w:p>
    <w:p w:rsidR="00A1791B" w:rsidRPr="00A1791B" w:rsidRDefault="00A1791B" w:rsidP="00A1791B">
      <w:pPr>
        <w:pStyle w:val="Prrafodelista"/>
        <w:rPr>
          <w:bCs/>
          <w:sz w:val="20"/>
          <w:szCs w:val="20"/>
        </w:rPr>
      </w:pPr>
    </w:p>
    <w:p w:rsid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Entre los factores que podrían derivar en crecimiento mayor, destacan: </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numPr>
          <w:ilvl w:val="0"/>
          <w:numId w:val="24"/>
        </w:numPr>
        <w:spacing w:line="360" w:lineRule="auto"/>
        <w:rPr>
          <w:rFonts w:ascii="Times New Roman" w:hAnsi="Times New Roman"/>
          <w:bCs/>
          <w:lang w:val="es-ES"/>
        </w:rPr>
      </w:pPr>
      <w:r w:rsidRPr="00A1791B">
        <w:rPr>
          <w:rFonts w:ascii="Times New Roman" w:hAnsi="Times New Roman"/>
          <w:bCs/>
          <w:lang w:val="es-ES"/>
        </w:rPr>
        <w:lastRenderedPageBreak/>
        <w:t>Flujos de Inversión Extranjera Directa por arriba de los previstos por la relocalización de empresas de los tres países para aprovechar las ventajas comparativas del T-MEC;</w:t>
      </w:r>
    </w:p>
    <w:p w:rsidR="00A1791B" w:rsidRPr="00A1791B" w:rsidRDefault="00A1791B" w:rsidP="00A1791B">
      <w:pPr>
        <w:pStyle w:val="PRIMERAPLANA"/>
        <w:spacing w:line="360" w:lineRule="auto"/>
        <w:ind w:left="1080"/>
        <w:rPr>
          <w:rFonts w:ascii="Times New Roman" w:hAnsi="Times New Roman"/>
          <w:bCs/>
          <w:lang w:val="es-ES"/>
        </w:rPr>
      </w:pPr>
    </w:p>
    <w:p w:rsidR="00A1791B" w:rsidRPr="00A1791B" w:rsidRDefault="00A1791B" w:rsidP="00A1791B">
      <w:pPr>
        <w:pStyle w:val="PRIMERAPLANA"/>
        <w:numPr>
          <w:ilvl w:val="0"/>
          <w:numId w:val="24"/>
        </w:numPr>
        <w:spacing w:line="360" w:lineRule="auto"/>
        <w:rPr>
          <w:rFonts w:ascii="Times New Roman" w:hAnsi="Times New Roman"/>
          <w:bCs/>
          <w:lang w:val="es-ES"/>
        </w:rPr>
      </w:pPr>
      <w:r w:rsidRPr="00A1791B">
        <w:rPr>
          <w:rFonts w:ascii="Times New Roman" w:hAnsi="Times New Roman"/>
          <w:bCs/>
          <w:lang w:val="es-ES"/>
        </w:rPr>
        <w:t xml:space="preserve">Una mayor inversión resultado de la disipación en la incertidumbre y la volatilidad en los mercados financieros; </w:t>
      </w:r>
    </w:p>
    <w:p w:rsidR="00A1791B" w:rsidRPr="00A1791B" w:rsidRDefault="00A1791B" w:rsidP="00A1791B">
      <w:pPr>
        <w:pStyle w:val="Prrafodelista"/>
        <w:spacing w:line="360" w:lineRule="auto"/>
        <w:rPr>
          <w:bCs/>
          <w:sz w:val="20"/>
          <w:szCs w:val="20"/>
        </w:rPr>
      </w:pPr>
    </w:p>
    <w:p w:rsidR="00A1791B" w:rsidRPr="00A1791B" w:rsidRDefault="00A1791B" w:rsidP="00A1791B">
      <w:pPr>
        <w:pStyle w:val="PRIMERAPLANA"/>
        <w:numPr>
          <w:ilvl w:val="0"/>
          <w:numId w:val="24"/>
        </w:numPr>
        <w:spacing w:line="360" w:lineRule="auto"/>
        <w:rPr>
          <w:rFonts w:ascii="Times New Roman" w:hAnsi="Times New Roman"/>
          <w:bCs/>
          <w:lang w:val="es-ES"/>
        </w:rPr>
      </w:pPr>
      <w:r w:rsidRPr="00A1791B">
        <w:rPr>
          <w:rFonts w:ascii="Times New Roman" w:hAnsi="Times New Roman"/>
          <w:bCs/>
          <w:lang w:val="es-ES"/>
        </w:rPr>
        <w:t xml:space="preserve">Un escenario de disminuciones más acelerado a lo previsto en las tasas de interés; </w:t>
      </w:r>
    </w:p>
    <w:p w:rsidR="00A1791B" w:rsidRPr="00A1791B" w:rsidRDefault="00A1791B" w:rsidP="00A1791B">
      <w:pPr>
        <w:pStyle w:val="Prrafodelista"/>
        <w:spacing w:line="360" w:lineRule="auto"/>
        <w:rPr>
          <w:bCs/>
          <w:sz w:val="20"/>
          <w:szCs w:val="20"/>
        </w:rPr>
      </w:pPr>
    </w:p>
    <w:p w:rsidR="00A1791B" w:rsidRPr="00A1791B" w:rsidRDefault="00A1791B" w:rsidP="00A1791B">
      <w:pPr>
        <w:pStyle w:val="PRIMERAPLANA"/>
        <w:numPr>
          <w:ilvl w:val="0"/>
          <w:numId w:val="24"/>
        </w:numPr>
        <w:spacing w:line="360" w:lineRule="auto"/>
        <w:rPr>
          <w:rFonts w:ascii="Times New Roman" w:hAnsi="Times New Roman"/>
          <w:bCs/>
          <w:lang w:val="es-ES"/>
        </w:rPr>
      </w:pPr>
      <w:r w:rsidRPr="00A1791B">
        <w:rPr>
          <w:rFonts w:ascii="Times New Roman" w:hAnsi="Times New Roman"/>
          <w:bCs/>
          <w:lang w:val="es-ES"/>
        </w:rPr>
        <w:t xml:space="preserve">Una asignación más eficiente de recursos tanto públicos como privados; y </w:t>
      </w:r>
    </w:p>
    <w:p w:rsidR="00A1791B" w:rsidRPr="00A1791B" w:rsidRDefault="00A1791B" w:rsidP="00A1791B">
      <w:pPr>
        <w:pStyle w:val="Prrafodelista"/>
        <w:spacing w:line="360" w:lineRule="auto"/>
        <w:rPr>
          <w:bCs/>
          <w:sz w:val="20"/>
          <w:szCs w:val="20"/>
        </w:rPr>
      </w:pPr>
    </w:p>
    <w:p w:rsidR="00A1791B" w:rsidRDefault="00A1791B" w:rsidP="00A1791B">
      <w:pPr>
        <w:pStyle w:val="PRIMERAPLANA"/>
        <w:numPr>
          <w:ilvl w:val="0"/>
          <w:numId w:val="24"/>
        </w:numPr>
        <w:spacing w:line="360" w:lineRule="auto"/>
        <w:rPr>
          <w:rFonts w:ascii="Times New Roman" w:hAnsi="Times New Roman"/>
          <w:bCs/>
          <w:lang w:val="es-ES"/>
        </w:rPr>
      </w:pPr>
      <w:r w:rsidRPr="00A1791B">
        <w:rPr>
          <w:rFonts w:ascii="Times New Roman" w:hAnsi="Times New Roman"/>
          <w:bCs/>
          <w:lang w:val="es-ES"/>
        </w:rPr>
        <w:t>Un mayor retorno a la inversión por la reducción de violencia y corrupción.</w:t>
      </w:r>
    </w:p>
    <w:p w:rsidR="00A1791B" w:rsidRDefault="00A1791B" w:rsidP="00A1791B">
      <w:pPr>
        <w:pStyle w:val="PRIMERAPLANA"/>
        <w:rPr>
          <w:rFonts w:ascii="Times New Roman" w:hAnsi="Times New Roman"/>
          <w:bCs/>
          <w:lang w:val="es-ES"/>
        </w:rPr>
      </w:pPr>
    </w:p>
    <w:p w:rsidR="00A1791B" w:rsidRPr="00A1791B" w:rsidRDefault="00A1791B" w:rsidP="00A1791B">
      <w:pPr>
        <w:pStyle w:val="PRIMERAPLANA"/>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La Iniciativa que se somete a la consideración de esa Legislatura, se estructura de acuerdo al Clasificador por Rubro de Ingresos y a la Norma para armonizar la presentación de la información adicional a la iniciativa de la Ley de Ingresos, emitidas por el Consejo Nacional de Armonización Contable (CONAC); asimismo, se incluyen los formatos de información contable y presupuestal establecidos por la Ley de Disciplina Financiera de las Entidades Federativas y los Municipios, dando cumplimiento a lo preceptuado en dichos ordenamientos; lo anterior, a efecto de dar cumplimiento a las obligaciones del Estado de Tlaxcala en materia de contabilidad gubernamental y eliminar condiciones de opacidad que permitan mejorar el posicionamiento de la Entidad en el Índice de Información Presupuestal Estatal, implementado por el Instituto Mexicano para la Competitividad, A.C. (IMCO, A.C.), fomentando buenas prácticas en materia de Transparencia y Rendición de Cuentas.</w:t>
      </w:r>
    </w:p>
    <w:p w:rsidR="00A1791B" w:rsidRPr="00A1791B" w:rsidRDefault="00A1791B" w:rsidP="00A1791B">
      <w:pPr>
        <w:pStyle w:val="PRIMERAPLANA"/>
        <w:spacing w:line="360" w:lineRule="auto"/>
        <w:rPr>
          <w:rFonts w:ascii="Times New Roman" w:hAnsi="Times New Roman"/>
          <w:bCs/>
          <w:lang w:val="es-ES"/>
        </w:rPr>
      </w:pPr>
    </w:p>
    <w:p w:rsidR="008E6390" w:rsidRDefault="008E6390" w:rsidP="008E6390">
      <w:pPr>
        <w:pStyle w:val="PRIMERAPLANA"/>
        <w:spacing w:line="360" w:lineRule="auto"/>
        <w:rPr>
          <w:rFonts w:ascii="Times New Roman" w:hAnsi="Times New Roman"/>
          <w:b/>
          <w:lang w:val="es-ES"/>
        </w:rPr>
      </w:pPr>
    </w:p>
    <w:p w:rsidR="008E6390" w:rsidRDefault="008E6390" w:rsidP="008E6390">
      <w:pPr>
        <w:pStyle w:val="PRIMERAPLANA"/>
        <w:spacing w:line="360" w:lineRule="auto"/>
        <w:rPr>
          <w:rFonts w:ascii="Times New Roman" w:hAnsi="Times New Roman"/>
          <w:b/>
          <w:lang w:val="es-ES"/>
        </w:rPr>
      </w:pPr>
    </w:p>
    <w:p w:rsidR="008E6390" w:rsidRDefault="008E6390" w:rsidP="008E6390">
      <w:pPr>
        <w:pStyle w:val="PRIMERAPLANA"/>
        <w:spacing w:line="360" w:lineRule="auto"/>
        <w:rPr>
          <w:rFonts w:ascii="Times New Roman" w:hAnsi="Times New Roman"/>
          <w:b/>
          <w:lang w:val="es-ES"/>
        </w:rPr>
      </w:pPr>
    </w:p>
    <w:p w:rsidR="00A1791B" w:rsidRPr="00A1791B" w:rsidRDefault="00A1791B" w:rsidP="008E6390">
      <w:pPr>
        <w:pStyle w:val="PRIMERAPLANA"/>
        <w:spacing w:line="360" w:lineRule="auto"/>
        <w:rPr>
          <w:rFonts w:ascii="Times New Roman" w:hAnsi="Times New Roman"/>
          <w:b/>
          <w:lang w:val="es-ES"/>
        </w:rPr>
      </w:pPr>
      <w:r w:rsidRPr="00A1791B">
        <w:rPr>
          <w:rFonts w:ascii="Times New Roman" w:hAnsi="Times New Roman"/>
          <w:b/>
          <w:lang w:val="es-ES"/>
        </w:rPr>
        <w:lastRenderedPageBreak/>
        <w:t>ENTORNO INTERNACIONAL</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De acuerdo con la Actualización de Perspectivas de la Economía Mundial (</w:t>
      </w:r>
      <w:proofErr w:type="spellStart"/>
      <w:r w:rsidRPr="00A1791B">
        <w:rPr>
          <w:rFonts w:ascii="Times New Roman" w:hAnsi="Times New Roman"/>
          <w:bCs/>
          <w:lang w:val="es-ES"/>
        </w:rPr>
        <w:t>World</w:t>
      </w:r>
      <w:proofErr w:type="spellEnd"/>
      <w:r w:rsidRPr="00A1791B">
        <w:rPr>
          <w:rFonts w:ascii="Times New Roman" w:hAnsi="Times New Roman"/>
          <w:bCs/>
          <w:lang w:val="es-ES"/>
        </w:rPr>
        <w:t xml:space="preserve"> </w:t>
      </w:r>
      <w:proofErr w:type="spellStart"/>
      <w:r w:rsidRPr="00A1791B">
        <w:rPr>
          <w:rFonts w:ascii="Times New Roman" w:hAnsi="Times New Roman"/>
          <w:bCs/>
          <w:lang w:val="es-ES"/>
        </w:rPr>
        <w:t>Economic</w:t>
      </w:r>
      <w:proofErr w:type="spellEnd"/>
      <w:r w:rsidRPr="00A1791B">
        <w:rPr>
          <w:rFonts w:ascii="Times New Roman" w:hAnsi="Times New Roman"/>
          <w:bCs/>
          <w:lang w:val="es-ES"/>
        </w:rPr>
        <w:t xml:space="preserve"> Outlook-WEO) al mes de julio de 2019, emitido por el FMI, el crecimiento mundial sigue siendo moderado. </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Se pronostica un crecimiento de 3.2% para 2019, con un repunte a 3.5% en 2020 (0.1 puntos porcentuales menos que lo proyectado para ambos años en el informe WEO de abril). Los datos sobre el PIB en lo que va del año, sumados a una moderación general de la inflación, apuntan a una actividad mundial más débil de lo previsto. La inversión y la demanda de bienes de consumo duraderos han sido moderadas en las economías avanzadas y de mercados emergentes, dado que las empresas y los hogares continúan postergando el gasto a largo plazo. Por consiguiente, el comercio mundial, que es intensivo en cuanto a maquinaria y bienes de consumo duraderos, sigue siendo flojo. El repunte del crecimiento proyectado para 2020 es precario, y supone la estabilización de las economías de mercados emergentes y en desarrollo que están atravesando tensiones y avances hacia la resolución de las diferencias en torno a políticas comerciales.</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Los riesgos para el pronóstico se inclinan principalmente a la baja, e incluyen nuevas tensiones comerciales y en el ámbito de la tecnología que perjudiquen el ánimo y frenen la inversión; un aumento prolongado de la aversión al riesgo que deje al descubierto una continua acumulación de vulnerabilidades financieras tras varios años de tasas de interés bajas; y una intensificación de presiones </w:t>
      </w:r>
      <w:proofErr w:type="spellStart"/>
      <w:r w:rsidRPr="00A1791B">
        <w:rPr>
          <w:rFonts w:ascii="Times New Roman" w:hAnsi="Times New Roman"/>
          <w:bCs/>
          <w:lang w:val="es-ES"/>
        </w:rPr>
        <w:t>desinflacionarias</w:t>
      </w:r>
      <w:proofErr w:type="spellEnd"/>
      <w:r w:rsidRPr="00A1791B">
        <w:rPr>
          <w:rFonts w:ascii="Times New Roman" w:hAnsi="Times New Roman"/>
          <w:bCs/>
          <w:lang w:val="es-ES"/>
        </w:rPr>
        <w:t xml:space="preserve"> que agraven las dificultades para el servicio de la deuda, restrinjan el margen de la política monetaria para contrarrestar las desaceleraciones y prolonguen más de lo normal los shocks adversos.</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El repunte proyectado del crecimiento mundial en 2020 depende en gran medida de varios factores: </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numPr>
          <w:ilvl w:val="0"/>
          <w:numId w:val="21"/>
        </w:numPr>
        <w:spacing w:line="360" w:lineRule="auto"/>
        <w:rPr>
          <w:rFonts w:ascii="Times New Roman" w:hAnsi="Times New Roman"/>
          <w:bCs/>
          <w:lang w:val="es-ES"/>
        </w:rPr>
      </w:pPr>
      <w:r w:rsidRPr="00A1791B">
        <w:rPr>
          <w:rFonts w:ascii="Times New Roman" w:hAnsi="Times New Roman"/>
          <w:bCs/>
          <w:lang w:val="es-ES"/>
        </w:rPr>
        <w:t xml:space="preserve">Que la actitud de los mercados financieros se mantenga en general favorable; </w:t>
      </w:r>
    </w:p>
    <w:p w:rsidR="00A1791B" w:rsidRPr="00A1791B" w:rsidRDefault="00A1791B" w:rsidP="00A1791B">
      <w:pPr>
        <w:pStyle w:val="PRIMERAPLANA"/>
        <w:spacing w:line="360" w:lineRule="auto"/>
        <w:ind w:left="720"/>
        <w:rPr>
          <w:rFonts w:ascii="Times New Roman" w:hAnsi="Times New Roman"/>
          <w:bCs/>
          <w:lang w:val="es-ES"/>
        </w:rPr>
      </w:pPr>
    </w:p>
    <w:p w:rsidR="00A1791B" w:rsidRPr="00A1791B" w:rsidRDefault="00A1791B" w:rsidP="00A1791B">
      <w:pPr>
        <w:pStyle w:val="PRIMERAPLANA"/>
        <w:numPr>
          <w:ilvl w:val="0"/>
          <w:numId w:val="21"/>
        </w:numPr>
        <w:spacing w:line="360" w:lineRule="auto"/>
        <w:rPr>
          <w:rFonts w:ascii="Times New Roman" w:hAnsi="Times New Roman"/>
          <w:bCs/>
          <w:lang w:val="es-ES"/>
        </w:rPr>
      </w:pPr>
      <w:r w:rsidRPr="00A1791B">
        <w:rPr>
          <w:rFonts w:ascii="Times New Roman" w:hAnsi="Times New Roman"/>
          <w:bCs/>
          <w:lang w:val="es-ES"/>
        </w:rPr>
        <w:lastRenderedPageBreak/>
        <w:t xml:space="preserve">Que vayan desapareciendo los obstáculos temporales, especialmente en la zona del euro; </w:t>
      </w:r>
    </w:p>
    <w:p w:rsidR="00A1791B" w:rsidRPr="00A1791B" w:rsidRDefault="00A1791B" w:rsidP="00A1791B">
      <w:pPr>
        <w:pStyle w:val="Prrafodelista"/>
        <w:spacing w:line="360" w:lineRule="auto"/>
        <w:rPr>
          <w:bCs/>
          <w:sz w:val="20"/>
          <w:szCs w:val="20"/>
        </w:rPr>
      </w:pPr>
    </w:p>
    <w:p w:rsidR="00A1791B" w:rsidRPr="00A1791B" w:rsidRDefault="00A1791B" w:rsidP="00A1791B">
      <w:pPr>
        <w:pStyle w:val="PRIMERAPLANA"/>
        <w:numPr>
          <w:ilvl w:val="0"/>
          <w:numId w:val="21"/>
        </w:numPr>
        <w:spacing w:line="360" w:lineRule="auto"/>
        <w:rPr>
          <w:rFonts w:ascii="Times New Roman" w:hAnsi="Times New Roman"/>
          <w:bCs/>
          <w:lang w:val="es-ES"/>
        </w:rPr>
      </w:pPr>
      <w:r w:rsidRPr="00A1791B">
        <w:rPr>
          <w:rFonts w:ascii="Times New Roman" w:hAnsi="Times New Roman"/>
          <w:bCs/>
          <w:lang w:val="es-ES"/>
        </w:rPr>
        <w:t xml:space="preserve">Que continúe la estabilización en algunas economías de mercados emergentes que se encuentran sometidas a tensiones, como Argentina y Turquía, y </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numPr>
          <w:ilvl w:val="0"/>
          <w:numId w:val="21"/>
        </w:numPr>
        <w:spacing w:line="360" w:lineRule="auto"/>
        <w:rPr>
          <w:rFonts w:ascii="Times New Roman" w:hAnsi="Times New Roman"/>
          <w:bCs/>
          <w:lang w:val="es-ES"/>
        </w:rPr>
      </w:pPr>
      <w:r w:rsidRPr="00A1791B">
        <w:rPr>
          <w:rFonts w:ascii="Times New Roman" w:hAnsi="Times New Roman"/>
          <w:bCs/>
          <w:lang w:val="es-ES"/>
        </w:rPr>
        <w:t xml:space="preserve">Que se eviten colapsos aún más pronunciados en otras, como Irán y Venezuela. Aproximadamente el 70% del aumento del pronóstico de crecimiento mundial para 2020 en comparación con 2019 es atribuible a la estabilización o recuperación proyectada de las economías que experimentan tensiones. </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Estos factores, a su vez, dependen de que exista un contexto mundial de políticas propicio que garantice que la orientación de política monetaria acomodaticia de los bancos centrales y la intensificación de las políticas de estímulo en China no se vean limitadas por el recrudecimiento de las tensiones comerciales o un </w:t>
      </w:r>
      <w:proofErr w:type="spellStart"/>
      <w:r w:rsidRPr="00A1791B">
        <w:rPr>
          <w:rFonts w:ascii="Times New Roman" w:hAnsi="Times New Roman"/>
          <w:bCs/>
          <w:lang w:val="es-ES"/>
        </w:rPr>
        <w:t>Brexit</w:t>
      </w:r>
      <w:proofErr w:type="spellEnd"/>
      <w:r w:rsidRPr="00A1791B">
        <w:rPr>
          <w:rFonts w:ascii="Times New Roman" w:hAnsi="Times New Roman"/>
          <w:bCs/>
          <w:lang w:val="es-ES"/>
        </w:rPr>
        <w:t xml:space="preserve"> desordenado.</w:t>
      </w: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En las economías avanzadas, se proyecta un crecimiento de 1.9% en 2019 y 1.7% en 2020. La proyección para 2019 es 0.1 puntos porcentuales más alta que en abril, debido principalmente a revisiones al alza del crecimiento en Estados Unidos.</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En el grupo de economías de mercado emergentes y en desarrollo se prevé que la tasa de crecimiento sea de 4.1% en 2019, y que aumente a 4.7% en 2020. Los pronósticos para 2019 y 2020 son 0.3 y 0.1 puntos porcentuales más bajos, respectivamente, que lo señalado en abril, debido a revisiones a la baja en todas las principales regiones.</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Considerando que el repunte proyectado del crecimiento mundial sigue siendo precario y está sujeto a riesgos a la baja, es crucial aplicar políticas macroeconómicas debidamente calibradas a fin de estabilizar la actividad y fortalecer las bases de la recuperación.</w:t>
      </w:r>
    </w:p>
    <w:p w:rsidR="006A32E4" w:rsidRDefault="00A1791B" w:rsidP="006A32E4">
      <w:pPr>
        <w:pStyle w:val="PRIMERAPLANA"/>
        <w:spacing w:line="360" w:lineRule="auto"/>
        <w:rPr>
          <w:rFonts w:ascii="Times New Roman" w:hAnsi="Times New Roman"/>
          <w:bCs/>
          <w:lang w:val="es-ES"/>
        </w:rPr>
      </w:pPr>
      <w:r>
        <w:rPr>
          <w:noProof/>
          <w:lang w:val="es-MX" w:eastAsia="es-MX"/>
        </w:rPr>
        <w:lastRenderedPageBreak/>
        <w:drawing>
          <wp:inline distT="0" distB="0" distL="0" distR="0" wp14:anchorId="79B58CEB" wp14:editId="44EC0962">
            <wp:extent cx="4219575" cy="6125245"/>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528" t="14249" r="31861" b="10811"/>
                    <a:stretch/>
                  </pic:blipFill>
                  <pic:spPr bwMode="auto">
                    <a:xfrm>
                      <a:off x="0" y="0"/>
                      <a:ext cx="4263396" cy="6188856"/>
                    </a:xfrm>
                    <a:prstGeom prst="rect">
                      <a:avLst/>
                    </a:prstGeom>
                    <a:ln>
                      <a:noFill/>
                    </a:ln>
                    <a:extLst>
                      <a:ext uri="{53640926-AAD7-44D8-BBD7-CCE9431645EC}">
                        <a14:shadowObscured xmlns:a14="http://schemas.microsoft.com/office/drawing/2010/main"/>
                      </a:ext>
                    </a:extLst>
                  </pic:spPr>
                </pic:pic>
              </a:graphicData>
            </a:graphic>
          </wp:inline>
        </w:drawing>
      </w:r>
    </w:p>
    <w:p w:rsidR="006A32E4" w:rsidRDefault="006A32E4" w:rsidP="006A32E4">
      <w:pPr>
        <w:spacing w:line="360" w:lineRule="auto"/>
        <w:jc w:val="both"/>
        <w:rPr>
          <w:b/>
          <w:bCs/>
          <w:sz w:val="20"/>
          <w:szCs w:val="20"/>
        </w:rPr>
      </w:pPr>
      <w:r>
        <w:rPr>
          <w:b/>
          <w:bCs/>
          <w:sz w:val="20"/>
          <w:szCs w:val="20"/>
        </w:rPr>
        <w:lastRenderedPageBreak/>
        <w:t>ENTORNO NACIONAL.</w:t>
      </w:r>
    </w:p>
    <w:p w:rsidR="006A32E4" w:rsidRDefault="006A32E4" w:rsidP="006A32E4">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En el programa económico para 2020 se establecen las medidas para garantizar la sostenibilidad de las finanzas públicas. Tanto la política de ingresos como la de gasto están orientadas a ampliar el espacio fiscal para financiar los programas y proyectos prioritarios para el desarrollo y, en consecuencia, el crecimiento incluyente de la economía, sin causar desequilibrios en las finanzas públicas. </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Por un lado, la política de ingresos para 2020 está orientada a generar un mayor espacio fiscal sin incrementar los impuestos existentes ni crear nuevos impuestos. En la Iniciativa de Ley de Ingresos de la Federación 2020 (ILIF_2020) se proponen una serie de medidas para fortalecer la recaudación, a través de una mayor eficiencia de la administración tributaria y reduciendo espacios regulatorios que permiten esquemas de elusión y evasión fiscal. Lo anterior, con la finalidad de dotar de mayor equidad al sistema impositivo asegurando que cada contribuyente participe con la carga fiscal que le corresponde. </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Por otro lado, la política de gasto en 2020 mantiene el compromiso de ejercer el gasto público en apego a los lineamientos de austeridad republicana, pero sobre todo, con criterios estrictos de eficiencia y eficacia, elementos imprescindibles para fomentar el crecimiento incluyente de la economía sin causar desequilibrios en las finanzas públicas. En este sentido, en el Proyecto de Presupuesto de Egresos de la Federación para el Ejercicio Fiscal 2020 (PPEF_2020) se prioriza el uso del gasto público hacia los programas sociales que permitan reducir las desigualdades económicas, sociales y regionales, así como los proyectos de inversión que tienen mayor incidencia en los determinantes del crecimiento de la economía. Así, se privilegia el gasto en seguridad, en bienestar social y dentro del sector energético, en infraestructura de PEMEX para lograr su reactivación.</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En el contexto de crecimiento global antes descrito, y ante la disipación de los diversos choques, externos e internos, y sus efectos negativos que se presentaron en la primera mitad del 2019, se espera </w:t>
      </w:r>
      <w:r w:rsidRPr="00A1791B">
        <w:rPr>
          <w:rFonts w:ascii="Times New Roman" w:hAnsi="Times New Roman"/>
          <w:bCs/>
          <w:lang w:val="es-ES"/>
        </w:rPr>
        <w:lastRenderedPageBreak/>
        <w:t>para 2020 una disminución aún mayor en la brecha negativa del nivel observado del PIB en 2019 con respecto a su nivel de tendencia o potencial. En este sentido, se proyecta que durante 2020 el valor real del PIB de México registre una expansión anual de entre 1.5 y 2.5%. Para efectos de las estimaciones de finanzas públicas, se plantea utilizar un crecimiento puntual del PIB para 2020 de 2.0%. Esta previsión se encuentra por arriba de lo esperado por algunos especialistas del sector privado y en línea con los organismos internacionales, y la proyección de Banco de México según su Informe Trimestral para el periodo abril-junio de 2019.</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Se prevé una inflación anual para el cierre de 2020 de 3.0%, igual a la estimada para el cuarto trimestre 2019 por el Banco de México, según lo publicado en su Informe Trimestral abril-junio. Para las estimaciones de finanzas públicas, se utiliza un tipo de cambio nominal al cierre de 2020 de 20.00 pesos por dólar, ligeramente por debajo del 20.38 pesos por dólar esperado por los analistas de acuerdo con la Encuesta de Expectativas del Banco de México, publicada el 2 de septiembre de 2018.</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La estimación de la plataforma de producción de petróleo para 2020 se realizó tomando en consideración la dinámica observada en la producción de PEMEX, así como la propuesta de la Secretaría de Energía (SENER) hecha al Titular del Ejecutivo Federal, de acuerdo con el artículo 33, fracción XVII de la Ley Orgánica de la Administración Pública Federal. De esta manera, se espera que en 2020 la plataforma de producción de crudo sea de 1,951 </w:t>
      </w:r>
      <w:proofErr w:type="spellStart"/>
      <w:r w:rsidRPr="00A1791B">
        <w:rPr>
          <w:rFonts w:ascii="Times New Roman" w:hAnsi="Times New Roman"/>
          <w:bCs/>
          <w:lang w:val="es-ES"/>
        </w:rPr>
        <w:t>mbd</w:t>
      </w:r>
      <w:proofErr w:type="spellEnd"/>
      <w:r w:rsidRPr="00A1791B">
        <w:rPr>
          <w:rFonts w:ascii="Times New Roman" w:hAnsi="Times New Roman"/>
          <w:bCs/>
          <w:lang w:val="es-ES"/>
        </w:rPr>
        <w:t>, de acuerdo con el Plan de Negocios de PEMEX 2019-2023 y las estimaciones de la SENER sobre la producción privada. Para 2020 se considera un precio para la mezcla mexicana de exportación de 49.00 dpb. Este precio, además de cumplir con el criterio establecido en la Ley Federal de Presupuesto y Responsabilidad Hacendaria, considera la evolución del mercado petrolero en 2019 y las cotizaciones en los mercados futuros para 2020.</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Para el ejercicio fiscal 2020, se presupuestan ingresos por 5,511.9 </w:t>
      </w:r>
      <w:proofErr w:type="spellStart"/>
      <w:r w:rsidRPr="00A1791B">
        <w:rPr>
          <w:rFonts w:ascii="Times New Roman" w:hAnsi="Times New Roman"/>
          <w:bCs/>
          <w:lang w:val="es-ES"/>
        </w:rPr>
        <w:t>mmp</w:t>
      </w:r>
      <w:proofErr w:type="spellEnd"/>
      <w:r w:rsidRPr="00A1791B">
        <w:rPr>
          <w:rFonts w:ascii="Times New Roman" w:hAnsi="Times New Roman"/>
          <w:bCs/>
          <w:lang w:val="es-ES"/>
        </w:rPr>
        <w:t xml:space="preserve">, superiores en 24.6 </w:t>
      </w:r>
      <w:proofErr w:type="spellStart"/>
      <w:r w:rsidRPr="00A1791B">
        <w:rPr>
          <w:rFonts w:ascii="Times New Roman" w:hAnsi="Times New Roman"/>
          <w:bCs/>
          <w:lang w:val="es-ES"/>
        </w:rPr>
        <w:t>mmp</w:t>
      </w:r>
      <w:proofErr w:type="spellEnd"/>
      <w:r w:rsidRPr="00A1791B">
        <w:rPr>
          <w:rFonts w:ascii="Times New Roman" w:hAnsi="Times New Roman"/>
          <w:bCs/>
          <w:lang w:val="es-ES"/>
        </w:rPr>
        <w:t xml:space="preserve"> constantes de 2020 respecto a la LIF 2019 (una variación real de 0.4%) y menores en 1.9 </w:t>
      </w:r>
      <w:proofErr w:type="spellStart"/>
      <w:r w:rsidRPr="00A1791B">
        <w:rPr>
          <w:rFonts w:ascii="Times New Roman" w:hAnsi="Times New Roman"/>
          <w:bCs/>
          <w:lang w:val="es-ES"/>
        </w:rPr>
        <w:t>mmp</w:t>
      </w:r>
      <w:proofErr w:type="spellEnd"/>
      <w:r w:rsidRPr="00A1791B">
        <w:rPr>
          <w:rFonts w:ascii="Times New Roman" w:hAnsi="Times New Roman"/>
          <w:bCs/>
          <w:lang w:val="es-ES"/>
        </w:rPr>
        <w:t xml:space="preserve"> </w:t>
      </w:r>
      <w:r w:rsidRPr="00A1791B">
        <w:rPr>
          <w:rFonts w:ascii="Times New Roman" w:hAnsi="Times New Roman"/>
          <w:bCs/>
          <w:lang w:val="es-ES"/>
        </w:rPr>
        <w:lastRenderedPageBreak/>
        <w:t xml:space="preserve">constantes de 2020 a los ingresos que se esperan para el cierre del presente ejercicio (con una variación de 0.0%). </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Los menores ingresos estimados para 2020 con respecto al cierre esperado en 2019 se explican principalmente por los ingresos de carácter no recurrente que se observaron en 2019 y que no se tienen contemplados ingresos de esta naturaleza para 2020.</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Los menores ingresos con relación a la LIF 2019 se explican principalmente por la reducción esperada en los ingresos petroleros asociada, principalmente, al menor precio del petróleo y del gas natural, que se compensan parcialmente con mayores ingresos no petroleros asociados al crecimiento de la actividad económica.</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Para el ejercicio 2020, se presupuestan ingresos tributarios sin Impuesto Especial sobre Producción y Servicios (IEPS) de gasolinas por un monto de 3,157.4 </w:t>
      </w:r>
      <w:proofErr w:type="spellStart"/>
      <w:r w:rsidRPr="00A1791B">
        <w:rPr>
          <w:rFonts w:ascii="Times New Roman" w:hAnsi="Times New Roman"/>
          <w:bCs/>
          <w:lang w:val="es-ES"/>
        </w:rPr>
        <w:t>mmp</w:t>
      </w:r>
      <w:proofErr w:type="spellEnd"/>
      <w:r w:rsidRPr="00A1791B">
        <w:rPr>
          <w:rFonts w:ascii="Times New Roman" w:hAnsi="Times New Roman"/>
          <w:bCs/>
          <w:lang w:val="es-ES"/>
        </w:rPr>
        <w:t xml:space="preserve">, lo que implica un crecimiento real respecto al monto presentado en la LIF 2019 de 0.2% y respecto al cierre estimado de 2019 de 3.2%. Ello se explica, por un lado, por las medidas de corte administrativo que se proponen en la ILIF 2020, y por el otro, por las ganancias esperadas en eficiencia recaudatoria por parte de la autoridad fiscal y el combate irrestricto a la evasión y elusión fiscales. Asimismo, cabe señalar que algunas de las medidas administrativas implementadas en 2019 alcanzarán su pleno potencial en 2020, como es el caso de la eliminación de la compensación universal. </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La recaudación tributaria total, es decir, incluyendo el IEPS de gasolinas, se estima crezca a una tasa real anual de 2.0% respecto a la recaudación aprobada en la Ley de Ingresos de la Federación para el Ejercicio Fiscal 2019 y a 3.7% con respecto al cierre de 2019. Lo anterior se explica por el comportamiento esperado en 2020 de las referencias internacionales de las gasolinas y el diésel respecto a lo observado en 2019. Cabe señalar que las tasas del IEPS que aplican a esos bienes solo se actualizarán por inflación, como establece la Ley de dicho impuesto, y durante 2020 se seguirán </w:t>
      </w:r>
      <w:r w:rsidRPr="00A1791B">
        <w:rPr>
          <w:rFonts w:ascii="Times New Roman" w:hAnsi="Times New Roman"/>
          <w:bCs/>
          <w:lang w:val="es-ES"/>
        </w:rPr>
        <w:lastRenderedPageBreak/>
        <w:t>aplicando los mecanismos para suavizar los precios, a fin de mantenerlos constantes en términos reales.</w:t>
      </w:r>
    </w:p>
    <w:p w:rsidR="00A1791B" w:rsidRPr="00A1791B" w:rsidRDefault="00A1791B" w:rsidP="00A1791B">
      <w:pPr>
        <w:pStyle w:val="PRIMERAPLANA"/>
        <w:spacing w:line="360" w:lineRule="auto"/>
        <w:rPr>
          <w:rFonts w:ascii="Times New Roman" w:hAnsi="Times New Roman"/>
          <w:bCs/>
          <w:lang w:val="es-ES"/>
        </w:rPr>
      </w:pPr>
    </w:p>
    <w:p w:rsidR="00835F7D"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Para fortalecer las haciendas locales por concepto de participaciones, aportaciones federales y otros conceptos, se prevé transferir a los estados y municipios 1,972.1 </w:t>
      </w:r>
      <w:proofErr w:type="spellStart"/>
      <w:r w:rsidRPr="00A1791B">
        <w:rPr>
          <w:rFonts w:ascii="Times New Roman" w:hAnsi="Times New Roman"/>
          <w:bCs/>
          <w:lang w:val="es-ES"/>
        </w:rPr>
        <w:t>mmp</w:t>
      </w:r>
      <w:proofErr w:type="spellEnd"/>
      <w:r w:rsidRPr="00A1791B">
        <w:rPr>
          <w:rFonts w:ascii="Times New Roman" w:hAnsi="Times New Roman"/>
          <w:bCs/>
          <w:lang w:val="es-ES"/>
        </w:rPr>
        <w:t>, monto inferior en 0.5% en términos reales al monto aprobado en 2019. Del total de recursos para los gobiernos locales, el 47.9% corresponde al pago de participaciones; el 41.4% a las aportaciones federales que se canalizan a destinos específicos como educación, salud, infraestructura social y seguridad pública, y el restante 10.7%, a otros conceptos en los que se encuentran las asignaciones para convenios de coordinación, subsidios y otros gastos.</w:t>
      </w:r>
    </w:p>
    <w:p w:rsidR="00BF0B7E" w:rsidRDefault="00835F7D" w:rsidP="00A64D2A">
      <w:pPr>
        <w:spacing w:line="360" w:lineRule="auto"/>
        <w:jc w:val="center"/>
        <w:rPr>
          <w:b/>
          <w:sz w:val="20"/>
          <w:szCs w:val="20"/>
        </w:rPr>
      </w:pPr>
      <w:r>
        <w:rPr>
          <w:noProof/>
          <w:lang w:val="es-MX" w:eastAsia="es-MX"/>
        </w:rPr>
        <w:drawing>
          <wp:inline distT="0" distB="0" distL="0" distR="0" wp14:anchorId="39DE4196" wp14:editId="0DF08751">
            <wp:extent cx="5143500" cy="1617345"/>
            <wp:effectExtent l="0" t="0" r="0" b="1905"/>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9"/>
                    <a:srcRect l="16846" t="37736" r="17613" b="25608"/>
                    <a:stretch/>
                  </pic:blipFill>
                  <pic:spPr bwMode="auto">
                    <a:xfrm>
                      <a:off x="0" y="0"/>
                      <a:ext cx="5143500" cy="1617345"/>
                    </a:xfrm>
                    <a:prstGeom prst="rect">
                      <a:avLst/>
                    </a:prstGeom>
                    <a:ln>
                      <a:noFill/>
                    </a:ln>
                    <a:extLst>
                      <a:ext uri="{53640926-AAD7-44D8-BBD7-CCE9431645EC}">
                        <a14:shadowObscured xmlns:a14="http://schemas.microsoft.com/office/drawing/2010/main"/>
                      </a:ext>
                    </a:extLst>
                  </pic:spPr>
                </pic:pic>
              </a:graphicData>
            </a:graphic>
          </wp:inline>
        </w:drawing>
      </w:r>
    </w:p>
    <w:p w:rsidR="00A1791B" w:rsidRDefault="00A1791B" w:rsidP="00835F7D">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El nivel actual de la deuda pública del país permite que México esté preparado para escenarios adversos, más aún el contar con un marco fiscal que permita mantener la deuda estable le daría al país un mayor margen de acción en un ambiente financiero internacional adverso. </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La política de deuda para 2020 se orientará a cubrir las necesidades de financiamiento del Gobierno Federal a costos reducidos, considerando un horizonte de largo plazo y un bajo nivel de riesgo, además buscando mantener una trayectoria descendente de la deuda pública como proporción del PIB. </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 xml:space="preserve">La política de deuda para 2020 considera los elementos siguientes: </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numPr>
          <w:ilvl w:val="1"/>
          <w:numId w:val="24"/>
        </w:numPr>
        <w:spacing w:line="360" w:lineRule="auto"/>
        <w:ind w:left="284" w:hanging="284"/>
        <w:rPr>
          <w:rFonts w:ascii="Times New Roman" w:hAnsi="Times New Roman"/>
          <w:bCs/>
          <w:lang w:val="es-ES"/>
        </w:rPr>
      </w:pPr>
      <w:r w:rsidRPr="00A1791B">
        <w:rPr>
          <w:rFonts w:ascii="Times New Roman" w:hAnsi="Times New Roman"/>
          <w:bCs/>
          <w:lang w:val="es-ES"/>
        </w:rPr>
        <w:t xml:space="preserve">Fondear la mayor parte de las necesidades de financiamiento del Gobierno Federal en el mercado interno de manera que los pasivos en moneda nacional sigan representando la mayor parte de la deuda. </w:t>
      </w:r>
    </w:p>
    <w:p w:rsidR="00A1791B" w:rsidRPr="00A1791B" w:rsidRDefault="00A1791B" w:rsidP="00A1791B">
      <w:pPr>
        <w:pStyle w:val="PRIMERAPLANA"/>
        <w:spacing w:line="360" w:lineRule="auto"/>
        <w:ind w:left="284" w:hanging="284"/>
        <w:rPr>
          <w:rFonts w:ascii="Times New Roman" w:hAnsi="Times New Roman"/>
          <w:bCs/>
          <w:lang w:val="es-ES"/>
        </w:rPr>
      </w:pPr>
    </w:p>
    <w:p w:rsidR="00A1791B" w:rsidRPr="00A1791B" w:rsidRDefault="00A1791B" w:rsidP="00A1791B">
      <w:pPr>
        <w:pStyle w:val="PRIMERAPLANA"/>
        <w:numPr>
          <w:ilvl w:val="1"/>
          <w:numId w:val="24"/>
        </w:numPr>
        <w:spacing w:line="360" w:lineRule="auto"/>
        <w:ind w:left="284" w:hanging="284"/>
        <w:rPr>
          <w:rFonts w:ascii="Times New Roman" w:hAnsi="Times New Roman"/>
          <w:bCs/>
          <w:lang w:val="es-ES"/>
        </w:rPr>
      </w:pPr>
      <w:r w:rsidRPr="00A1791B">
        <w:rPr>
          <w:rFonts w:ascii="Times New Roman" w:hAnsi="Times New Roman"/>
          <w:bCs/>
          <w:lang w:val="es-ES"/>
        </w:rPr>
        <w:t xml:space="preserve">El crédito externo se utilizará únicamente si se encuentran condiciones favorables en los mercados internacionales buscando diversificar los mercados y ampliar la base de inversionistas. Se buscará utilizar de manera estratégica el financiamiento proveniente de Organismos Financieros Internacionales. </w:t>
      </w:r>
    </w:p>
    <w:p w:rsidR="00A1791B" w:rsidRPr="00A1791B" w:rsidRDefault="00A1791B" w:rsidP="00A1791B">
      <w:pPr>
        <w:pStyle w:val="PRIMERAPLANA"/>
        <w:spacing w:line="360" w:lineRule="auto"/>
        <w:ind w:left="284" w:hanging="284"/>
        <w:rPr>
          <w:rFonts w:ascii="Times New Roman" w:hAnsi="Times New Roman"/>
          <w:bCs/>
          <w:lang w:val="es-ES"/>
        </w:rPr>
      </w:pPr>
    </w:p>
    <w:p w:rsidR="00A1791B" w:rsidRPr="00A1791B" w:rsidRDefault="00A1791B" w:rsidP="00A1791B">
      <w:pPr>
        <w:pStyle w:val="PRIMERAPLANA"/>
        <w:numPr>
          <w:ilvl w:val="1"/>
          <w:numId w:val="24"/>
        </w:numPr>
        <w:spacing w:line="360" w:lineRule="auto"/>
        <w:ind w:left="284" w:hanging="284"/>
        <w:rPr>
          <w:rFonts w:ascii="Times New Roman" w:hAnsi="Times New Roman"/>
          <w:bCs/>
          <w:lang w:val="es-ES"/>
        </w:rPr>
      </w:pPr>
      <w:r w:rsidRPr="00A1791B">
        <w:rPr>
          <w:rFonts w:ascii="Times New Roman" w:hAnsi="Times New Roman"/>
          <w:bCs/>
          <w:lang w:val="es-ES"/>
        </w:rPr>
        <w:t xml:space="preserve">Mantener un portafolio de pasivos sólido satisfaciendo las necesidades de financiamiento predominantemente con instrumentos de largo plazo y tasa fija. De acuerdo a las condiciones del mercado, se buscará ampliar el plazo promedio de vencimiento de la deuda. </w:t>
      </w:r>
    </w:p>
    <w:p w:rsidR="00A1791B" w:rsidRPr="00A1791B" w:rsidRDefault="00A1791B" w:rsidP="00A1791B">
      <w:pPr>
        <w:pStyle w:val="PRIMERAPLANA"/>
        <w:spacing w:line="360" w:lineRule="auto"/>
        <w:ind w:left="284" w:hanging="284"/>
        <w:rPr>
          <w:rFonts w:ascii="Times New Roman" w:hAnsi="Times New Roman"/>
          <w:bCs/>
          <w:lang w:val="es-ES"/>
        </w:rPr>
      </w:pPr>
    </w:p>
    <w:p w:rsidR="00A1791B" w:rsidRPr="00A1791B" w:rsidRDefault="00A1791B" w:rsidP="00A1791B">
      <w:pPr>
        <w:pStyle w:val="PRIMERAPLANA"/>
        <w:numPr>
          <w:ilvl w:val="1"/>
          <w:numId w:val="24"/>
        </w:numPr>
        <w:spacing w:line="360" w:lineRule="auto"/>
        <w:ind w:left="284" w:hanging="284"/>
        <w:rPr>
          <w:rFonts w:ascii="Times New Roman" w:hAnsi="Times New Roman"/>
          <w:bCs/>
          <w:lang w:val="es-ES"/>
        </w:rPr>
      </w:pPr>
      <w:r w:rsidRPr="00A1791B">
        <w:rPr>
          <w:rFonts w:ascii="Times New Roman" w:hAnsi="Times New Roman"/>
          <w:bCs/>
          <w:lang w:val="es-ES"/>
        </w:rPr>
        <w:t xml:space="preserve">De igual forma, se buscará realizar operaciones de manejo de pasivos de manera regular para mejorar el perfil de vencimientos de deuda y ajustar el portafolio a las condiciones financieras prevalecientes. </w:t>
      </w:r>
    </w:p>
    <w:p w:rsidR="00A1791B" w:rsidRPr="00A1791B" w:rsidRDefault="00A1791B" w:rsidP="00A1791B">
      <w:pPr>
        <w:pStyle w:val="PRIMERAPLANA"/>
        <w:spacing w:line="360" w:lineRule="auto"/>
        <w:rPr>
          <w:rFonts w:ascii="Times New Roman" w:hAnsi="Times New Roman"/>
          <w:bCs/>
          <w:lang w:val="es-ES"/>
        </w:rPr>
      </w:pPr>
    </w:p>
    <w:p w:rsidR="00A1791B" w:rsidRPr="00A1791B" w:rsidRDefault="00A1791B" w:rsidP="00A1791B">
      <w:pPr>
        <w:pStyle w:val="PRIMERAPLANA"/>
        <w:spacing w:line="360" w:lineRule="auto"/>
        <w:rPr>
          <w:rFonts w:ascii="Times New Roman" w:hAnsi="Times New Roman"/>
          <w:bCs/>
          <w:lang w:val="es-ES"/>
        </w:rPr>
      </w:pPr>
      <w:r w:rsidRPr="00A1791B">
        <w:rPr>
          <w:rFonts w:ascii="Times New Roman" w:hAnsi="Times New Roman"/>
          <w:bCs/>
          <w:lang w:val="es-ES"/>
        </w:rPr>
        <w:t>Con lo anterior, se busca mantener un bajo costo financiero de los pasivos públicos y con una variación acotada ante cambios bruscos en las variables financieras que permita una ejecución adecuada del presupuesto y liberar recursos para ser utilizados en programas de carácter social y de inversión.</w:t>
      </w:r>
    </w:p>
    <w:p w:rsidR="00A1791B" w:rsidRPr="00A1791B" w:rsidRDefault="00A1791B" w:rsidP="00A1791B">
      <w:pPr>
        <w:pStyle w:val="PRIMERAPLANA"/>
        <w:spacing w:line="360" w:lineRule="auto"/>
        <w:rPr>
          <w:rFonts w:ascii="Times New Roman" w:hAnsi="Times New Roman"/>
          <w:lang w:val="es-ES"/>
        </w:rPr>
      </w:pPr>
    </w:p>
    <w:p w:rsidR="00A1791B" w:rsidRPr="00A1791B" w:rsidRDefault="00A1791B" w:rsidP="00A1791B">
      <w:pPr>
        <w:pStyle w:val="PRIMERAPLANA"/>
        <w:spacing w:line="360" w:lineRule="auto"/>
        <w:rPr>
          <w:rFonts w:ascii="Times New Roman" w:hAnsi="Times New Roman"/>
          <w:lang w:val="es-ES"/>
        </w:rPr>
      </w:pPr>
      <w:r w:rsidRPr="00A1791B">
        <w:rPr>
          <w:rFonts w:ascii="Times New Roman" w:hAnsi="Times New Roman"/>
          <w:lang w:val="es-ES"/>
        </w:rPr>
        <w:t xml:space="preserve">Se presentan enseguida las principales variables empleadas en la estimación del marco macroeconómico 2020, establecidas en </w:t>
      </w:r>
      <w:r w:rsidRPr="00A1791B">
        <w:rPr>
          <w:rFonts w:ascii="Times New Roman" w:hAnsi="Times New Roman"/>
          <w:bCs/>
          <w:lang w:val="es-ES"/>
        </w:rPr>
        <w:t>los Criterios Generales de Política Económica para la Iniciativa de Ley de Ingresos y el Proyecto de Presupuesto de Egresos de la Federación correspondientes al Ejercicio Fiscal 2020 (CGPE_2020).</w:t>
      </w:r>
    </w:p>
    <w:p w:rsidR="006A32E4" w:rsidRDefault="006A32E4" w:rsidP="00A64D2A">
      <w:pPr>
        <w:spacing w:line="360" w:lineRule="auto"/>
        <w:jc w:val="center"/>
        <w:rPr>
          <w:b/>
          <w:sz w:val="20"/>
          <w:szCs w:val="20"/>
        </w:rPr>
      </w:pPr>
    </w:p>
    <w:p w:rsidR="00835F7D" w:rsidRPr="00666469" w:rsidRDefault="00835F7D" w:rsidP="00A64D2A">
      <w:pPr>
        <w:spacing w:line="360" w:lineRule="auto"/>
        <w:jc w:val="center"/>
        <w:rPr>
          <w:b/>
          <w:sz w:val="20"/>
          <w:szCs w:val="20"/>
        </w:rPr>
      </w:pPr>
      <w:r w:rsidRPr="00666469">
        <w:rPr>
          <w:noProof/>
          <w:sz w:val="20"/>
          <w:szCs w:val="20"/>
          <w:lang w:val="es-MX" w:eastAsia="es-MX"/>
        </w:rPr>
        <w:lastRenderedPageBreak/>
        <w:drawing>
          <wp:inline distT="0" distB="0" distL="0" distR="0" wp14:anchorId="46C282A1" wp14:editId="1DF12E30">
            <wp:extent cx="4784141" cy="6210605"/>
            <wp:effectExtent l="0" t="0" r="0" b="0"/>
            <wp:docPr id="36" name="Imagen 36"/>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0"/>
                    <a:srcRect l="34341" t="21602" r="35192" b="9621"/>
                    <a:stretch/>
                  </pic:blipFill>
                  <pic:spPr bwMode="auto">
                    <a:xfrm>
                      <a:off x="0" y="0"/>
                      <a:ext cx="4791146" cy="6219698"/>
                    </a:xfrm>
                    <a:prstGeom prst="rect">
                      <a:avLst/>
                    </a:prstGeom>
                    <a:ln>
                      <a:noFill/>
                    </a:ln>
                    <a:extLst>
                      <a:ext uri="{53640926-AAD7-44D8-BBD7-CCE9431645EC}">
                        <a14:shadowObscured xmlns:a14="http://schemas.microsoft.com/office/drawing/2010/main"/>
                      </a:ext>
                    </a:extLst>
                  </pic:spPr>
                </pic:pic>
              </a:graphicData>
            </a:graphic>
          </wp:inline>
        </w:drawing>
      </w:r>
    </w:p>
    <w:p w:rsidR="00666469" w:rsidRPr="00666469" w:rsidRDefault="00666469" w:rsidP="00666469">
      <w:pPr>
        <w:pStyle w:val="PRIMERAPLANA"/>
        <w:spacing w:line="360" w:lineRule="auto"/>
        <w:rPr>
          <w:rFonts w:ascii="Times New Roman" w:hAnsi="Times New Roman"/>
          <w:iCs/>
          <w:lang w:val="es-ES"/>
        </w:rPr>
      </w:pPr>
      <w:r w:rsidRPr="00666469">
        <w:rPr>
          <w:rFonts w:ascii="Times New Roman" w:hAnsi="Times New Roman"/>
          <w:iCs/>
          <w:lang w:val="es-ES"/>
        </w:rPr>
        <w:lastRenderedPageBreak/>
        <w:t xml:space="preserve">Ante la incertidumbre que prevalece en la economía mexicana, el balance de riesgos para el crecimiento económico del país continúa sesgado a la baja. </w:t>
      </w:r>
    </w:p>
    <w:p w:rsidR="00666469" w:rsidRPr="00666469" w:rsidRDefault="00666469" w:rsidP="00666469">
      <w:pPr>
        <w:pStyle w:val="PRIMERAPLANA"/>
        <w:spacing w:line="360" w:lineRule="auto"/>
        <w:rPr>
          <w:rFonts w:ascii="Times New Roman" w:hAnsi="Times New Roman"/>
          <w:iCs/>
          <w:lang w:val="es-ES"/>
        </w:rPr>
      </w:pPr>
    </w:p>
    <w:p w:rsidR="00666469" w:rsidRPr="00666469" w:rsidRDefault="00666469" w:rsidP="00666469">
      <w:pPr>
        <w:pStyle w:val="PRIMERAPLANA"/>
        <w:spacing w:line="360" w:lineRule="auto"/>
        <w:rPr>
          <w:rFonts w:ascii="Times New Roman" w:hAnsi="Times New Roman"/>
          <w:bCs/>
          <w:lang w:val="es-ES"/>
        </w:rPr>
      </w:pPr>
      <w:r w:rsidRPr="00666469">
        <w:rPr>
          <w:rFonts w:ascii="Times New Roman" w:hAnsi="Times New Roman"/>
          <w:bCs/>
          <w:lang w:val="es-ES"/>
        </w:rPr>
        <w:t xml:space="preserve">Dentro de los riesgos a la baja destacan: </w:t>
      </w:r>
    </w:p>
    <w:p w:rsidR="00666469" w:rsidRPr="00666469" w:rsidRDefault="00666469" w:rsidP="008E6390">
      <w:pPr>
        <w:pStyle w:val="PRIMERAPLANA"/>
        <w:numPr>
          <w:ilvl w:val="0"/>
          <w:numId w:val="20"/>
        </w:numPr>
        <w:spacing w:line="360" w:lineRule="auto"/>
        <w:rPr>
          <w:rFonts w:ascii="Times New Roman" w:hAnsi="Times New Roman"/>
          <w:bCs/>
          <w:lang w:val="es-ES"/>
        </w:rPr>
      </w:pPr>
      <w:r w:rsidRPr="00666469">
        <w:rPr>
          <w:rFonts w:ascii="Times New Roman" w:hAnsi="Times New Roman"/>
          <w:bCs/>
          <w:lang w:val="es-ES"/>
        </w:rPr>
        <w:t xml:space="preserve">Mayor desaceleración a la anticipada de la economía mundial, en particular de la producción industrial de Estados Unidos, por tensiones comerciales y la posible afectación de las cadenas de valor globales, una salida desordenada del Reino Unido de la Unión Europea y el agravamiento de las tensiones geopolíticas. </w:t>
      </w:r>
    </w:p>
    <w:p w:rsidR="00666469" w:rsidRPr="00666469" w:rsidRDefault="00666469" w:rsidP="008E6390">
      <w:pPr>
        <w:pStyle w:val="PRIMERAPLANA"/>
        <w:numPr>
          <w:ilvl w:val="0"/>
          <w:numId w:val="20"/>
        </w:numPr>
        <w:spacing w:line="360" w:lineRule="auto"/>
        <w:rPr>
          <w:rFonts w:ascii="Times New Roman" w:hAnsi="Times New Roman"/>
          <w:bCs/>
          <w:lang w:val="es-ES"/>
        </w:rPr>
      </w:pPr>
      <w:r w:rsidRPr="00666469">
        <w:rPr>
          <w:rFonts w:ascii="Times New Roman" w:hAnsi="Times New Roman"/>
          <w:bCs/>
          <w:lang w:val="es-ES"/>
        </w:rPr>
        <w:t xml:space="preserve">Mayor volatilidad en los mercados financieros internacionales que implique una disminución de los flujos de capitales a los países emergentes. </w:t>
      </w:r>
    </w:p>
    <w:p w:rsidR="00666469" w:rsidRPr="00666469" w:rsidRDefault="00666469" w:rsidP="008E6390">
      <w:pPr>
        <w:pStyle w:val="PRIMERAPLANA"/>
        <w:numPr>
          <w:ilvl w:val="0"/>
          <w:numId w:val="20"/>
        </w:numPr>
        <w:spacing w:line="360" w:lineRule="auto"/>
        <w:rPr>
          <w:rFonts w:ascii="Times New Roman" w:hAnsi="Times New Roman"/>
          <w:bCs/>
          <w:lang w:val="es-ES"/>
        </w:rPr>
      </w:pPr>
      <w:r w:rsidRPr="00666469">
        <w:rPr>
          <w:rFonts w:ascii="Times New Roman" w:hAnsi="Times New Roman"/>
          <w:bCs/>
          <w:lang w:val="es-ES"/>
        </w:rPr>
        <w:t xml:space="preserve">Mayor incertidumbre por tensiones políticas externas. </w:t>
      </w:r>
    </w:p>
    <w:p w:rsidR="00666469" w:rsidRPr="00666469" w:rsidRDefault="00666469" w:rsidP="008E6390">
      <w:pPr>
        <w:pStyle w:val="PRIMERAPLANA"/>
        <w:numPr>
          <w:ilvl w:val="0"/>
          <w:numId w:val="20"/>
        </w:numPr>
        <w:spacing w:line="360" w:lineRule="auto"/>
        <w:rPr>
          <w:rFonts w:ascii="Times New Roman" w:hAnsi="Times New Roman"/>
          <w:bCs/>
          <w:lang w:val="es-ES"/>
        </w:rPr>
      </w:pPr>
      <w:r w:rsidRPr="00666469">
        <w:rPr>
          <w:rFonts w:ascii="Times New Roman" w:hAnsi="Times New Roman"/>
          <w:bCs/>
          <w:lang w:val="es-ES"/>
        </w:rPr>
        <w:t xml:space="preserve">Una mayor desaceleración de la actividad económica de la economía mexicana por un debilitamiento de la inversión privada en México mayor de lo anticipado. </w:t>
      </w:r>
    </w:p>
    <w:p w:rsidR="00666469" w:rsidRPr="00666469" w:rsidRDefault="00666469" w:rsidP="008E6390">
      <w:pPr>
        <w:pStyle w:val="PRIMERAPLANA"/>
        <w:numPr>
          <w:ilvl w:val="0"/>
          <w:numId w:val="20"/>
        </w:numPr>
        <w:spacing w:line="360" w:lineRule="auto"/>
        <w:rPr>
          <w:rFonts w:ascii="Times New Roman" w:hAnsi="Times New Roman"/>
          <w:bCs/>
          <w:lang w:val="es-ES"/>
        </w:rPr>
      </w:pPr>
      <w:r w:rsidRPr="00666469">
        <w:rPr>
          <w:rFonts w:ascii="Times New Roman" w:hAnsi="Times New Roman"/>
          <w:bCs/>
          <w:lang w:val="es-ES"/>
        </w:rPr>
        <w:t xml:space="preserve">El retraso en la aprobación del nuevo acuerdo comercial con Estados Unidos y Canadá. </w:t>
      </w:r>
    </w:p>
    <w:p w:rsidR="00666469" w:rsidRPr="00666469" w:rsidRDefault="00666469" w:rsidP="008E6390">
      <w:pPr>
        <w:pStyle w:val="PRIMERAPLANA"/>
        <w:numPr>
          <w:ilvl w:val="0"/>
          <w:numId w:val="20"/>
        </w:numPr>
        <w:spacing w:line="360" w:lineRule="auto"/>
        <w:rPr>
          <w:rFonts w:ascii="Times New Roman" w:hAnsi="Times New Roman"/>
          <w:bCs/>
          <w:lang w:val="es-ES"/>
        </w:rPr>
      </w:pPr>
      <w:r w:rsidRPr="00666469">
        <w:rPr>
          <w:rFonts w:ascii="Times New Roman" w:hAnsi="Times New Roman"/>
          <w:bCs/>
          <w:lang w:val="es-ES"/>
        </w:rPr>
        <w:t xml:space="preserve">Un mayor deterioro de la calificación crediticia de PEMEX. </w:t>
      </w:r>
    </w:p>
    <w:p w:rsidR="00666469" w:rsidRPr="00666469" w:rsidRDefault="00666469" w:rsidP="00666469">
      <w:pPr>
        <w:pStyle w:val="PRIMERAPLANA"/>
        <w:spacing w:line="360" w:lineRule="auto"/>
        <w:rPr>
          <w:rFonts w:ascii="Times New Roman" w:hAnsi="Times New Roman"/>
          <w:bCs/>
          <w:lang w:val="es-ES"/>
        </w:rPr>
      </w:pPr>
    </w:p>
    <w:p w:rsidR="00666469" w:rsidRPr="00666469" w:rsidRDefault="00666469" w:rsidP="00666469">
      <w:pPr>
        <w:pStyle w:val="PRIMERAPLANA"/>
        <w:spacing w:line="360" w:lineRule="auto"/>
        <w:rPr>
          <w:rFonts w:ascii="Times New Roman" w:hAnsi="Times New Roman"/>
          <w:bCs/>
          <w:lang w:val="es-ES"/>
        </w:rPr>
      </w:pPr>
      <w:r w:rsidRPr="00666469">
        <w:rPr>
          <w:rFonts w:ascii="Times New Roman" w:hAnsi="Times New Roman"/>
          <w:bCs/>
          <w:lang w:val="es-ES"/>
        </w:rPr>
        <w:t xml:space="preserve">Entre los eventos que pueden generar un entorno más favorable se encuentran: </w:t>
      </w:r>
    </w:p>
    <w:p w:rsidR="00666469" w:rsidRPr="00666469" w:rsidRDefault="00666469" w:rsidP="008E6390">
      <w:pPr>
        <w:pStyle w:val="PRIMERAPLANA"/>
        <w:numPr>
          <w:ilvl w:val="0"/>
          <w:numId w:val="20"/>
        </w:numPr>
        <w:spacing w:line="360" w:lineRule="auto"/>
        <w:rPr>
          <w:rFonts w:ascii="Times New Roman" w:hAnsi="Times New Roman"/>
          <w:bCs/>
          <w:lang w:val="es-ES"/>
        </w:rPr>
      </w:pPr>
      <w:r w:rsidRPr="00666469">
        <w:rPr>
          <w:rFonts w:ascii="Times New Roman" w:hAnsi="Times New Roman"/>
          <w:bCs/>
          <w:lang w:val="es-ES"/>
        </w:rPr>
        <w:t xml:space="preserve">Fortalecimiento del mercado interno, principalmente del gasto de consumo como resultado del incremento en las transferencias de los programas sociales, una mayor inclusión financiera y acceso al crédito, los elevados ingresos de remesas y una menor inflación. </w:t>
      </w:r>
    </w:p>
    <w:p w:rsidR="00666469" w:rsidRPr="00666469" w:rsidRDefault="00666469" w:rsidP="008E6390">
      <w:pPr>
        <w:pStyle w:val="PRIMERAPLANA"/>
        <w:numPr>
          <w:ilvl w:val="0"/>
          <w:numId w:val="20"/>
        </w:numPr>
        <w:spacing w:line="360" w:lineRule="auto"/>
        <w:rPr>
          <w:rFonts w:ascii="Times New Roman" w:hAnsi="Times New Roman"/>
          <w:bCs/>
          <w:lang w:val="es-ES"/>
        </w:rPr>
      </w:pPr>
      <w:r w:rsidRPr="00666469">
        <w:rPr>
          <w:rFonts w:ascii="Times New Roman" w:hAnsi="Times New Roman"/>
          <w:bCs/>
          <w:lang w:val="es-ES"/>
        </w:rPr>
        <w:t xml:space="preserve">Un crecimiento mayor a lo esperado del PIB y de la producción industrial en Estados Unidos. </w:t>
      </w:r>
    </w:p>
    <w:p w:rsidR="00666469" w:rsidRPr="00666469" w:rsidRDefault="00666469" w:rsidP="008E6390">
      <w:pPr>
        <w:pStyle w:val="PRIMERAPLANA"/>
        <w:numPr>
          <w:ilvl w:val="0"/>
          <w:numId w:val="20"/>
        </w:numPr>
        <w:spacing w:line="360" w:lineRule="auto"/>
        <w:rPr>
          <w:rFonts w:ascii="Times New Roman" w:hAnsi="Times New Roman"/>
          <w:bCs/>
          <w:lang w:val="es-ES"/>
        </w:rPr>
      </w:pPr>
      <w:r w:rsidRPr="00666469">
        <w:rPr>
          <w:rFonts w:ascii="Times New Roman" w:hAnsi="Times New Roman"/>
          <w:bCs/>
          <w:lang w:val="es-ES"/>
        </w:rPr>
        <w:t xml:space="preserve">Que se revierta la debilidad que ha mostrado el gasto en la inversión como resultado de un impulso por parte del Gobierno a la inversión privada en infraestructura y sectores estratégicos, el mejoramiento del clima de negocios por el combate a la corrupción e inseguridad, una mayor inversión de empresas al disiparse la incertidumbre al darse la aprobación legislativa en Estados Unidos del T-MEC, así como por la reconfiguración de las cadenas de valor del comercio internacional que pueden beneficiar el comercio regional. </w:t>
      </w:r>
    </w:p>
    <w:p w:rsidR="00666469" w:rsidRPr="00666469" w:rsidRDefault="00666469" w:rsidP="00666469">
      <w:pPr>
        <w:pStyle w:val="PRIMERAPLANA"/>
        <w:numPr>
          <w:ilvl w:val="0"/>
          <w:numId w:val="20"/>
        </w:numPr>
        <w:spacing w:line="360" w:lineRule="auto"/>
        <w:rPr>
          <w:rFonts w:ascii="Times New Roman" w:hAnsi="Times New Roman"/>
          <w:bCs/>
          <w:lang w:val="es-ES"/>
        </w:rPr>
      </w:pPr>
      <w:r w:rsidRPr="00666469">
        <w:rPr>
          <w:rFonts w:ascii="Times New Roman" w:hAnsi="Times New Roman"/>
          <w:bCs/>
          <w:lang w:val="es-ES"/>
        </w:rPr>
        <w:lastRenderedPageBreak/>
        <w:t>Un crecimiento de las exportaciones, por la reconfiguración de la ventaja comparativa que puede tener México en los cambios en las cadenas de valor de las importaciones de Estados Unidos.</w:t>
      </w:r>
    </w:p>
    <w:p w:rsidR="00666469" w:rsidRPr="00666469" w:rsidRDefault="00666469" w:rsidP="00666469">
      <w:pPr>
        <w:pStyle w:val="PRIMERAPLANA"/>
        <w:spacing w:line="360" w:lineRule="auto"/>
        <w:rPr>
          <w:rFonts w:ascii="Times New Roman" w:hAnsi="Times New Roman"/>
          <w:bCs/>
          <w:lang w:val="es-ES"/>
        </w:rPr>
      </w:pPr>
      <w:r w:rsidRPr="00666469">
        <w:rPr>
          <w:rFonts w:ascii="Times New Roman" w:hAnsi="Times New Roman"/>
          <w:bCs/>
          <w:lang w:val="es-ES"/>
        </w:rPr>
        <w:t>Es importante resaltar que para el ejercicio fiscal de 2019 no se aprobó la creación de impuestos nuevos ni un incremento en tasas de los impuestos vigentes. Asimismo, el gasto se ha ejercido con estricto apego a los principios de austeridad, honestidad y combate a la corrupción que caracterizan los compromisos del Gobierno de México.</w:t>
      </w:r>
    </w:p>
    <w:p w:rsidR="00835F7D" w:rsidRDefault="00835F7D" w:rsidP="00835F7D">
      <w:pPr>
        <w:pStyle w:val="PRIMERAPLANA"/>
        <w:spacing w:line="360" w:lineRule="auto"/>
        <w:rPr>
          <w:rFonts w:ascii="Times New Roman" w:hAnsi="Times New Roman"/>
          <w:iCs/>
          <w:lang w:val="es-ES"/>
        </w:rPr>
      </w:pPr>
    </w:p>
    <w:p w:rsidR="00835F7D" w:rsidRDefault="00835F7D" w:rsidP="00835F7D">
      <w:pPr>
        <w:spacing w:line="360" w:lineRule="auto"/>
        <w:jc w:val="both"/>
        <w:rPr>
          <w:b/>
          <w:bCs/>
          <w:sz w:val="20"/>
          <w:szCs w:val="20"/>
        </w:rPr>
      </w:pPr>
      <w:r>
        <w:rPr>
          <w:b/>
          <w:bCs/>
          <w:sz w:val="20"/>
          <w:szCs w:val="20"/>
        </w:rPr>
        <w:t>ENTORNO LOCAL.</w:t>
      </w:r>
    </w:p>
    <w:p w:rsidR="00835F7D" w:rsidRDefault="00835F7D" w:rsidP="00835F7D">
      <w:pPr>
        <w:pStyle w:val="PRIMERAPLANA"/>
        <w:spacing w:line="360" w:lineRule="auto"/>
        <w:rPr>
          <w:rFonts w:ascii="Times New Roman" w:hAnsi="Times New Roman"/>
          <w:lang w:val="es-ES"/>
        </w:rPr>
      </w:pPr>
    </w:p>
    <w:p w:rsidR="00666469" w:rsidRPr="00666469" w:rsidRDefault="00666469" w:rsidP="00666469">
      <w:pPr>
        <w:pStyle w:val="PRIMERAPLANA"/>
        <w:spacing w:line="360" w:lineRule="auto"/>
        <w:rPr>
          <w:rFonts w:ascii="Times New Roman" w:hAnsi="Times New Roman"/>
          <w:iCs/>
          <w:lang w:val="es-ES"/>
        </w:rPr>
      </w:pPr>
      <w:r w:rsidRPr="00666469">
        <w:rPr>
          <w:rFonts w:ascii="Times New Roman" w:hAnsi="Times New Roman"/>
          <w:iCs/>
          <w:lang w:val="es-ES"/>
        </w:rPr>
        <w:t xml:space="preserve">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el PIB </w:t>
      </w:r>
      <w:r w:rsidRPr="00666469">
        <w:rPr>
          <w:rFonts w:ascii="Times New Roman" w:hAnsi="Times New Roman"/>
          <w:i/>
          <w:iCs/>
          <w:lang w:val="es-ES"/>
        </w:rPr>
        <w:t>per cápita</w:t>
      </w:r>
      <w:r w:rsidRPr="00666469">
        <w:rPr>
          <w:rFonts w:ascii="Times New Roman" w:hAnsi="Times New Roman"/>
          <w:iCs/>
          <w:lang w:val="es-ES"/>
        </w:rPr>
        <w:t xml:space="preserve"> de nuestra Entidad en el ejercicio 2016 fue equivalente al 55.1% del promedio nacional, cabe hacer mención que el nivel de ingresos propios es bajo y fue equivalente a 5.6% de los ingresos totales en 2017 y de 4.6% en 2016, este incremento se debió básicamente al aumento de la tasa del Impuesto Sobre Nóminas del 2% al 3% a partir del 2017, como puede observarse, los ingresos propios reflejan un crecimiento continuo estimándose en un 2.5% de los ingresos totales durante los ejercicios de 2019 y 2020.</w:t>
      </w:r>
    </w:p>
    <w:p w:rsidR="00666469" w:rsidRPr="00666469" w:rsidRDefault="00666469" w:rsidP="00666469">
      <w:pPr>
        <w:pStyle w:val="PRIMERAPLANA"/>
        <w:spacing w:line="360" w:lineRule="auto"/>
        <w:rPr>
          <w:rFonts w:ascii="Times New Roman" w:hAnsi="Times New Roman"/>
          <w:iCs/>
          <w:lang w:val="es-ES"/>
        </w:rPr>
      </w:pPr>
    </w:p>
    <w:p w:rsidR="00666469" w:rsidRPr="00666469" w:rsidRDefault="00666469" w:rsidP="00666469">
      <w:pPr>
        <w:pStyle w:val="PRIMERAPLANA"/>
        <w:spacing w:line="360" w:lineRule="auto"/>
        <w:rPr>
          <w:rFonts w:ascii="Times New Roman" w:hAnsi="Times New Roman"/>
          <w:iCs/>
          <w:lang w:val="es-ES"/>
        </w:rPr>
      </w:pPr>
      <w:r w:rsidRPr="00666469">
        <w:rPr>
          <w:rFonts w:ascii="Times New Roman" w:hAnsi="Times New Roman"/>
          <w:iCs/>
          <w:lang w:val="es-ES"/>
        </w:rPr>
        <w:t xml:space="preserve">El Estado de Tlaxcala ha implementado políticas de administración y de gobierno prudentes, obteniendo resultados positivos durante los últimos años. La política fiscal mantenida ha limitado el gasto corriente respecto de los ingresos disponibles en cada ejercicio, por lo que, se estima que se registren </w:t>
      </w:r>
      <w:r w:rsidRPr="00666469">
        <w:rPr>
          <w:rFonts w:ascii="Times New Roman" w:hAnsi="Times New Roman"/>
          <w:i/>
          <w:iCs/>
          <w:lang w:val="es-ES"/>
        </w:rPr>
        <w:t>superávits</w:t>
      </w:r>
      <w:r w:rsidRPr="00666469">
        <w:rPr>
          <w:rFonts w:ascii="Times New Roman" w:hAnsi="Times New Roman"/>
          <w:iCs/>
          <w:lang w:val="es-ES"/>
        </w:rPr>
        <w:t xml:space="preserve"> financieros en los ejercicios 2019 y 2020 en niveles alrededor del 1% de sus ingresos totales.</w:t>
      </w:r>
    </w:p>
    <w:p w:rsidR="00666469" w:rsidRPr="00666469" w:rsidRDefault="00666469" w:rsidP="00666469">
      <w:pPr>
        <w:pStyle w:val="PRIMERAPLANA"/>
        <w:spacing w:line="360" w:lineRule="auto"/>
        <w:rPr>
          <w:rFonts w:ascii="Times New Roman" w:hAnsi="Times New Roman"/>
          <w:iCs/>
          <w:lang w:val="es-ES"/>
        </w:rPr>
      </w:pPr>
    </w:p>
    <w:p w:rsidR="00666469" w:rsidRPr="00666469" w:rsidRDefault="00666469" w:rsidP="00666469">
      <w:pPr>
        <w:pStyle w:val="PRIMERAPLANA"/>
        <w:spacing w:line="360" w:lineRule="auto"/>
        <w:rPr>
          <w:rFonts w:ascii="Times New Roman" w:hAnsi="Times New Roman"/>
          <w:iCs/>
          <w:lang w:val="es-ES"/>
        </w:rPr>
      </w:pPr>
      <w:r w:rsidRPr="00666469">
        <w:rPr>
          <w:rFonts w:ascii="Times New Roman" w:hAnsi="Times New Roman"/>
          <w:iCs/>
          <w:lang w:val="es-ES"/>
        </w:rPr>
        <w:t xml:space="preserve">Los resultados financieros balanceados y la política de deuda conservadora, han permitido que desde el ejercicio 2008 el Estado de Tlaxcala haya registrado una posición libre de endeudamiento. </w:t>
      </w:r>
    </w:p>
    <w:p w:rsidR="00666469" w:rsidRPr="00666469" w:rsidRDefault="00666469" w:rsidP="00666469">
      <w:pPr>
        <w:pStyle w:val="PRIMERAPLANA"/>
        <w:spacing w:line="360" w:lineRule="auto"/>
        <w:rPr>
          <w:rFonts w:ascii="Times New Roman" w:hAnsi="Times New Roman"/>
          <w:iCs/>
          <w:lang w:val="es-ES"/>
        </w:rPr>
      </w:pPr>
    </w:p>
    <w:p w:rsidR="00666469" w:rsidRPr="00666469" w:rsidRDefault="00666469" w:rsidP="00666469">
      <w:pPr>
        <w:pStyle w:val="PRIMERAPLANA"/>
        <w:spacing w:line="360" w:lineRule="auto"/>
        <w:rPr>
          <w:rFonts w:ascii="Times New Roman" w:hAnsi="Times New Roman"/>
          <w:iCs/>
          <w:lang w:val="es-ES"/>
        </w:rPr>
      </w:pPr>
      <w:r w:rsidRPr="00666469">
        <w:rPr>
          <w:rFonts w:ascii="Times New Roman" w:hAnsi="Times New Roman"/>
          <w:iCs/>
          <w:lang w:val="es-ES"/>
        </w:rPr>
        <w:t>Cabe hacer mención que se modificó la Ley de Deuda del Estado de Tlaxcala y sus Municipios, estableciéndose que el Estado puede contratar obligaciones a corto plazo sin la autorización del Congreso hasta por un monto equivalente al 3% de sus ingresos totales aprobados en la Ley de Ingresos correspondiente; por otro lado la contratación de obligaciones a largo plazo podrá ser de hasta el 20% del equivalente al presupuesto anual del Estado y deberá ser autorizado por el Congreso, sin embargo, no se ha recurrido a la contratación de deuda de corto o largo plazo para financiar el gasto público.</w:t>
      </w:r>
    </w:p>
    <w:p w:rsidR="00666469" w:rsidRPr="00666469" w:rsidRDefault="00666469" w:rsidP="00666469">
      <w:pPr>
        <w:pStyle w:val="PRIMERAPLANA"/>
        <w:spacing w:line="360" w:lineRule="auto"/>
        <w:rPr>
          <w:rFonts w:ascii="Times New Roman" w:hAnsi="Times New Roman"/>
          <w:iCs/>
          <w:lang w:val="es-ES"/>
        </w:rPr>
      </w:pPr>
    </w:p>
    <w:p w:rsidR="00666469" w:rsidRPr="00666469" w:rsidRDefault="00666469" w:rsidP="00666469">
      <w:pPr>
        <w:pStyle w:val="PRIMERAPLANA"/>
        <w:spacing w:line="360" w:lineRule="auto"/>
        <w:rPr>
          <w:rFonts w:ascii="Times New Roman" w:hAnsi="Times New Roman"/>
          <w:iCs/>
          <w:lang w:val="es-ES"/>
        </w:rPr>
      </w:pPr>
      <w:r w:rsidRPr="00666469">
        <w:rPr>
          <w:rFonts w:ascii="Times New Roman" w:hAnsi="Times New Roman"/>
          <w:iCs/>
          <w:lang w:val="es-ES"/>
        </w:rPr>
        <w:t>La Iniciativa de Ley Ingresos del Estado de Tlaxcala para el Ejercicio Fiscal 2020, presentada ante ese Congreso del Estado, establece una estimación con base en las cifras estimadas por la Secretaría de Hacienda y Crédito Público para el ejercicio 2020, correspondientes a los conceptos por los cuales el Gobierno del Estado obtendrá los recursos económicos que requiere para la realización de sus funciones.</w:t>
      </w:r>
    </w:p>
    <w:p w:rsidR="00666469" w:rsidRPr="00666469" w:rsidRDefault="00666469" w:rsidP="00666469">
      <w:pPr>
        <w:spacing w:line="360" w:lineRule="auto"/>
        <w:jc w:val="both"/>
        <w:rPr>
          <w:sz w:val="20"/>
          <w:szCs w:val="20"/>
        </w:rPr>
      </w:pPr>
    </w:p>
    <w:p w:rsidR="00835F7D" w:rsidRDefault="00666469" w:rsidP="00835F7D">
      <w:pPr>
        <w:spacing w:line="360" w:lineRule="auto"/>
        <w:jc w:val="both"/>
        <w:rPr>
          <w:sz w:val="20"/>
          <w:szCs w:val="20"/>
        </w:rPr>
      </w:pPr>
      <w:r w:rsidRPr="00666469">
        <w:rPr>
          <w:sz w:val="20"/>
          <w:szCs w:val="20"/>
        </w:rPr>
        <w:t>El comportamiento de los ingresos derivados de fuentes locales en los últimos 5 años, presenta estabilidad financiera, derivado de las acciones implementadas y enfocadas a la simplificación administrativa y a la mejora en la prestación de servicios a la ciudadanía.</w:t>
      </w:r>
    </w:p>
    <w:p w:rsidR="00666469" w:rsidRDefault="00666469" w:rsidP="00835F7D">
      <w:pPr>
        <w:spacing w:line="360" w:lineRule="auto"/>
        <w:jc w:val="both"/>
        <w:rPr>
          <w:sz w:val="20"/>
          <w:szCs w:val="20"/>
        </w:rPr>
      </w:pPr>
    </w:p>
    <w:p w:rsidR="00835F7D" w:rsidRDefault="00835F7D" w:rsidP="00666469">
      <w:pPr>
        <w:spacing w:line="360" w:lineRule="auto"/>
        <w:jc w:val="center"/>
        <w:rPr>
          <w:b/>
          <w:sz w:val="20"/>
          <w:szCs w:val="20"/>
        </w:rPr>
      </w:pPr>
      <w:r>
        <w:rPr>
          <w:b/>
          <w:sz w:val="20"/>
          <w:szCs w:val="20"/>
        </w:rPr>
        <w:t>RECAUDACIÓN DE IMPUESTOS PROPIOS 2014-2019* (</w:t>
      </w:r>
      <w:proofErr w:type="spellStart"/>
      <w:r>
        <w:rPr>
          <w:b/>
          <w:sz w:val="20"/>
          <w:szCs w:val="20"/>
        </w:rPr>
        <w:t>Mdp</w:t>
      </w:r>
      <w:proofErr w:type="spellEnd"/>
      <w:r>
        <w:rPr>
          <w:b/>
          <w:sz w:val="20"/>
          <w:szCs w:val="20"/>
        </w:rPr>
        <w:t>)</w:t>
      </w:r>
    </w:p>
    <w:p w:rsidR="00835F7D" w:rsidRPr="00835F7D" w:rsidRDefault="00835F7D" w:rsidP="00835F7D">
      <w:pPr>
        <w:spacing w:line="360" w:lineRule="auto"/>
        <w:jc w:val="both"/>
        <w:rPr>
          <w:b/>
          <w:sz w:val="20"/>
          <w:szCs w:val="20"/>
        </w:rPr>
      </w:pPr>
      <w:r>
        <w:rPr>
          <w:noProof/>
          <w:sz w:val="20"/>
          <w:szCs w:val="20"/>
          <w:lang w:val="es-MX" w:eastAsia="es-MX"/>
        </w:rPr>
        <w:drawing>
          <wp:inline distT="0" distB="0" distL="0" distR="0">
            <wp:extent cx="5179060" cy="1440815"/>
            <wp:effectExtent l="0" t="0" r="254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9060" cy="1440815"/>
                    </a:xfrm>
                    <a:prstGeom prst="rect">
                      <a:avLst/>
                    </a:prstGeom>
                    <a:noFill/>
                    <a:ln>
                      <a:noFill/>
                    </a:ln>
                  </pic:spPr>
                </pic:pic>
              </a:graphicData>
            </a:graphic>
          </wp:inline>
        </w:drawing>
      </w:r>
      <w:r w:rsidRPr="00835F7D">
        <w:rPr>
          <w:b/>
          <w:sz w:val="12"/>
          <w:szCs w:val="12"/>
        </w:rPr>
        <w:t xml:space="preserve">Fuente: Dirección de Contabilidad Gubernamental y Coordinación Hacendaria </w:t>
      </w:r>
    </w:p>
    <w:p w:rsidR="00835F7D" w:rsidRPr="00835F7D" w:rsidRDefault="00835F7D" w:rsidP="00835F7D">
      <w:pPr>
        <w:spacing w:line="360" w:lineRule="auto"/>
        <w:jc w:val="both"/>
        <w:rPr>
          <w:b/>
          <w:sz w:val="12"/>
          <w:szCs w:val="12"/>
        </w:rPr>
      </w:pPr>
      <w:r w:rsidRPr="00835F7D">
        <w:rPr>
          <w:b/>
          <w:sz w:val="12"/>
          <w:szCs w:val="12"/>
        </w:rPr>
        <w:t>* Estimaciones al Cierre de 2019.</w:t>
      </w:r>
    </w:p>
    <w:p w:rsidR="00835F7D" w:rsidRDefault="00835F7D" w:rsidP="00835F7D">
      <w:pPr>
        <w:spacing w:line="360" w:lineRule="auto"/>
        <w:jc w:val="both"/>
        <w:rPr>
          <w:b/>
          <w:sz w:val="20"/>
          <w:szCs w:val="20"/>
        </w:rPr>
      </w:pPr>
      <w:r>
        <w:rPr>
          <w:b/>
          <w:noProof/>
          <w:sz w:val="20"/>
          <w:szCs w:val="20"/>
          <w:lang w:val="es-MX" w:eastAsia="es-MX"/>
        </w:rPr>
        <w:lastRenderedPageBreak/>
        <w:drawing>
          <wp:inline distT="0" distB="0" distL="0" distR="0">
            <wp:extent cx="5164455" cy="2582545"/>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4455" cy="2582545"/>
                    </a:xfrm>
                    <a:prstGeom prst="rect">
                      <a:avLst/>
                    </a:prstGeom>
                    <a:noFill/>
                    <a:ln>
                      <a:noFill/>
                    </a:ln>
                  </pic:spPr>
                </pic:pic>
              </a:graphicData>
            </a:graphic>
          </wp:inline>
        </w:drawing>
      </w:r>
    </w:p>
    <w:p w:rsidR="00835F7D" w:rsidRDefault="00835F7D" w:rsidP="00835F7D">
      <w:pPr>
        <w:spacing w:line="360" w:lineRule="auto"/>
        <w:jc w:val="both"/>
        <w:rPr>
          <w:b/>
          <w:sz w:val="20"/>
          <w:szCs w:val="20"/>
        </w:rPr>
      </w:pPr>
    </w:p>
    <w:p w:rsidR="00835F7D" w:rsidRPr="00835F7D" w:rsidRDefault="00835F7D" w:rsidP="00835F7D">
      <w:pPr>
        <w:spacing w:line="360" w:lineRule="auto"/>
        <w:jc w:val="both"/>
        <w:rPr>
          <w:b/>
          <w:sz w:val="12"/>
          <w:szCs w:val="12"/>
        </w:rPr>
      </w:pPr>
      <w:r w:rsidRPr="00835F7D">
        <w:rPr>
          <w:b/>
          <w:sz w:val="12"/>
          <w:szCs w:val="12"/>
        </w:rPr>
        <w:t xml:space="preserve">Fuente: Dirección de Contabilidad Gubernamental y Coordinación Hacendaria </w:t>
      </w:r>
    </w:p>
    <w:p w:rsidR="00835F7D" w:rsidRPr="00835F7D" w:rsidRDefault="00835F7D" w:rsidP="00835F7D">
      <w:pPr>
        <w:spacing w:line="360" w:lineRule="auto"/>
        <w:jc w:val="both"/>
        <w:rPr>
          <w:b/>
          <w:sz w:val="12"/>
          <w:szCs w:val="12"/>
        </w:rPr>
      </w:pPr>
      <w:r w:rsidRPr="00835F7D">
        <w:rPr>
          <w:b/>
          <w:sz w:val="12"/>
          <w:szCs w:val="12"/>
        </w:rPr>
        <w:t>* Estimaciones al Cierre de 2019.</w:t>
      </w:r>
    </w:p>
    <w:p w:rsidR="00666469" w:rsidRPr="00666469" w:rsidRDefault="00666469" w:rsidP="00666469">
      <w:pPr>
        <w:pStyle w:val="PRIMERAPLANA"/>
        <w:spacing w:line="360" w:lineRule="auto"/>
        <w:rPr>
          <w:rFonts w:ascii="Times New Roman" w:hAnsi="Times New Roman"/>
          <w:lang w:val="es-ES"/>
        </w:rPr>
      </w:pPr>
      <w:r w:rsidRPr="00666469">
        <w:rPr>
          <w:rFonts w:ascii="Times New Roman" w:hAnsi="Times New Roman"/>
          <w:lang w:val="es-ES"/>
        </w:rPr>
        <w:t xml:space="preserve">Ante un panorama económico que puede presentar riesgos, no se contempla la creación de nuevos impuestos, por lo que es fundamental implementar una política fiscal que contribuya a financiar el gasto público con ingresos provenientes de acciones que </w:t>
      </w:r>
      <w:proofErr w:type="spellStart"/>
      <w:r w:rsidRPr="00666469">
        <w:rPr>
          <w:rFonts w:ascii="Times New Roman" w:hAnsi="Times New Roman"/>
          <w:lang w:val="es-ES"/>
        </w:rPr>
        <w:t>eficienten</w:t>
      </w:r>
      <w:proofErr w:type="spellEnd"/>
      <w:r w:rsidRPr="00666469">
        <w:rPr>
          <w:rFonts w:ascii="Times New Roman" w:hAnsi="Times New Roman"/>
          <w:lang w:val="es-ES"/>
        </w:rPr>
        <w:t xml:space="preserve"> la recaudación y con ello se incrementen gradualmente los ingresos, siendo las estrategias principales las siguientes: el aumento de la base de contribuyentes, la promoción del uso de medios electrónicos de pago y la continua mejora de los procedimientos de fiscalización, que garanticen la recuperación de créditos fiscales firmes.</w:t>
      </w:r>
    </w:p>
    <w:p w:rsidR="00666469" w:rsidRPr="00666469" w:rsidRDefault="00666469" w:rsidP="00666469">
      <w:pPr>
        <w:spacing w:line="360" w:lineRule="auto"/>
        <w:jc w:val="both"/>
        <w:rPr>
          <w:rFonts w:eastAsia="Arial Unicode MS"/>
          <w:bCs/>
          <w:sz w:val="20"/>
          <w:szCs w:val="20"/>
        </w:rPr>
      </w:pPr>
      <w:r w:rsidRPr="00666469">
        <w:rPr>
          <w:rFonts w:eastAsia="Arial Unicode MS"/>
          <w:bCs/>
          <w:sz w:val="20"/>
          <w:szCs w:val="20"/>
        </w:rPr>
        <w:t>El Impuesto Sobre Nóminas como fuente de ingresos locales para sufragar el gasto público, ocupa el primer lugar en la estructura de los ingresos propios, por esa razón, se hace imprescindible fortalecer su recaudación y fiscalización.</w:t>
      </w:r>
    </w:p>
    <w:p w:rsidR="00666469" w:rsidRPr="00666469" w:rsidRDefault="00666469" w:rsidP="00666469">
      <w:pPr>
        <w:spacing w:line="360" w:lineRule="auto"/>
        <w:jc w:val="both"/>
        <w:rPr>
          <w:rFonts w:eastAsia="Arial Unicode MS"/>
          <w:bCs/>
          <w:sz w:val="20"/>
          <w:szCs w:val="20"/>
        </w:rPr>
      </w:pPr>
    </w:p>
    <w:p w:rsidR="00666469" w:rsidRPr="00666469" w:rsidRDefault="00666469" w:rsidP="00666469">
      <w:pPr>
        <w:pStyle w:val="PRIMERAPLANA"/>
        <w:spacing w:line="360" w:lineRule="auto"/>
        <w:rPr>
          <w:rFonts w:ascii="Times New Roman" w:hAnsi="Times New Roman"/>
          <w:lang w:val="es-ES"/>
        </w:rPr>
      </w:pPr>
      <w:r w:rsidRPr="00666469">
        <w:rPr>
          <w:rFonts w:ascii="Times New Roman" w:hAnsi="Times New Roman"/>
          <w:lang w:val="es-ES"/>
        </w:rPr>
        <w:t>En materia de incentivos fiscales estatales, se han propuesto políticas de fomento económico para impulsar la creación de nuevos empleos y generar cadenas productivas en el ámbito rural e industrial, que permitan atraer la atención de inversionistas al Estado.</w:t>
      </w:r>
    </w:p>
    <w:p w:rsidR="00666469" w:rsidRPr="00666469" w:rsidRDefault="00666469" w:rsidP="00666469">
      <w:pPr>
        <w:pStyle w:val="PRIMERAPLANA"/>
        <w:spacing w:line="360" w:lineRule="auto"/>
        <w:rPr>
          <w:rFonts w:ascii="Times New Roman" w:hAnsi="Times New Roman"/>
          <w:lang w:val="es-ES"/>
        </w:rPr>
      </w:pPr>
    </w:p>
    <w:p w:rsidR="00666469" w:rsidRPr="00666469" w:rsidRDefault="00666469" w:rsidP="00666469">
      <w:pPr>
        <w:pStyle w:val="PRIMERAPLANA"/>
        <w:spacing w:line="360" w:lineRule="auto"/>
        <w:rPr>
          <w:rFonts w:ascii="Times New Roman" w:hAnsi="Times New Roman"/>
          <w:lang w:val="es-ES"/>
        </w:rPr>
      </w:pPr>
      <w:r w:rsidRPr="00666469">
        <w:rPr>
          <w:rFonts w:ascii="Times New Roman" w:hAnsi="Times New Roman"/>
          <w:lang w:val="es-ES"/>
        </w:rPr>
        <w:t xml:space="preserve">Observando el principio de justicia tributaria, se prevé otorgar estímulos en materia del Impuesto Sobre Nóminas a empresas que ya se encuentren instaladas o de nueva creación con domicilio fiscal en el Estado, que contraten adultos mayores y a personas con capacidades diferentes, por otra parte, se continuará subsidiando el pago del Impuesto Estatal Sobre Tenencia o Uso de Vehículos. </w:t>
      </w:r>
    </w:p>
    <w:p w:rsidR="00666469" w:rsidRPr="00666469" w:rsidRDefault="00666469" w:rsidP="00666469">
      <w:pPr>
        <w:pStyle w:val="PRIMERAPLANA"/>
        <w:spacing w:line="360" w:lineRule="auto"/>
        <w:rPr>
          <w:rFonts w:ascii="Times New Roman" w:hAnsi="Times New Roman"/>
          <w:lang w:val="es-ES"/>
        </w:rPr>
      </w:pPr>
    </w:p>
    <w:p w:rsidR="00666469" w:rsidRPr="00666469" w:rsidRDefault="00666469" w:rsidP="00666469">
      <w:pPr>
        <w:pStyle w:val="PRIMERAPLANA"/>
        <w:spacing w:line="360" w:lineRule="auto"/>
        <w:rPr>
          <w:rFonts w:ascii="Times New Roman" w:hAnsi="Times New Roman"/>
          <w:lang w:val="es-ES"/>
        </w:rPr>
      </w:pPr>
      <w:r w:rsidRPr="00666469">
        <w:rPr>
          <w:rFonts w:ascii="Times New Roman" w:hAnsi="Times New Roman"/>
          <w:lang w:val="es-ES"/>
        </w:rPr>
        <w:t>En atención al exhorto realizado por el Congreso de la Unión, se otorgan beneficios a los propietarios, tenedores o usuarios de vehículos automotores híbridos que circulen en la Entidad, otorgándoles una exención del 100% en el pago del Impuesto Estatal Sobre Tenencia o Uso de Vehículos y de los Derechos por Registro y Control Vehicular.</w:t>
      </w:r>
    </w:p>
    <w:p w:rsidR="00666469" w:rsidRPr="00666469" w:rsidRDefault="00666469" w:rsidP="00666469">
      <w:pPr>
        <w:pStyle w:val="PRIMERAPLANA"/>
        <w:spacing w:line="360" w:lineRule="auto"/>
        <w:rPr>
          <w:rFonts w:ascii="Times New Roman" w:hAnsi="Times New Roman"/>
          <w:lang w:val="es-ES"/>
        </w:rPr>
      </w:pPr>
    </w:p>
    <w:p w:rsidR="00666469" w:rsidRPr="00666469" w:rsidRDefault="00666469" w:rsidP="00666469">
      <w:pPr>
        <w:spacing w:line="360" w:lineRule="auto"/>
        <w:jc w:val="both"/>
        <w:rPr>
          <w:sz w:val="20"/>
          <w:szCs w:val="20"/>
        </w:rPr>
      </w:pPr>
      <w:r w:rsidRPr="00666469">
        <w:rPr>
          <w:sz w:val="20"/>
          <w:szCs w:val="20"/>
        </w:rPr>
        <w:t>La Secretaría de Comunicaciones y Transportes del Estado, tiene dentro de sus funciones el formular y conducir las políticas y programas para el desarrollo del transporte público y privado en territorio del Estado, observando las características y especificaciones de las placas metálicas y calcomanías de identificación de todos los vehículos automotores y remolques matriculados en el padrón estatal vehicular, por lo que, con el propósito de que los vehículos automotores que circulan en el territorio estatal, se encuentren debidamente identificados y se compruebe la posesión legal de los mismos, deben contar con placas metálicas y calcomanías que faciliten su reconocimiento, con el propósito, de otorgar seguridad pública y jurídica a los actos que se realicen con estos vehículos, mediante su identificación y control.</w:t>
      </w:r>
    </w:p>
    <w:p w:rsidR="00666469" w:rsidRPr="00666469" w:rsidRDefault="00666469" w:rsidP="00666469">
      <w:pPr>
        <w:spacing w:line="360" w:lineRule="auto"/>
        <w:jc w:val="both"/>
        <w:rPr>
          <w:sz w:val="20"/>
          <w:szCs w:val="20"/>
        </w:rPr>
      </w:pPr>
    </w:p>
    <w:p w:rsidR="00666469" w:rsidRPr="00666469" w:rsidRDefault="00666469" w:rsidP="00666469">
      <w:pPr>
        <w:spacing w:line="360" w:lineRule="auto"/>
        <w:jc w:val="both"/>
        <w:rPr>
          <w:sz w:val="20"/>
          <w:szCs w:val="20"/>
        </w:rPr>
      </w:pPr>
      <w:r w:rsidRPr="00666469">
        <w:rPr>
          <w:sz w:val="20"/>
          <w:szCs w:val="20"/>
        </w:rPr>
        <w:t xml:space="preserve">Con el objeto de garantizar la actualización y control del padrón vehicular estatal, en apego a lo establecido en la Norma Oficial Mexicana NOM-001-SCT-2-2016, Placas metálicas, calcomanías de identificación y tarjetas de circulación empleadas en automóviles, </w:t>
      </w:r>
      <w:proofErr w:type="spellStart"/>
      <w:r w:rsidRPr="00666469">
        <w:rPr>
          <w:sz w:val="20"/>
          <w:szCs w:val="20"/>
        </w:rPr>
        <w:t>tractocamiones</w:t>
      </w:r>
      <w:proofErr w:type="spellEnd"/>
      <w:r w:rsidRPr="00666469">
        <w:rPr>
          <w:sz w:val="20"/>
          <w:szCs w:val="20"/>
        </w:rPr>
        <w:t xml:space="preserve">, autobuses, camiones, motocicletas, remolques, semirremolques, convertidores y grúas, matriculados en la República Mexicana, licencia federal de conductor, calcomanía de verificación físico-mecánica, listado de series asignadas por tipo de vehículo, servicio y entidad federativa o dependencia de gobierno, especificaciones y método de prueba, publicada en el Diario Oficial de la Federación de </w:t>
      </w:r>
      <w:r w:rsidRPr="00666469">
        <w:rPr>
          <w:sz w:val="20"/>
          <w:szCs w:val="20"/>
        </w:rPr>
        <w:lastRenderedPageBreak/>
        <w:t xml:space="preserve">fecha 24 de junio de 2016 y en el artículo séptimo del Acuerdo Secretarial mediante el cual se fijan las características y especificaciones de las placas metálicas, calcomanías de identificación y revalidación y tarjetas de circulación para los diferentes tipos de servicio, publicado en el Diario Oficial de la Federación el 25 de septiembre de 2000; en el ejercicio 2020, se propone llevar a cabo el </w:t>
      </w:r>
      <w:proofErr w:type="spellStart"/>
      <w:r w:rsidRPr="00666469">
        <w:rPr>
          <w:sz w:val="20"/>
          <w:szCs w:val="20"/>
        </w:rPr>
        <w:t>reemplacamiento</w:t>
      </w:r>
      <w:proofErr w:type="spellEnd"/>
      <w:r w:rsidRPr="00666469">
        <w:rPr>
          <w:sz w:val="20"/>
          <w:szCs w:val="20"/>
        </w:rPr>
        <w:t xml:space="preserve"> total del parque vehicular estatal, con el objeto de contar con información confiable que coadyuve a mejorar la vigilancia e identificación de las placas metálicas y calcomanías que se utilicen en vehículos involucrados en delitos, tales como robos, secuestros, narcotráfico, y accidentes viales.</w:t>
      </w:r>
    </w:p>
    <w:p w:rsidR="00666469" w:rsidRPr="00666469" w:rsidRDefault="00666469" w:rsidP="00666469">
      <w:pPr>
        <w:pStyle w:val="PRIMERAPLANA"/>
        <w:spacing w:line="360" w:lineRule="auto"/>
        <w:rPr>
          <w:rFonts w:ascii="Times New Roman" w:hAnsi="Times New Roman"/>
          <w:lang w:val="es-ES"/>
        </w:rPr>
      </w:pPr>
    </w:p>
    <w:p w:rsidR="00666469" w:rsidRPr="00666469" w:rsidRDefault="00666469" w:rsidP="00666469">
      <w:pPr>
        <w:spacing w:line="360" w:lineRule="auto"/>
        <w:jc w:val="both"/>
        <w:rPr>
          <w:sz w:val="20"/>
          <w:szCs w:val="20"/>
        </w:rPr>
      </w:pPr>
      <w:r w:rsidRPr="00666469">
        <w:rPr>
          <w:sz w:val="20"/>
          <w:szCs w:val="20"/>
        </w:rPr>
        <w:t>El Programa Estatal de Ordenamiento Territorial y Desarrollo Urbano, dentro del ámbito de Movilidad y Conectividad Regional, establece la Estrategia 3.2.1., consistente en definir una política de transporte y movilidad que favorezca el desarrollo eficiente del transporte público en la Entidad, considerando que los particulares tienen derecho a utilizar con fines comerciales las vías estatales de comunicación, sujeto a la concesión o autorización que al efecto les otorgue el Ejecutivo del Estado.</w:t>
      </w:r>
    </w:p>
    <w:p w:rsidR="00666469" w:rsidRPr="00666469" w:rsidRDefault="00666469" w:rsidP="00666469">
      <w:pPr>
        <w:spacing w:line="360" w:lineRule="auto"/>
        <w:jc w:val="both"/>
        <w:rPr>
          <w:sz w:val="20"/>
          <w:szCs w:val="20"/>
        </w:rPr>
      </w:pPr>
    </w:p>
    <w:p w:rsidR="00666469" w:rsidRPr="00666469" w:rsidRDefault="00666469" w:rsidP="00666469">
      <w:pPr>
        <w:spacing w:line="360" w:lineRule="auto"/>
        <w:jc w:val="both"/>
        <w:rPr>
          <w:sz w:val="20"/>
          <w:szCs w:val="20"/>
        </w:rPr>
      </w:pPr>
      <w:r w:rsidRPr="00666469">
        <w:rPr>
          <w:sz w:val="20"/>
          <w:szCs w:val="20"/>
        </w:rPr>
        <w:t>Es este sentido, existen aplicaciones digitales o “APPS”, que representan una herramienta útil para la prestación del servicio de transporte, a través de las cuales los particulares pueden contratar el servicio privado de transporte con chofer en el Estado de Tlaxcala, lo cual representa una cuestión de orden público e interés general, haciéndose necesaria su regulación jurídica y/o administrativa ya que los usuarios tienen derecho a gozar de seguridad en sus traslados, por lo que en la iniciativa se incluyen los conceptos de cobro por los derechos causados por la operación y/o administración de aplicaciones y plataformas informáticas</w:t>
      </w:r>
    </w:p>
    <w:p w:rsidR="00666469" w:rsidRPr="00666469" w:rsidRDefault="00666469" w:rsidP="00666469">
      <w:pPr>
        <w:pStyle w:val="PRIMERAPLANA"/>
        <w:spacing w:line="360" w:lineRule="auto"/>
        <w:rPr>
          <w:rFonts w:ascii="Times New Roman" w:hAnsi="Times New Roman"/>
          <w:lang w:val="es-ES"/>
        </w:rPr>
      </w:pPr>
    </w:p>
    <w:p w:rsidR="00666469" w:rsidRPr="00666469" w:rsidRDefault="00666469" w:rsidP="00666469">
      <w:pPr>
        <w:pStyle w:val="PRIMERAPLANA"/>
        <w:spacing w:line="360" w:lineRule="auto"/>
        <w:rPr>
          <w:rFonts w:ascii="Times New Roman" w:hAnsi="Times New Roman"/>
          <w:lang w:val="es-ES"/>
        </w:rPr>
      </w:pPr>
      <w:r w:rsidRPr="00666469">
        <w:rPr>
          <w:rFonts w:ascii="Times New Roman" w:hAnsi="Times New Roman"/>
          <w:lang w:val="es-ES"/>
        </w:rPr>
        <w:t>Las acciones de gobierno emprendidas por esta administración, han tenido como finalidad el desarrollo económico, así como contribuir a mejorar las condiciones de vida de la población del Estado, para lo cual se busca propiciar las condiciones que permitan crear más y mejores empleos en la Entidad y con ello mejorar las condiciones de vida de las familias tlaxcaltecas.</w:t>
      </w:r>
    </w:p>
    <w:p w:rsidR="00666469" w:rsidRPr="00666469" w:rsidRDefault="00666469" w:rsidP="00666469">
      <w:pPr>
        <w:pStyle w:val="PRIMERAPLANA"/>
        <w:spacing w:line="360" w:lineRule="auto"/>
        <w:rPr>
          <w:rFonts w:ascii="Times New Roman" w:hAnsi="Times New Roman"/>
          <w:lang w:val="es-ES"/>
        </w:rPr>
      </w:pPr>
    </w:p>
    <w:p w:rsidR="00666469" w:rsidRPr="00666469" w:rsidRDefault="00666469" w:rsidP="00666469">
      <w:pPr>
        <w:pStyle w:val="PRIMERAPLANA"/>
        <w:spacing w:line="360" w:lineRule="auto"/>
        <w:rPr>
          <w:rFonts w:ascii="Times New Roman" w:hAnsi="Times New Roman"/>
          <w:lang w:val="es-ES"/>
        </w:rPr>
      </w:pPr>
      <w:r w:rsidRPr="00666469">
        <w:rPr>
          <w:rFonts w:ascii="Times New Roman" w:hAnsi="Times New Roman"/>
          <w:lang w:val="es-ES"/>
        </w:rPr>
        <w:lastRenderedPageBreak/>
        <w:t>En el primer trimestre de 2019, el Indicador Trimestral de la Actividad Económica Estatal (ITAEE), muestra que el Estado de Tlaxcala ha tenido un crecimiento estable respecto del cuarto trimestre de 2018 con una variación del 2.5%, destacándose la aportación en volúmenes de la producción física de las actividades económicas primarias en 69.4, secundarias 106.4, terciarias 109.8, respectivamente al total nacional, siendo la aportación mayor la de las actividades terciarias.</w:t>
      </w:r>
    </w:p>
    <w:p w:rsidR="006A32E4" w:rsidRDefault="00835F7D" w:rsidP="00A64D2A">
      <w:pPr>
        <w:spacing w:line="360" w:lineRule="auto"/>
        <w:jc w:val="center"/>
        <w:rPr>
          <w:b/>
          <w:sz w:val="20"/>
          <w:szCs w:val="20"/>
        </w:rPr>
      </w:pPr>
      <w:r>
        <w:rPr>
          <w:noProof/>
          <w:lang w:val="es-MX" w:eastAsia="es-MX"/>
        </w:rPr>
        <mc:AlternateContent>
          <mc:Choice Requires="wps">
            <w:drawing>
              <wp:anchor distT="0" distB="0" distL="114300" distR="114300" simplePos="0" relativeHeight="251661312" behindDoc="0" locked="0" layoutInCell="1" allowOverlap="1" wp14:anchorId="6F7683EE" wp14:editId="30B0335A">
                <wp:simplePos x="0" y="0"/>
                <wp:positionH relativeFrom="column">
                  <wp:posOffset>1068222</wp:posOffset>
                </wp:positionH>
                <wp:positionV relativeFrom="paragraph">
                  <wp:posOffset>2824531</wp:posOffset>
                </wp:positionV>
                <wp:extent cx="189865" cy="45720"/>
                <wp:effectExtent l="19050" t="38100" r="57785" b="49530"/>
                <wp:wrapNone/>
                <wp:docPr id="2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anchor>
            </w:drawing>
          </mc:Choice>
          <mc:Fallback>
            <w:pict>
              <v:shapetype w14:anchorId="6B84B0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6" o:spid="_x0000_s1026" type="#_x0000_t13" style="position:absolute;margin-left:84.1pt;margin-top:222.4pt;width:14.95pt;height:3.6pt;flip:y;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" adj="15918" fillcolor="red" strokecolor="red" strokeweight="3pt">
                <v:shadow on="t" color="#823b0b" opacity=".5" offset="1pt"/>
              </v:shape>
            </w:pict>
          </mc:Fallback>
        </mc:AlternateContent>
      </w:r>
      <w:r>
        <w:rPr>
          <w:noProof/>
          <w:lang w:val="es-MX" w:eastAsia="es-MX"/>
        </w:rPr>
        <w:drawing>
          <wp:inline distT="0" distB="0" distL="0" distR="0" wp14:anchorId="69693E82" wp14:editId="7F65D835">
            <wp:extent cx="2626156" cy="3379622"/>
            <wp:effectExtent l="0" t="0" r="3175" b="0"/>
            <wp:docPr id="40" name="Imagen 40"/>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3"/>
                    <a:srcRect l="36844" t="17779" r="35187" b="6380"/>
                    <a:stretch/>
                  </pic:blipFill>
                  <pic:spPr bwMode="auto">
                    <a:xfrm>
                      <a:off x="0" y="0"/>
                      <a:ext cx="2626156" cy="3379622"/>
                    </a:xfrm>
                    <a:prstGeom prst="rect">
                      <a:avLst/>
                    </a:prstGeom>
                    <a:ln>
                      <a:noFill/>
                    </a:ln>
                    <a:extLst>
                      <a:ext uri="{53640926-AAD7-44D8-BBD7-CCE9431645EC}">
                        <a14:shadowObscured xmlns:a14="http://schemas.microsoft.com/office/drawing/2010/main"/>
                      </a:ext>
                    </a:extLst>
                  </pic:spPr>
                </pic:pic>
              </a:graphicData>
            </a:graphic>
          </wp:inline>
        </w:drawing>
      </w:r>
    </w:p>
    <w:p w:rsidR="00835F7D" w:rsidRDefault="00835F7D" w:rsidP="00A64D2A">
      <w:pPr>
        <w:spacing w:line="360" w:lineRule="auto"/>
        <w:jc w:val="center"/>
        <w:rPr>
          <w:b/>
          <w:sz w:val="20"/>
          <w:szCs w:val="20"/>
        </w:rPr>
      </w:pPr>
    </w:p>
    <w:p w:rsidR="00835F7D" w:rsidRDefault="00835F7D" w:rsidP="00A64D2A">
      <w:pPr>
        <w:spacing w:line="360" w:lineRule="auto"/>
        <w:jc w:val="center"/>
        <w:rPr>
          <w:b/>
          <w:sz w:val="20"/>
          <w:szCs w:val="20"/>
        </w:rPr>
      </w:pPr>
      <w:r>
        <w:rPr>
          <w:noProof/>
          <w:lang w:val="es-MX" w:eastAsia="es-MX"/>
        </w:rPr>
        <w:lastRenderedPageBreak/>
        <w:drawing>
          <wp:inline distT="0" distB="0" distL="0" distR="0" wp14:anchorId="69D2D4C0" wp14:editId="11E292C5">
            <wp:extent cx="4674413" cy="5969203"/>
            <wp:effectExtent l="0" t="0" r="0" b="0"/>
            <wp:docPr id="43" name="Imagen 43"/>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rotWithShape="1">
                    <a:blip r:embed="rId14"/>
                    <a:srcRect l="31754" t="23585" r="29980" b="11448"/>
                    <a:stretch/>
                  </pic:blipFill>
                  <pic:spPr bwMode="auto">
                    <a:xfrm>
                      <a:off x="0" y="0"/>
                      <a:ext cx="4679835" cy="5976127"/>
                    </a:xfrm>
                    <a:prstGeom prst="rect">
                      <a:avLst/>
                    </a:prstGeom>
                    <a:ln>
                      <a:noFill/>
                    </a:ln>
                    <a:extLst>
                      <a:ext uri="{53640926-AAD7-44D8-BBD7-CCE9431645EC}">
                        <a14:shadowObscured xmlns:a14="http://schemas.microsoft.com/office/drawing/2010/main"/>
                      </a:ext>
                    </a:extLst>
                  </pic:spPr>
                </pic:pic>
              </a:graphicData>
            </a:graphic>
          </wp:inline>
        </w:drawing>
      </w:r>
    </w:p>
    <w:p w:rsidR="00666469" w:rsidRPr="00666469" w:rsidRDefault="00666469" w:rsidP="00666469">
      <w:pPr>
        <w:spacing w:line="360" w:lineRule="auto"/>
        <w:jc w:val="both"/>
        <w:rPr>
          <w:sz w:val="20"/>
          <w:szCs w:val="20"/>
        </w:rPr>
      </w:pPr>
      <w:r w:rsidRPr="00666469">
        <w:rPr>
          <w:sz w:val="20"/>
          <w:szCs w:val="20"/>
        </w:rPr>
        <w:lastRenderedPageBreak/>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 incorporando propuestas y estrategias de desarrollo con perspectiva de género.</w:t>
      </w:r>
    </w:p>
    <w:p w:rsidR="00666469" w:rsidRPr="00666469" w:rsidRDefault="00666469" w:rsidP="00666469">
      <w:pPr>
        <w:spacing w:line="360" w:lineRule="auto"/>
        <w:jc w:val="both"/>
        <w:rPr>
          <w:sz w:val="20"/>
          <w:szCs w:val="20"/>
        </w:rPr>
      </w:pPr>
    </w:p>
    <w:p w:rsidR="00666469" w:rsidRPr="00666469" w:rsidRDefault="00666469" w:rsidP="00666469">
      <w:pPr>
        <w:spacing w:line="360" w:lineRule="auto"/>
        <w:jc w:val="both"/>
        <w:rPr>
          <w:sz w:val="20"/>
          <w:szCs w:val="20"/>
        </w:rPr>
      </w:pPr>
      <w:r w:rsidRPr="00666469">
        <w:rPr>
          <w:sz w:val="20"/>
          <w:szCs w:val="20"/>
        </w:rPr>
        <w:t>Al mes de agosto de 2019 la tasa de ocupación reflejó una participación del 1.1% al total nacional, representando un incremento de más de 2,367 puestos de trabajo permanentes respecto a diciembre de 2018. Al mes de julio de 2019, se tienen registrados 103,346 trabajadores asegurados en el IMSS, tal y como se muestra en los cuadros siguientes:</w:t>
      </w:r>
    </w:p>
    <w:p w:rsidR="00835F7D" w:rsidRDefault="00835F7D" w:rsidP="00A64D2A">
      <w:pPr>
        <w:spacing w:line="360" w:lineRule="auto"/>
        <w:jc w:val="center"/>
        <w:rPr>
          <w:b/>
          <w:sz w:val="20"/>
          <w:szCs w:val="20"/>
        </w:rPr>
      </w:pPr>
      <w:r>
        <w:rPr>
          <w:noProof/>
          <w:lang w:val="es-MX" w:eastAsia="es-MX"/>
        </w:rPr>
        <w:drawing>
          <wp:inline distT="0" distB="0" distL="0" distR="0" wp14:anchorId="6B2CE25F" wp14:editId="626C05EC">
            <wp:extent cx="5143500" cy="3088640"/>
            <wp:effectExtent l="0" t="0" r="0" b="0"/>
            <wp:docPr id="45" name="Imagen 4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5"/>
                    <a:srcRect l="17517" t="29126" r="18636" b="15856"/>
                    <a:stretch/>
                  </pic:blipFill>
                  <pic:spPr bwMode="auto">
                    <a:xfrm>
                      <a:off x="0" y="0"/>
                      <a:ext cx="5143500" cy="3088640"/>
                    </a:xfrm>
                    <a:prstGeom prst="rect">
                      <a:avLst/>
                    </a:prstGeom>
                    <a:ln>
                      <a:noFill/>
                    </a:ln>
                    <a:extLst>
                      <a:ext uri="{53640926-AAD7-44D8-BBD7-CCE9431645EC}">
                        <a14:shadowObscured xmlns:a14="http://schemas.microsoft.com/office/drawing/2010/main"/>
                      </a:ext>
                    </a:extLst>
                  </pic:spPr>
                </pic:pic>
              </a:graphicData>
            </a:graphic>
          </wp:inline>
        </w:drawing>
      </w:r>
    </w:p>
    <w:p w:rsidR="00835F7D" w:rsidRDefault="00835F7D" w:rsidP="00A64D2A">
      <w:pPr>
        <w:spacing w:line="360" w:lineRule="auto"/>
        <w:jc w:val="center"/>
        <w:rPr>
          <w:b/>
          <w:sz w:val="20"/>
          <w:szCs w:val="20"/>
        </w:rPr>
      </w:pPr>
      <w:r>
        <w:rPr>
          <w:noProof/>
          <w:lang w:val="es-MX" w:eastAsia="es-MX"/>
        </w:rPr>
        <w:lastRenderedPageBreak/>
        <w:drawing>
          <wp:inline distT="0" distB="0" distL="0" distR="0" wp14:anchorId="318735A5" wp14:editId="488B9541">
            <wp:extent cx="5143500" cy="2610485"/>
            <wp:effectExtent l="0" t="0" r="0" b="0"/>
            <wp:docPr id="29" name="Imagen 29"/>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rotWithShape="1">
                    <a:blip r:embed="rId16"/>
                    <a:srcRect l="17655" t="23602" r="18650" b="18628"/>
                    <a:stretch/>
                  </pic:blipFill>
                  <pic:spPr bwMode="auto">
                    <a:xfrm>
                      <a:off x="0" y="0"/>
                      <a:ext cx="5143500" cy="2610485"/>
                    </a:xfrm>
                    <a:prstGeom prst="rect">
                      <a:avLst/>
                    </a:prstGeom>
                    <a:ln>
                      <a:noFill/>
                    </a:ln>
                    <a:extLst>
                      <a:ext uri="{53640926-AAD7-44D8-BBD7-CCE9431645EC}">
                        <a14:shadowObscured xmlns:a14="http://schemas.microsoft.com/office/drawing/2010/main"/>
                      </a:ext>
                    </a:extLst>
                  </pic:spPr>
                </pic:pic>
              </a:graphicData>
            </a:graphic>
          </wp:inline>
        </w:drawing>
      </w:r>
    </w:p>
    <w:p w:rsidR="00835F7D" w:rsidRDefault="00835F7D" w:rsidP="00835F7D">
      <w:pPr>
        <w:spacing w:line="360" w:lineRule="auto"/>
        <w:jc w:val="both"/>
        <w:rPr>
          <w:sz w:val="20"/>
          <w:szCs w:val="20"/>
        </w:rPr>
      </w:pPr>
      <w:r>
        <w:rPr>
          <w:sz w:val="20"/>
          <w:szCs w:val="20"/>
        </w:rPr>
        <w:t>De acuerdo al Directorio Estadístico Nacional de Unidades Económicas, Tlaxcala cuenta con 73,274 Unidades Económicas, en los rubros siguientes:</w:t>
      </w:r>
    </w:p>
    <w:p w:rsidR="00835F7D" w:rsidRDefault="00835F7D" w:rsidP="00835F7D">
      <w:pPr>
        <w:spacing w:line="360" w:lineRule="auto"/>
        <w:jc w:val="center"/>
        <w:rPr>
          <w:sz w:val="20"/>
          <w:szCs w:val="20"/>
        </w:rPr>
      </w:pPr>
      <w:r>
        <w:rPr>
          <w:noProof/>
          <w:lang w:val="es-MX" w:eastAsia="es-MX"/>
        </w:rPr>
        <w:drawing>
          <wp:inline distT="0" distB="0" distL="0" distR="0" wp14:anchorId="7942E83C" wp14:editId="677A4C29">
            <wp:extent cx="2581910" cy="2684145"/>
            <wp:effectExtent l="0" t="0" r="8890" b="1905"/>
            <wp:docPr id="38" name="Imagen 38"/>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a:srcRect l="1675" t="39716" r="71461" b="14451"/>
                    <a:stretch/>
                  </pic:blipFill>
                  <pic:spPr bwMode="auto">
                    <a:xfrm>
                      <a:off x="0" y="0"/>
                      <a:ext cx="2600064" cy="2703018"/>
                    </a:xfrm>
                    <a:prstGeom prst="rect">
                      <a:avLst/>
                    </a:prstGeom>
                    <a:ln>
                      <a:noFill/>
                    </a:ln>
                    <a:extLst>
                      <a:ext uri="{53640926-AAD7-44D8-BBD7-CCE9431645EC}">
                        <a14:shadowObscured xmlns:a14="http://schemas.microsoft.com/office/drawing/2010/main"/>
                      </a:ext>
                    </a:extLst>
                  </pic:spPr>
                </pic:pic>
              </a:graphicData>
            </a:graphic>
          </wp:inline>
        </w:drawing>
      </w:r>
    </w:p>
    <w:p w:rsidR="00835F7D" w:rsidRPr="00835F7D" w:rsidRDefault="00835F7D" w:rsidP="00835F7D">
      <w:pPr>
        <w:spacing w:line="360" w:lineRule="auto"/>
        <w:ind w:left="708" w:firstLine="708"/>
        <w:rPr>
          <w:sz w:val="12"/>
          <w:szCs w:val="12"/>
        </w:rPr>
      </w:pPr>
      <w:r>
        <w:rPr>
          <w:b/>
          <w:sz w:val="12"/>
          <w:szCs w:val="12"/>
        </w:rPr>
        <w:t xml:space="preserve">                        </w:t>
      </w:r>
      <w:r w:rsidRPr="00835F7D">
        <w:rPr>
          <w:b/>
          <w:sz w:val="12"/>
          <w:szCs w:val="12"/>
        </w:rPr>
        <w:t>FUENTE:</w:t>
      </w:r>
      <w:r w:rsidRPr="00835F7D">
        <w:rPr>
          <w:sz w:val="12"/>
          <w:szCs w:val="12"/>
        </w:rPr>
        <w:t xml:space="preserve"> INEGI. DENUE. Agosto 2019.</w:t>
      </w:r>
    </w:p>
    <w:p w:rsidR="00666469" w:rsidRPr="00666469" w:rsidRDefault="00666469" w:rsidP="00666469">
      <w:pPr>
        <w:spacing w:line="360" w:lineRule="auto"/>
        <w:jc w:val="both"/>
        <w:rPr>
          <w:sz w:val="20"/>
          <w:szCs w:val="20"/>
        </w:rPr>
      </w:pPr>
      <w:r w:rsidRPr="00666469">
        <w:rPr>
          <w:sz w:val="20"/>
          <w:szCs w:val="20"/>
        </w:rPr>
        <w:lastRenderedPageBreak/>
        <w:t>Lo anterior, representa el 2% del total nacional. Al segundo trimestre de 2019 la Población Económicamente Activa (PEA) ascendió a 618,451 personas, representando el 63% de la población en edad de trabajar. Del total de la PEA, el 96% está ocupada y el 4% se encuentra desocupada.</w:t>
      </w:r>
    </w:p>
    <w:p w:rsidR="00835F7D" w:rsidRDefault="00835F7D" w:rsidP="00835F7D">
      <w:pPr>
        <w:spacing w:line="360" w:lineRule="auto"/>
        <w:jc w:val="center"/>
        <w:rPr>
          <w:sz w:val="20"/>
          <w:szCs w:val="20"/>
        </w:rPr>
      </w:pPr>
      <w:r>
        <w:rPr>
          <w:noProof/>
          <w:lang w:val="es-MX" w:eastAsia="es-MX"/>
        </w:rPr>
        <w:drawing>
          <wp:inline distT="0" distB="0" distL="0" distR="0" wp14:anchorId="34CE78D6" wp14:editId="11474599">
            <wp:extent cx="5143500" cy="3778885"/>
            <wp:effectExtent l="0" t="0" r="0" b="0"/>
            <wp:docPr id="34" name="Imagen 34"/>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rotWithShape="1">
                    <a:blip r:embed="rId18"/>
                    <a:srcRect l="25296" t="26615" r="26252" b="10093"/>
                    <a:stretch/>
                  </pic:blipFill>
                  <pic:spPr bwMode="auto">
                    <a:xfrm>
                      <a:off x="0" y="0"/>
                      <a:ext cx="5143500" cy="3778885"/>
                    </a:xfrm>
                    <a:prstGeom prst="rect">
                      <a:avLst/>
                    </a:prstGeom>
                    <a:ln>
                      <a:noFill/>
                    </a:ln>
                    <a:extLst>
                      <a:ext uri="{53640926-AAD7-44D8-BBD7-CCE9431645EC}">
                        <a14:shadowObscured xmlns:a14="http://schemas.microsoft.com/office/drawing/2010/main"/>
                      </a:ext>
                    </a:extLst>
                  </pic:spPr>
                </pic:pic>
              </a:graphicData>
            </a:graphic>
          </wp:inline>
        </w:drawing>
      </w:r>
    </w:p>
    <w:p w:rsidR="00666469" w:rsidRPr="00666469" w:rsidRDefault="00666469" w:rsidP="00666469">
      <w:pPr>
        <w:spacing w:line="360" w:lineRule="auto"/>
        <w:jc w:val="both"/>
        <w:rPr>
          <w:sz w:val="20"/>
          <w:szCs w:val="20"/>
        </w:rPr>
      </w:pPr>
      <w:r w:rsidRPr="00666469">
        <w:rPr>
          <w:sz w:val="20"/>
          <w:szCs w:val="20"/>
        </w:rPr>
        <w:t xml:space="preserve">Con plena conciencia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w:t>
      </w:r>
      <w:r w:rsidRPr="00666469">
        <w:rPr>
          <w:sz w:val="20"/>
          <w:szCs w:val="20"/>
        </w:rPr>
        <w:lastRenderedPageBreak/>
        <w:t>internacional, dado que en el marco de una economía globalizada se presentan mayores complejidades, por lo que es indispensable identificar las oportunidades y aprovecharlas con eficacia.</w:t>
      </w:r>
    </w:p>
    <w:p w:rsidR="00666469" w:rsidRPr="00666469" w:rsidRDefault="00666469" w:rsidP="00666469">
      <w:pPr>
        <w:spacing w:line="360" w:lineRule="auto"/>
        <w:jc w:val="both"/>
        <w:rPr>
          <w:sz w:val="20"/>
          <w:szCs w:val="20"/>
        </w:rPr>
      </w:pPr>
    </w:p>
    <w:p w:rsidR="00666469" w:rsidRPr="00666469" w:rsidRDefault="00666469" w:rsidP="00666469">
      <w:pPr>
        <w:spacing w:line="360" w:lineRule="auto"/>
        <w:jc w:val="both"/>
        <w:rPr>
          <w:sz w:val="20"/>
          <w:szCs w:val="20"/>
        </w:rPr>
      </w:pPr>
      <w:r w:rsidRPr="00666469">
        <w:rPr>
          <w:sz w:val="20"/>
          <w:szCs w:val="20"/>
        </w:rPr>
        <w:t>Al primer trimestre de 2019, la Inversión Extranjera Directa Acumulada del año 2011 al mes de marzo de 2019 en el Estado de Tlaxcala fue de 1,229.6 millones de dólares, lo que representó un aporte del 1.0 % al total nacional, instalándose empresas de diversas nacionalidades, tal y como se observa en el cuadro comparativo siguiente:</w:t>
      </w:r>
    </w:p>
    <w:p w:rsidR="00835F7D" w:rsidRDefault="00835F7D" w:rsidP="00A64D2A">
      <w:pPr>
        <w:spacing w:line="360" w:lineRule="auto"/>
        <w:jc w:val="center"/>
        <w:rPr>
          <w:b/>
          <w:sz w:val="20"/>
          <w:szCs w:val="20"/>
        </w:rPr>
      </w:pPr>
      <w:r>
        <w:rPr>
          <w:noProof/>
          <w:lang w:val="es-MX" w:eastAsia="es-MX"/>
        </w:rPr>
        <w:drawing>
          <wp:inline distT="0" distB="0" distL="0" distR="0" wp14:anchorId="29B24B55" wp14:editId="5720074B">
            <wp:extent cx="5143500" cy="3330575"/>
            <wp:effectExtent l="0" t="0" r="0" b="3175"/>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3500" cy="3330575"/>
                    </a:xfrm>
                    <a:prstGeom prst="rect">
                      <a:avLst/>
                    </a:prstGeom>
                    <a:noFill/>
                    <a:ln>
                      <a:noFill/>
                    </a:ln>
                  </pic:spPr>
                </pic:pic>
              </a:graphicData>
            </a:graphic>
          </wp:inline>
        </w:drawing>
      </w:r>
    </w:p>
    <w:p w:rsidR="00666469" w:rsidRPr="00666469" w:rsidRDefault="00666469" w:rsidP="00666469">
      <w:pPr>
        <w:spacing w:line="360" w:lineRule="auto"/>
        <w:jc w:val="both"/>
        <w:rPr>
          <w:sz w:val="20"/>
          <w:szCs w:val="20"/>
        </w:rPr>
      </w:pPr>
      <w:r w:rsidRPr="00666469">
        <w:rPr>
          <w:sz w:val="20"/>
          <w:szCs w:val="20"/>
        </w:rPr>
        <w:t xml:space="preserve">El sector turismo en Tlaxcala ha recuperado dinamismo en los últimos años; prueba de esta recuperación es el aumento en el número de turistas que han visitado Tlaxcala, al pasar de 267,718 en 2011, a 456,252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w:t>
      </w:r>
      <w:r w:rsidRPr="00666469">
        <w:rPr>
          <w:sz w:val="20"/>
          <w:szCs w:val="20"/>
        </w:rPr>
        <w:lastRenderedPageBreak/>
        <w:t>el crecimiento reciente del sector aún está por debajo del potencial del Estado. Por ejemplo, la ocupación hotelera todavía es menor al promedio nacional de 56% y al 47% obtenido por el Estado en 2005; además, la estadía de los turistas en Tlaxcala sigue siendo baja la cual en promedio es de aproximadamente 1.4 días, y se ha mantenido así desde 2008.</w:t>
      </w:r>
    </w:p>
    <w:p w:rsidR="00666469" w:rsidRPr="00666469" w:rsidRDefault="00666469" w:rsidP="00666469">
      <w:pPr>
        <w:spacing w:line="360" w:lineRule="auto"/>
        <w:jc w:val="both"/>
        <w:rPr>
          <w:sz w:val="20"/>
          <w:szCs w:val="20"/>
        </w:rPr>
      </w:pPr>
    </w:p>
    <w:p w:rsidR="00666469" w:rsidRPr="00666469" w:rsidRDefault="00666469" w:rsidP="00666469">
      <w:pPr>
        <w:spacing w:line="360" w:lineRule="auto"/>
        <w:jc w:val="both"/>
        <w:rPr>
          <w:sz w:val="20"/>
          <w:szCs w:val="20"/>
        </w:rPr>
      </w:pPr>
      <w:r w:rsidRPr="00666469">
        <w:rPr>
          <w:sz w:val="20"/>
          <w:szCs w:val="20"/>
        </w:rPr>
        <w:t>En 2015, el 97% de los turistas fueron mexicanos y el 3% extranjeros. Desde 2008, esta proporción se ha mantenido estable. El incremento en el número de turistas también se manifiesta en un crecimiento de la ocupación hotelera desde 2010. Actualmente, la ocupación es de 39%, todavía por debajo del promedio nacional que corresponde al 56%.</w:t>
      </w:r>
    </w:p>
    <w:p w:rsidR="00666469" w:rsidRPr="00666469" w:rsidRDefault="00666469" w:rsidP="00666469">
      <w:pPr>
        <w:spacing w:line="360" w:lineRule="auto"/>
        <w:jc w:val="center"/>
        <w:rPr>
          <w:sz w:val="20"/>
          <w:szCs w:val="20"/>
        </w:rPr>
      </w:pPr>
    </w:p>
    <w:p w:rsidR="00666469" w:rsidRPr="00666469" w:rsidRDefault="00666469" w:rsidP="00666469">
      <w:pPr>
        <w:spacing w:line="360" w:lineRule="auto"/>
        <w:jc w:val="both"/>
        <w:rPr>
          <w:sz w:val="20"/>
          <w:szCs w:val="20"/>
        </w:rPr>
      </w:pPr>
      <w:r w:rsidRPr="00666469">
        <w:rPr>
          <w:sz w:val="20"/>
          <w:szCs w:val="20"/>
        </w:rPr>
        <w:t>Entre los años 2013 y 2016, los establecimientos que obtuvieron la certificación de Punto Limpio² ascienden a 141. Por número de certificaciones obtenidas, Tlaxcala obtuvo el lugar 15 del país. Además, 92 establecimientos recibieron la certificación M</w:t>
      </w:r>
      <w:r w:rsidRPr="00666469">
        <w:rPr>
          <w:sz w:val="20"/>
          <w:szCs w:val="20"/>
          <w:vertAlign w:val="superscript"/>
        </w:rPr>
        <w:t>3</w:t>
      </w:r>
      <w:r w:rsidRPr="00666469">
        <w:rPr>
          <w:sz w:val="20"/>
          <w:szCs w:val="20"/>
        </w:rPr>
        <w:t xml:space="preserve"> y 59 el distintivo H</w:t>
      </w:r>
      <w:r w:rsidRPr="00666469">
        <w:rPr>
          <w:sz w:val="20"/>
          <w:szCs w:val="20"/>
          <w:vertAlign w:val="superscript"/>
        </w:rPr>
        <w:t>4</w:t>
      </w:r>
      <w:r w:rsidRPr="00666469">
        <w:rPr>
          <w:sz w:val="20"/>
          <w:szCs w:val="20"/>
        </w:rPr>
        <w:t>.</w:t>
      </w:r>
    </w:p>
    <w:p w:rsidR="00666469" w:rsidRPr="00666469" w:rsidRDefault="00666469" w:rsidP="00666469">
      <w:pPr>
        <w:spacing w:line="360" w:lineRule="auto"/>
        <w:jc w:val="both"/>
        <w:rPr>
          <w:sz w:val="20"/>
          <w:szCs w:val="20"/>
        </w:rPr>
      </w:pPr>
    </w:p>
    <w:p w:rsidR="00BF0B7E" w:rsidRDefault="00666469" w:rsidP="00666469">
      <w:pPr>
        <w:spacing w:line="360" w:lineRule="auto"/>
        <w:jc w:val="both"/>
        <w:rPr>
          <w:b/>
          <w:sz w:val="20"/>
          <w:szCs w:val="20"/>
        </w:rPr>
      </w:pPr>
      <w:r w:rsidRPr="00666469">
        <w:rPr>
          <w:sz w:val="20"/>
          <w:szCs w:val="20"/>
        </w:rPr>
        <w:t>El Estado de Tlaxcala se encuentra entre las 10 Entidades mejor calificadas en el Índice de Información Presupuestal Estatal, elaborado por el Instituto Mexicano para la Competitividad, A.C., reafirmándose el compromiso de esta administración con la transparencia presupuestal, la rendición de cuentas y el manejo responsable de las finanzas del Estado</w:t>
      </w:r>
      <w:r>
        <w:rPr>
          <w:rFonts w:ascii="Arial" w:hAnsi="Arial" w:cs="Arial"/>
        </w:rPr>
        <w:t>.</w:t>
      </w:r>
    </w:p>
    <w:p w:rsidR="00835F7D" w:rsidRDefault="00835F7D" w:rsidP="00A64D2A">
      <w:pPr>
        <w:spacing w:line="360" w:lineRule="auto"/>
        <w:jc w:val="center"/>
        <w:rPr>
          <w:b/>
          <w:sz w:val="20"/>
          <w:szCs w:val="20"/>
        </w:rPr>
      </w:pPr>
      <w:r>
        <w:rPr>
          <w:noProof/>
          <w:lang w:val="es-MX" w:eastAsia="es-MX"/>
        </w:rPr>
        <mc:AlternateContent>
          <mc:Choice Requires="wps">
            <w:drawing>
              <wp:anchor distT="0" distB="0" distL="114300" distR="114300" simplePos="0" relativeHeight="251663360" behindDoc="0" locked="0" layoutInCell="1" allowOverlap="1" wp14:anchorId="473FBFEA" wp14:editId="1BAEC081">
                <wp:simplePos x="0" y="0"/>
                <wp:positionH relativeFrom="column">
                  <wp:posOffset>438912</wp:posOffset>
                </wp:positionH>
                <wp:positionV relativeFrom="paragraph">
                  <wp:posOffset>718413</wp:posOffset>
                </wp:positionV>
                <wp:extent cx="128270" cy="47625"/>
                <wp:effectExtent l="19050" t="38100" r="62230" b="66675"/>
                <wp:wrapNone/>
                <wp:docPr id="2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4762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anchor>
            </w:drawing>
          </mc:Choice>
          <mc:Fallback>
            <w:pict>
              <v:shape w14:anchorId="6690ECE8" id="AutoShape 86" o:spid="_x0000_s1026" type="#_x0000_t13" style="position:absolute;margin-left:34.55pt;margin-top:56.55pt;width:10.1pt;height:3.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" adj="12838" fillcolor="red" strokecolor="red" strokeweight="3pt">
                <v:shadow on="t" color="#823b0b" opacity=".5" offset="1pt"/>
              </v:shape>
            </w:pict>
          </mc:Fallback>
        </mc:AlternateContent>
      </w:r>
      <w:r>
        <w:rPr>
          <w:noProof/>
          <w:lang w:val="es-MX" w:eastAsia="es-MX"/>
        </w:rPr>
        <w:drawing>
          <wp:inline distT="0" distB="0" distL="0" distR="0" wp14:anchorId="6E9D61CF" wp14:editId="0FA085C3">
            <wp:extent cx="4206240" cy="2004365"/>
            <wp:effectExtent l="0" t="0" r="3810" b="0"/>
            <wp:docPr id="21" name="Imagen 2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rotWithShape="1">
                    <a:blip r:embed="rId20">
                      <a:clrChange>
                        <a:clrFrom>
                          <a:srgbClr val="EDEDED"/>
                        </a:clrFrom>
                        <a:clrTo>
                          <a:srgbClr val="EDEDED">
                            <a:alpha val="0"/>
                          </a:srgbClr>
                        </a:clrTo>
                      </a:clrChange>
                    </a:blip>
                    <a:srcRect l="9323" t="16070" r="10727" b="9971"/>
                    <a:stretch/>
                  </pic:blipFill>
                  <pic:spPr bwMode="auto">
                    <a:xfrm>
                      <a:off x="0" y="0"/>
                      <a:ext cx="4212251" cy="2007229"/>
                    </a:xfrm>
                    <a:prstGeom prst="rect">
                      <a:avLst/>
                    </a:prstGeom>
                    <a:ln>
                      <a:noFill/>
                    </a:ln>
                    <a:extLst>
                      <a:ext uri="{53640926-AAD7-44D8-BBD7-CCE9431645EC}">
                        <a14:shadowObscured xmlns:a14="http://schemas.microsoft.com/office/drawing/2010/main"/>
                      </a:ext>
                    </a:extLst>
                  </pic:spPr>
                </pic:pic>
              </a:graphicData>
            </a:graphic>
          </wp:inline>
        </w:drawing>
      </w:r>
    </w:p>
    <w:p w:rsidR="00835F7D" w:rsidRDefault="00835F7D" w:rsidP="00835F7D">
      <w:pPr>
        <w:spacing w:line="360" w:lineRule="auto"/>
        <w:jc w:val="both"/>
        <w:rPr>
          <w:sz w:val="20"/>
          <w:szCs w:val="20"/>
        </w:rPr>
      </w:pPr>
    </w:p>
    <w:p w:rsidR="00835F7D" w:rsidRDefault="00835F7D" w:rsidP="00835F7D">
      <w:pPr>
        <w:spacing w:line="360" w:lineRule="auto"/>
        <w:jc w:val="center"/>
        <w:rPr>
          <w:b/>
          <w:sz w:val="20"/>
          <w:szCs w:val="20"/>
        </w:rPr>
      </w:pPr>
      <w:r>
        <w:rPr>
          <w:noProof/>
          <w:sz w:val="20"/>
          <w:szCs w:val="20"/>
          <w:lang w:val="es-MX" w:eastAsia="es-MX"/>
        </w:rPr>
        <w:drawing>
          <wp:inline distT="0" distB="0" distL="0" distR="0">
            <wp:extent cx="4440555" cy="194564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1">
                      <a:extLst>
                        <a:ext uri="{28A0092B-C50C-407E-A947-70E740481C1C}">
                          <a14:useLocalDpi xmlns:a14="http://schemas.microsoft.com/office/drawing/2010/main" val="0"/>
                        </a:ext>
                      </a:extLst>
                    </a:blip>
                    <a:srcRect l="25011" t="35403" r="24284" b="15617"/>
                    <a:stretch>
                      <a:fillRect/>
                    </a:stretch>
                  </pic:blipFill>
                  <pic:spPr bwMode="auto">
                    <a:xfrm>
                      <a:off x="0" y="0"/>
                      <a:ext cx="4440555" cy="1945640"/>
                    </a:xfrm>
                    <a:prstGeom prst="rect">
                      <a:avLst/>
                    </a:prstGeom>
                    <a:noFill/>
                    <a:ln>
                      <a:noFill/>
                    </a:ln>
                  </pic:spPr>
                </pic:pic>
              </a:graphicData>
            </a:graphic>
          </wp:inline>
        </w:drawing>
      </w:r>
      <w:r>
        <w:rPr>
          <w:noProof/>
          <w:sz w:val="20"/>
          <w:szCs w:val="20"/>
          <w:lang w:val="es-MX" w:eastAsia="es-MX"/>
        </w:rPr>
        <w:drawing>
          <wp:inline distT="0" distB="0" distL="0" distR="0">
            <wp:extent cx="4667250" cy="192405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2" cstate="print">
                      <a:extLst>
                        <a:ext uri="{28A0092B-C50C-407E-A947-70E740481C1C}">
                          <a14:useLocalDpi xmlns:a14="http://schemas.microsoft.com/office/drawing/2010/main" val="0"/>
                        </a:ext>
                      </a:extLst>
                    </a:blip>
                    <a:srcRect l="12323" t="36981" r="11626" b="7834"/>
                    <a:stretch>
                      <a:fillRect/>
                    </a:stretch>
                  </pic:blipFill>
                  <pic:spPr bwMode="auto">
                    <a:xfrm>
                      <a:off x="0" y="0"/>
                      <a:ext cx="4667250" cy="1924050"/>
                    </a:xfrm>
                    <a:prstGeom prst="rect">
                      <a:avLst/>
                    </a:prstGeom>
                    <a:noFill/>
                    <a:ln>
                      <a:noFill/>
                    </a:ln>
                  </pic:spPr>
                </pic:pic>
              </a:graphicData>
            </a:graphic>
          </wp:inline>
        </w:drawing>
      </w:r>
    </w:p>
    <w:p w:rsidR="00835F7D" w:rsidRDefault="00835F7D" w:rsidP="00A64D2A">
      <w:pPr>
        <w:spacing w:line="360" w:lineRule="auto"/>
        <w:jc w:val="center"/>
        <w:rPr>
          <w:b/>
          <w:sz w:val="20"/>
          <w:szCs w:val="20"/>
        </w:rPr>
      </w:pPr>
    </w:p>
    <w:p w:rsidR="00666469" w:rsidRPr="00666469" w:rsidRDefault="00666469" w:rsidP="00666469">
      <w:pPr>
        <w:spacing w:line="360" w:lineRule="auto"/>
        <w:jc w:val="both"/>
        <w:rPr>
          <w:sz w:val="20"/>
          <w:szCs w:val="20"/>
        </w:rPr>
      </w:pPr>
      <w:r w:rsidRPr="00666469">
        <w:rPr>
          <w:sz w:val="20"/>
          <w:szCs w:val="20"/>
        </w:rPr>
        <w:t>Por otra parte, observando las disposiciones establecidas en la Ley de Disciplina Financiera de las Entidades Federativas y los Municipios, las estimaciones de ingresos que se prevén en la presente Iniciativa, consideran proyecciones congruentes a los Criterios Generales de Política Económica para la Iniciativa de Ley de Ingresos y el Proyecto de Presupuesto de Egresos de la Federación correspondientes al Ejercicio Fiscal 2020.</w:t>
      </w:r>
    </w:p>
    <w:p w:rsidR="00666469" w:rsidRPr="00666469" w:rsidRDefault="00666469" w:rsidP="00666469">
      <w:pPr>
        <w:spacing w:line="360" w:lineRule="auto"/>
        <w:jc w:val="both"/>
        <w:rPr>
          <w:sz w:val="20"/>
          <w:szCs w:val="20"/>
        </w:rPr>
      </w:pPr>
    </w:p>
    <w:p w:rsidR="00666469" w:rsidRPr="00666469" w:rsidRDefault="00666469" w:rsidP="00666469">
      <w:pPr>
        <w:shd w:val="clear" w:color="auto" w:fill="FFFFFF" w:themeFill="background1"/>
        <w:spacing w:line="360" w:lineRule="auto"/>
        <w:jc w:val="both"/>
        <w:rPr>
          <w:sz w:val="20"/>
          <w:szCs w:val="20"/>
        </w:rPr>
      </w:pPr>
      <w:r w:rsidRPr="00666469">
        <w:rPr>
          <w:sz w:val="20"/>
          <w:szCs w:val="20"/>
        </w:rPr>
        <w:lastRenderedPageBreak/>
        <w:t>En materia de ingresos provenientes de fuentes locales y derivado de la tendencia observada en la recaudación de los últimos cinco ejercicios fiscales, se estima que para el ejercicio fiscal de 2020, exista una variación del 16.94% con relación a la Ley de Ingresos aprobada para el ejercicio fiscal de 2019, tal como se muestra en el gráfico siguiente:</w:t>
      </w:r>
    </w:p>
    <w:p w:rsidR="00835F7D" w:rsidRDefault="00835F7D" w:rsidP="00835F7D">
      <w:pPr>
        <w:shd w:val="clear" w:color="auto" w:fill="FFFFFF" w:themeFill="background1"/>
        <w:spacing w:line="360" w:lineRule="auto"/>
        <w:jc w:val="center"/>
        <w:rPr>
          <w:sz w:val="20"/>
          <w:szCs w:val="20"/>
        </w:rPr>
      </w:pPr>
      <w:r>
        <w:rPr>
          <w:noProof/>
          <w:lang w:val="es-MX" w:eastAsia="es-MX"/>
        </w:rPr>
        <w:drawing>
          <wp:inline distT="0" distB="0" distL="0" distR="0" wp14:anchorId="6AB1D5DD" wp14:editId="4CAEC1AB">
            <wp:extent cx="3736340" cy="2228215"/>
            <wp:effectExtent l="0" t="0" r="0" b="635"/>
            <wp:docPr id="50" name="Imagen 5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6340" cy="2228215"/>
                    </a:xfrm>
                    <a:prstGeom prst="rect">
                      <a:avLst/>
                    </a:prstGeom>
                    <a:noFill/>
                  </pic:spPr>
                </pic:pic>
              </a:graphicData>
            </a:graphic>
          </wp:inline>
        </w:drawing>
      </w:r>
    </w:p>
    <w:p w:rsidR="00835F7D" w:rsidRDefault="00835F7D" w:rsidP="00A64D2A">
      <w:pPr>
        <w:spacing w:line="360" w:lineRule="auto"/>
        <w:jc w:val="center"/>
        <w:rPr>
          <w:b/>
          <w:sz w:val="20"/>
          <w:szCs w:val="20"/>
        </w:rPr>
      </w:pPr>
    </w:p>
    <w:p w:rsidR="00666469" w:rsidRPr="00666469" w:rsidRDefault="00666469" w:rsidP="00666469">
      <w:pPr>
        <w:spacing w:line="360" w:lineRule="auto"/>
        <w:jc w:val="both"/>
        <w:rPr>
          <w:sz w:val="20"/>
          <w:szCs w:val="20"/>
        </w:rPr>
      </w:pPr>
      <w:r w:rsidRPr="00666469">
        <w:rPr>
          <w:sz w:val="20"/>
          <w:szCs w:val="20"/>
        </w:rPr>
        <w:t>Por otra parte, se incluyen los ingresos que se esperan captar por parte de los Organismos Públicos Descentralizados, por la prestación de servicios inherentes a sus funciones, mismos que serán recaudados a través de la Secretaría de Planeación y Finanzas.</w:t>
      </w:r>
    </w:p>
    <w:p w:rsidR="00666469" w:rsidRPr="00666469" w:rsidRDefault="00666469" w:rsidP="00666469">
      <w:pPr>
        <w:spacing w:line="360" w:lineRule="auto"/>
        <w:jc w:val="both"/>
        <w:rPr>
          <w:sz w:val="20"/>
          <w:szCs w:val="20"/>
        </w:rPr>
      </w:pPr>
    </w:p>
    <w:p w:rsidR="00666469" w:rsidRPr="00666469" w:rsidRDefault="00666469" w:rsidP="00666469">
      <w:pPr>
        <w:spacing w:line="360" w:lineRule="auto"/>
        <w:jc w:val="both"/>
        <w:rPr>
          <w:sz w:val="20"/>
          <w:szCs w:val="20"/>
        </w:rPr>
      </w:pPr>
      <w:r w:rsidRPr="00666469">
        <w:rPr>
          <w:sz w:val="20"/>
          <w:szCs w:val="20"/>
        </w:rPr>
        <w:t xml:space="preserve">En lo que corresponde a participaciones federales referenciadas a la Recaudación Federal Participable en el presente ejercicio (al mes de septiembre de 2019), la distribución por Entidad Federativa, muestra un decremento promedio de </w:t>
      </w:r>
      <w:r w:rsidRPr="00666469">
        <w:rPr>
          <w:color w:val="FF0000"/>
          <w:sz w:val="20"/>
          <w:szCs w:val="20"/>
        </w:rPr>
        <w:t xml:space="preserve">-3.09%. </w:t>
      </w:r>
      <w:r w:rsidRPr="00666469">
        <w:rPr>
          <w:sz w:val="20"/>
          <w:szCs w:val="20"/>
        </w:rPr>
        <w:t xml:space="preserve">Tlaxcala se sitúa con un </w:t>
      </w:r>
      <w:r w:rsidRPr="00666469">
        <w:rPr>
          <w:color w:val="FF0000"/>
          <w:sz w:val="20"/>
          <w:szCs w:val="20"/>
        </w:rPr>
        <w:t xml:space="preserve">-3.51%, </w:t>
      </w:r>
      <w:r w:rsidRPr="00666469">
        <w:rPr>
          <w:sz w:val="20"/>
          <w:szCs w:val="20"/>
        </w:rPr>
        <w:t xml:space="preserve">esto derivado del comportamiento económico tanto nacional como internacional, además por la eficiencia en la recaudación de los impuestos y derechos locales (incluye predial y agua municipal) en los periodos 2017-2018 tal como se aprecia en el gráfico siguiente: </w:t>
      </w:r>
    </w:p>
    <w:p w:rsidR="00835F7D" w:rsidRDefault="00835F7D" w:rsidP="00835F7D">
      <w:pPr>
        <w:spacing w:line="360" w:lineRule="auto"/>
        <w:jc w:val="both"/>
        <w:rPr>
          <w:sz w:val="20"/>
          <w:szCs w:val="20"/>
        </w:rPr>
      </w:pPr>
      <w:r>
        <w:rPr>
          <w:noProof/>
          <w:lang w:val="es-MX" w:eastAsia="es-MX"/>
        </w:rPr>
        <w:lastRenderedPageBreak/>
        <w:drawing>
          <wp:inline distT="0" distB="0" distL="0" distR="0" wp14:anchorId="7834AD5C" wp14:editId="472C360A">
            <wp:extent cx="4718304" cy="2238452"/>
            <wp:effectExtent l="0" t="0" r="6350" b="0"/>
            <wp:docPr id="51" name="Imagen 5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rotWithShape="1">
                    <a:blip r:embed="rId24" cstate="print">
                      <a:extLst>
                        <a:ext uri="{28A0092B-C50C-407E-A947-70E740481C1C}">
                          <a14:useLocalDpi xmlns:a14="http://schemas.microsoft.com/office/drawing/2010/main" val="0"/>
                        </a:ext>
                      </a:extLst>
                    </a:blip>
                    <a:srcRect t="2950" b="11498"/>
                    <a:stretch/>
                  </pic:blipFill>
                  <pic:spPr bwMode="auto">
                    <a:xfrm>
                      <a:off x="0" y="0"/>
                      <a:ext cx="4746634" cy="2251892"/>
                    </a:xfrm>
                    <a:prstGeom prst="rect">
                      <a:avLst/>
                    </a:prstGeom>
                    <a:noFill/>
                    <a:ln>
                      <a:noFill/>
                    </a:ln>
                    <a:extLst>
                      <a:ext uri="{53640926-AAD7-44D8-BBD7-CCE9431645EC}">
                        <a14:shadowObscured xmlns:a14="http://schemas.microsoft.com/office/drawing/2010/main"/>
                      </a:ext>
                    </a:extLst>
                  </pic:spPr>
                </pic:pic>
              </a:graphicData>
            </a:graphic>
          </wp:inline>
        </w:drawing>
      </w:r>
    </w:p>
    <w:p w:rsidR="002160EB" w:rsidRPr="002160EB" w:rsidRDefault="002160EB" w:rsidP="002160EB">
      <w:pPr>
        <w:spacing w:line="360" w:lineRule="auto"/>
        <w:jc w:val="both"/>
        <w:rPr>
          <w:b/>
          <w:sz w:val="12"/>
          <w:szCs w:val="12"/>
        </w:rPr>
      </w:pPr>
      <w:r w:rsidRPr="002160EB">
        <w:rPr>
          <w:b/>
          <w:sz w:val="12"/>
          <w:szCs w:val="12"/>
        </w:rPr>
        <w:t>Fuente: Elaboración propia DCGCH.</w:t>
      </w:r>
    </w:p>
    <w:p w:rsidR="00666469" w:rsidRPr="00666469" w:rsidRDefault="00666469" w:rsidP="00666469">
      <w:pPr>
        <w:spacing w:line="360" w:lineRule="auto"/>
        <w:jc w:val="both"/>
        <w:rPr>
          <w:sz w:val="20"/>
          <w:szCs w:val="20"/>
        </w:rPr>
      </w:pPr>
      <w:r w:rsidRPr="00666469">
        <w:rPr>
          <w:sz w:val="20"/>
          <w:szCs w:val="20"/>
        </w:rPr>
        <w:t>Para el ejercicio fiscal 2020, se prevé una variación del 16.56% en las participaciones federales, respecto de las cifras autorizadas en la Ley de Ingresos del Estado de Tlaxcala para el Ejercicio Fiscal 2019, tal y como se muestra en la gráfica siguiente:</w:t>
      </w:r>
    </w:p>
    <w:p w:rsidR="00835F7D" w:rsidRDefault="002160EB" w:rsidP="00A64D2A">
      <w:pPr>
        <w:spacing w:line="360" w:lineRule="auto"/>
        <w:jc w:val="center"/>
        <w:rPr>
          <w:b/>
          <w:sz w:val="20"/>
          <w:szCs w:val="20"/>
        </w:rPr>
      </w:pPr>
      <w:r>
        <w:rPr>
          <w:noProof/>
          <w:lang w:val="es-MX" w:eastAsia="es-MX"/>
        </w:rPr>
        <w:drawing>
          <wp:inline distT="0" distB="0" distL="0" distR="0" wp14:anchorId="68F41E31" wp14:editId="12A65258">
            <wp:extent cx="5048250" cy="2800350"/>
            <wp:effectExtent l="0" t="0" r="0" b="0"/>
            <wp:docPr id="23" name="Imagen 23"/>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8250" cy="2800350"/>
                    </a:xfrm>
                    <a:prstGeom prst="rect">
                      <a:avLst/>
                    </a:prstGeom>
                    <a:noFill/>
                  </pic:spPr>
                </pic:pic>
              </a:graphicData>
            </a:graphic>
          </wp:inline>
        </w:drawing>
      </w:r>
    </w:p>
    <w:p w:rsidR="002160EB" w:rsidRPr="002160EB" w:rsidRDefault="002160EB" w:rsidP="002160EB">
      <w:pPr>
        <w:spacing w:line="360" w:lineRule="auto"/>
        <w:jc w:val="both"/>
        <w:rPr>
          <w:b/>
          <w:sz w:val="12"/>
          <w:szCs w:val="12"/>
        </w:rPr>
      </w:pPr>
      <w:r w:rsidRPr="002160EB">
        <w:rPr>
          <w:b/>
          <w:sz w:val="12"/>
          <w:szCs w:val="12"/>
        </w:rPr>
        <w:t>Fuente: Elaboración propia DCGCH.</w:t>
      </w:r>
    </w:p>
    <w:p w:rsidR="00835F7D" w:rsidRDefault="00835F7D" w:rsidP="00A64D2A">
      <w:pPr>
        <w:spacing w:line="360" w:lineRule="auto"/>
        <w:jc w:val="center"/>
        <w:rPr>
          <w:b/>
          <w:sz w:val="20"/>
          <w:szCs w:val="20"/>
        </w:rPr>
      </w:pPr>
    </w:p>
    <w:p w:rsidR="002160EB" w:rsidRDefault="002160EB" w:rsidP="002160EB">
      <w:pPr>
        <w:spacing w:line="360" w:lineRule="auto"/>
        <w:jc w:val="both"/>
        <w:rPr>
          <w:sz w:val="20"/>
          <w:szCs w:val="20"/>
        </w:rPr>
      </w:pPr>
      <w:r>
        <w:rPr>
          <w:sz w:val="20"/>
          <w:szCs w:val="20"/>
        </w:rPr>
        <w:t xml:space="preserve">En el caso de las aportaciones federales, se espera un comportamiento a </w:t>
      </w:r>
      <w:proofErr w:type="gramStart"/>
      <w:r>
        <w:rPr>
          <w:sz w:val="20"/>
          <w:szCs w:val="20"/>
        </w:rPr>
        <w:t>la</w:t>
      </w:r>
      <w:proofErr w:type="gramEnd"/>
      <w:r>
        <w:rPr>
          <w:sz w:val="20"/>
          <w:szCs w:val="20"/>
        </w:rPr>
        <w:t xml:space="preserve"> alza, dado que son recursos etiquetados, se estima una variación positiva del 5.92% con relación a las cifras aprobadas en el ejercicio fiscal 2019, como se ejemplifica a continuación: </w:t>
      </w:r>
    </w:p>
    <w:p w:rsidR="002160EB" w:rsidRDefault="002160EB" w:rsidP="002160EB">
      <w:pPr>
        <w:spacing w:line="360" w:lineRule="auto"/>
        <w:jc w:val="both"/>
        <w:rPr>
          <w:sz w:val="20"/>
          <w:szCs w:val="20"/>
        </w:rPr>
      </w:pPr>
      <w:r>
        <w:rPr>
          <w:noProof/>
          <w:lang w:val="es-MX" w:eastAsia="es-MX"/>
        </w:rPr>
        <w:drawing>
          <wp:inline distT="0" distB="0" distL="0" distR="0" wp14:anchorId="7899B435" wp14:editId="0334E54A">
            <wp:extent cx="5003800" cy="2622550"/>
            <wp:effectExtent l="0" t="0" r="6350" b="6350"/>
            <wp:docPr id="52" name="Imagen 52"/>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3800" cy="2622550"/>
                    </a:xfrm>
                    <a:prstGeom prst="rect">
                      <a:avLst/>
                    </a:prstGeom>
                    <a:noFill/>
                  </pic:spPr>
                </pic:pic>
              </a:graphicData>
            </a:graphic>
          </wp:inline>
        </w:drawing>
      </w:r>
    </w:p>
    <w:p w:rsidR="002160EB" w:rsidRPr="002160EB" w:rsidRDefault="002160EB" w:rsidP="002160EB">
      <w:pPr>
        <w:spacing w:line="360" w:lineRule="auto"/>
        <w:jc w:val="both"/>
        <w:rPr>
          <w:b/>
          <w:sz w:val="12"/>
          <w:szCs w:val="12"/>
        </w:rPr>
      </w:pPr>
      <w:r w:rsidRPr="002160EB">
        <w:rPr>
          <w:b/>
          <w:sz w:val="12"/>
          <w:szCs w:val="12"/>
        </w:rPr>
        <w:t>Fuente: Elaboración propia DCGCH.</w:t>
      </w:r>
    </w:p>
    <w:p w:rsidR="002160EB" w:rsidRDefault="002160EB" w:rsidP="002160EB">
      <w:pPr>
        <w:spacing w:line="360" w:lineRule="auto"/>
        <w:jc w:val="both"/>
        <w:rPr>
          <w:sz w:val="20"/>
          <w:szCs w:val="20"/>
        </w:rPr>
      </w:pPr>
    </w:p>
    <w:p w:rsidR="00C66F30" w:rsidRPr="00C66F30" w:rsidRDefault="00C66F30" w:rsidP="00C66F30">
      <w:pPr>
        <w:spacing w:line="360" w:lineRule="auto"/>
        <w:jc w:val="both"/>
        <w:rPr>
          <w:sz w:val="20"/>
          <w:szCs w:val="20"/>
        </w:rPr>
      </w:pPr>
      <w:r w:rsidRPr="00C66F30">
        <w:rPr>
          <w:sz w:val="20"/>
          <w:szCs w:val="20"/>
        </w:rPr>
        <w:t xml:space="preserve">Para el ejercicio fiscal 2020, se prevé obtener un total de ingresos para el Estado de Tlaxcala por </w:t>
      </w:r>
      <w:r w:rsidRPr="00C66F30">
        <w:rPr>
          <w:b/>
          <w:sz w:val="20"/>
          <w:szCs w:val="20"/>
        </w:rPr>
        <w:t>$20</w:t>
      </w:r>
      <w:proofErr w:type="gramStart"/>
      <w:r w:rsidRPr="00C66F30">
        <w:rPr>
          <w:b/>
          <w:sz w:val="20"/>
          <w:szCs w:val="20"/>
        </w:rPr>
        <w:t>,779,041,842.00</w:t>
      </w:r>
      <w:proofErr w:type="gramEnd"/>
      <w:r w:rsidRPr="00C66F30">
        <w:rPr>
          <w:sz w:val="20"/>
          <w:szCs w:val="20"/>
        </w:rPr>
        <w:t xml:space="preserve"> provenientes de fuentes locales, participaciones e incentivos económicos, aportaciones federales, convenios suscritos con el Gobierno Federal y extraordinarios, lo que representa una variación positiva del 11.09 % respecto de las cifras autorizadas en la Ley de Ingresos del Estado de Tlaxcala, para el Ejercicio Fiscal 2019, tal y como se observa en la gráfica siguiente:</w:t>
      </w:r>
    </w:p>
    <w:p w:rsidR="002160EB" w:rsidRDefault="00C66F30" w:rsidP="002160EB">
      <w:pPr>
        <w:spacing w:line="360" w:lineRule="auto"/>
        <w:jc w:val="both"/>
        <w:rPr>
          <w:sz w:val="20"/>
          <w:szCs w:val="20"/>
        </w:rPr>
      </w:pPr>
      <w:r>
        <w:rPr>
          <w:rFonts w:ascii="Arial" w:hAnsi="Arial" w:cs="Arial"/>
          <w:noProof/>
          <w:lang w:val="es-MX" w:eastAsia="es-MX"/>
        </w:rPr>
        <w:lastRenderedPageBreak/>
        <w:drawing>
          <wp:inline distT="0" distB="0" distL="0" distR="0" wp14:anchorId="3155AFED" wp14:editId="3F4AF4D5">
            <wp:extent cx="5143500" cy="2658488"/>
            <wp:effectExtent l="0" t="0" r="0" b="889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0" cy="2658488"/>
                    </a:xfrm>
                    <a:prstGeom prst="rect">
                      <a:avLst/>
                    </a:prstGeom>
                    <a:noFill/>
                  </pic:spPr>
                </pic:pic>
              </a:graphicData>
            </a:graphic>
          </wp:inline>
        </w:drawing>
      </w:r>
    </w:p>
    <w:p w:rsidR="002160EB" w:rsidRDefault="002160EB" w:rsidP="002160EB">
      <w:pPr>
        <w:spacing w:line="360" w:lineRule="auto"/>
        <w:jc w:val="both"/>
        <w:rPr>
          <w:b/>
          <w:sz w:val="12"/>
          <w:szCs w:val="12"/>
        </w:rPr>
      </w:pPr>
      <w:r w:rsidRPr="002160EB">
        <w:rPr>
          <w:b/>
          <w:sz w:val="12"/>
          <w:szCs w:val="12"/>
        </w:rPr>
        <w:t>Fuente: Elaboración propia DCGCH.</w:t>
      </w:r>
    </w:p>
    <w:p w:rsidR="002F621E" w:rsidRDefault="002F621E" w:rsidP="002160EB">
      <w:pPr>
        <w:spacing w:line="360" w:lineRule="auto"/>
        <w:jc w:val="both"/>
        <w:rPr>
          <w:b/>
          <w:sz w:val="12"/>
          <w:szCs w:val="12"/>
        </w:rPr>
      </w:pPr>
    </w:p>
    <w:p w:rsidR="002F621E" w:rsidRPr="002160EB" w:rsidRDefault="002F621E" w:rsidP="002160EB">
      <w:pPr>
        <w:spacing w:line="360" w:lineRule="auto"/>
        <w:jc w:val="both"/>
        <w:rPr>
          <w:b/>
          <w:sz w:val="12"/>
          <w:szCs w:val="12"/>
        </w:rPr>
      </w:pPr>
    </w:p>
    <w:p w:rsidR="002160EB" w:rsidRDefault="002160EB" w:rsidP="002160EB">
      <w:pPr>
        <w:spacing w:line="360" w:lineRule="auto"/>
        <w:jc w:val="both"/>
        <w:rPr>
          <w:b/>
          <w:bCs/>
          <w:sz w:val="20"/>
          <w:szCs w:val="20"/>
        </w:rPr>
      </w:pPr>
      <w:r>
        <w:rPr>
          <w:b/>
          <w:bCs/>
          <w:sz w:val="20"/>
          <w:szCs w:val="20"/>
        </w:rPr>
        <w:t>PERSPECTIVAS ECONÓMICAS Y FISCALES DEL ESTADO DE TLAXCALA 2020-2025.</w:t>
      </w:r>
    </w:p>
    <w:p w:rsidR="002160EB" w:rsidRDefault="002160EB" w:rsidP="002160EB">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El Paquete Económico Estatal para el ejercicio fiscal 2020 puesto a consideración del Congreso del Estado, refleja el compromiso del Ejecutivo de manejar con responsabilidad las finanzas públicas, promoviendo la estabilidad económica.</w:t>
      </w:r>
    </w:p>
    <w:p w:rsidR="002F621E" w:rsidRPr="002F621E" w:rsidRDefault="002F621E" w:rsidP="002F621E">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El compromiso por la transparencia y rendición de cuentas con la ciudadanía de esta administración, se refuerza con la observancia a las disposiciones del Sistema Estatal Anticorrupción, aplicable al Estado y los municipios, el cual fija las bases para la fiscalización y control de los recursos públicos, involucrando activamente a la sociedad civil al integrar el Comité de Participación Ciudadana.</w:t>
      </w:r>
    </w:p>
    <w:p w:rsidR="002F621E" w:rsidRPr="002F621E" w:rsidRDefault="002F621E" w:rsidP="002F621E">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 xml:space="preserve">Por lo anterior, y con la finalidad de seguir en la trayectoria de consolidación fiscal, el Gobierno del Estado propone la aplicación de acciones que permitan generar ahorros en el gasto público, tales como: </w:t>
      </w:r>
      <w:r w:rsidRPr="002F621E">
        <w:rPr>
          <w:sz w:val="20"/>
          <w:szCs w:val="20"/>
        </w:rPr>
        <w:lastRenderedPageBreak/>
        <w:t>la contención del gasto en servicios personales, la reducción en gastos comerciales y el uso adecuado de materiales y suministros, entre otros.</w:t>
      </w:r>
    </w:p>
    <w:p w:rsidR="002F621E" w:rsidRPr="002F621E" w:rsidRDefault="002F621E" w:rsidP="002F621E">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Durante el periodo 2021-2025, se espera que el crecimiento de la actividad económica global sea menor que el esperado para 2018 y 2019 de 3.7%, en ambos años. En particular, para Estados Unidos los analistas encuestados por Blue Chip (edición de agosto de 2019) pronostican que durante el periodo 2021-2025 el PIB de ese país se expanda a un ritmo anual promedio de 1.9%, menor que el 2.4% para 2019 y ligeramente superior al 1.8% previsto para 2020. De acuerdo con la misma encuesta, para la producción industrial de Estados Unidos se prevé un crecimiento anual promedio de 2.0%, superior que los de 1.2 y 1.1%, esperados para 2019 y 2020, respectivamente. La estabilización esperada para la economía estadounidense se explica en gran medida, por un desempeño más sólido de su demanda interna y la extinción de conflictos comerciales.</w:t>
      </w:r>
    </w:p>
    <w:p w:rsidR="002F621E" w:rsidRPr="002F621E" w:rsidRDefault="002F621E" w:rsidP="002F621E">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 xml:space="preserve">En congruencia con la evolución esperada para el PIB y la producción industrial de los Estados Unidos, se estima que en el mediano plazo se observará un incremento en el ritmo de crecimiento de la demanda externa de México, que se verá soportada por una mayor competitividad. Por otro lado, el fortalecimiento de las condiciones domésticas en los últimos años permite proyectar un crecimiento continuo del empleo, una mayor disponibilidad de financiamiento y niveles crecientes de inversión, lo que generaría una aceleración gradual en la demanda interna. En contraste, se espera que las exportaciones petroleras se recuperen gradualmente, en la medida que se incremente la plataforma de producción de petróleo. Esta plataforma de producción incluye la plataforma de producción esperada por parte del sector privado. Asimismo, se espera que la demanda interna junto con la demanda externa propicie un entorno favorable para el consumo y la inversión. </w:t>
      </w:r>
    </w:p>
    <w:p w:rsidR="002F621E" w:rsidRPr="002F621E" w:rsidRDefault="002F621E" w:rsidP="002F621E">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 xml:space="preserve">De esta manera, se estima que en el periodo 2021-2025 el PIB de México registre un crecimiento real anual de entre 2.3 y 2.7%. La estimación puntual del crecimiento del PIB para 2021 se ubica en 2.3%, para 2022 en 2.5%, para 2023 en 2.6% y para 2024 y 2025 en 2.7%, cada uno. Cabe señalar que estas estimaciones son congruentes con la expectativa del FMI para el periodo 2021-2024 de un crecimiento </w:t>
      </w:r>
      <w:r w:rsidRPr="002F621E">
        <w:rPr>
          <w:sz w:val="20"/>
          <w:szCs w:val="20"/>
        </w:rPr>
        <w:lastRenderedPageBreak/>
        <w:t>promedio de 2.6% y por encima del pronóstico promedio de los próximos diez años reportado por los analistas encuestados por el Banco de México de 2.0%, de acuerdo con la encuesta publicada el 1 de agosto de 2019.</w:t>
      </w:r>
    </w:p>
    <w:p w:rsidR="002F621E" w:rsidRPr="002F621E" w:rsidRDefault="002F621E" w:rsidP="002F621E">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 xml:space="preserve">Se considera que en el periodo 2021-2025 la inflación se ubicará en la meta establecida por el Banco de México de 3.0%. Se supone una ligera depreciación del tipo de cambio nominal en el horizonte previsto congruente con una trayectoria del tipo de cambio real bilateral peso-dólar constante en el periodo 2021-2025 y tomando en cuenta el comportamiento esperado de mediano plazo para la inflación en los Estados Unidos. </w:t>
      </w:r>
    </w:p>
    <w:p w:rsidR="002F621E" w:rsidRPr="002F621E" w:rsidRDefault="002F621E" w:rsidP="002F621E">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 xml:space="preserve">Se supone una disminución gradual de la tasa de CETES a 28 días, para ubicarla en 6.8% en 2021. Se estima que disminuya a 6.3% en 2022, que se ubique en 6.0% en 2023, en 5.6% en 2024 y 5.3% en 2025. De tal manera que el diferencial entre las tasas de referencia de México y Estados Unidos disminuya de manera paulatina. </w:t>
      </w:r>
    </w:p>
    <w:p w:rsidR="002F621E" w:rsidRPr="002F621E" w:rsidRDefault="002F621E" w:rsidP="002F621E">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Durante el horizonte proyectado, el déficit de la cuenta corriente de la balanza de pagos se ubicaría en un nivel promedio de 1.8% del PIB, que puede considerarse moderado. Por otro lado, se prevé que los ingresos por remesas familiares registren un crecimiento continuo, pero más moderado que el presentado entre 2017 y 2018, de manera consistente con el crecimiento económico que se espera para Estados Unidos.</w:t>
      </w:r>
    </w:p>
    <w:p w:rsidR="002F621E" w:rsidRPr="002F621E" w:rsidRDefault="002F621E" w:rsidP="002F621E">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 xml:space="preserve">Este escenario también incorpora precios promedio de la mezcla mexicana para el periodo 2021-2025 de 52, 52, 50, 49 y 49 dpb, respectivamente, congruentes con la tendencia a la baja en los futuros del precio del WTI y el diferencial del periodo 2010-2018 entre esta referencia internacional y el de la mezcla mexicana. </w:t>
      </w:r>
    </w:p>
    <w:p w:rsidR="002F621E" w:rsidRPr="002F621E" w:rsidRDefault="002F621E" w:rsidP="002F621E">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 xml:space="preserve">El escenario macroeconómico de mediano plazo está sujeto a riesgos que podrían modificar las trayectorias anticipadas. Dentro de los riesgos a la baja destacan: </w:t>
      </w:r>
    </w:p>
    <w:p w:rsidR="002F621E" w:rsidRPr="002F621E" w:rsidRDefault="002F621E" w:rsidP="002F621E">
      <w:pPr>
        <w:spacing w:line="360" w:lineRule="auto"/>
        <w:jc w:val="both"/>
        <w:rPr>
          <w:sz w:val="20"/>
          <w:szCs w:val="20"/>
        </w:rPr>
      </w:pPr>
    </w:p>
    <w:p w:rsidR="002F621E" w:rsidRPr="002F621E" w:rsidRDefault="002F621E" w:rsidP="002F621E">
      <w:pPr>
        <w:pStyle w:val="Prrafodelista"/>
        <w:numPr>
          <w:ilvl w:val="0"/>
          <w:numId w:val="25"/>
        </w:numPr>
        <w:spacing w:line="360" w:lineRule="auto"/>
        <w:jc w:val="both"/>
        <w:rPr>
          <w:sz w:val="20"/>
          <w:szCs w:val="20"/>
        </w:rPr>
      </w:pPr>
      <w:r w:rsidRPr="002F621E">
        <w:rPr>
          <w:sz w:val="20"/>
          <w:szCs w:val="20"/>
        </w:rPr>
        <w:t xml:space="preserve">Que continúen y se profundicen las tensiones comerciales al punto de generar disrupciones en las cadenas globales de producción, afectando el crecimiento global de mediano plazo. </w:t>
      </w:r>
    </w:p>
    <w:p w:rsidR="002F621E" w:rsidRPr="002F621E" w:rsidRDefault="002F621E" w:rsidP="002F621E">
      <w:pPr>
        <w:pStyle w:val="Prrafodelista"/>
        <w:spacing w:line="360" w:lineRule="auto"/>
        <w:ind w:left="720"/>
        <w:jc w:val="both"/>
        <w:rPr>
          <w:sz w:val="20"/>
          <w:szCs w:val="20"/>
        </w:rPr>
      </w:pPr>
    </w:p>
    <w:p w:rsidR="002F621E" w:rsidRPr="002F621E" w:rsidRDefault="002F621E" w:rsidP="002F621E">
      <w:pPr>
        <w:pStyle w:val="Prrafodelista"/>
        <w:numPr>
          <w:ilvl w:val="0"/>
          <w:numId w:val="25"/>
        </w:numPr>
        <w:spacing w:line="360" w:lineRule="auto"/>
        <w:jc w:val="both"/>
        <w:rPr>
          <w:sz w:val="20"/>
          <w:szCs w:val="20"/>
        </w:rPr>
      </w:pPr>
      <w:r w:rsidRPr="002F621E">
        <w:rPr>
          <w:sz w:val="20"/>
          <w:szCs w:val="20"/>
        </w:rPr>
        <w:t>Una profundización de los riesgos geopolíticos que genere menores perspectivas de crecimiento en la economía mundial.</w:t>
      </w:r>
    </w:p>
    <w:p w:rsidR="002F621E" w:rsidRPr="002F621E" w:rsidRDefault="002F621E" w:rsidP="002F621E">
      <w:pPr>
        <w:pStyle w:val="Prrafodelista"/>
        <w:rPr>
          <w:sz w:val="20"/>
          <w:szCs w:val="20"/>
        </w:rPr>
      </w:pPr>
    </w:p>
    <w:p w:rsidR="002F621E" w:rsidRPr="002F621E" w:rsidRDefault="002F621E" w:rsidP="002F621E">
      <w:pPr>
        <w:pStyle w:val="Prrafodelista"/>
        <w:numPr>
          <w:ilvl w:val="0"/>
          <w:numId w:val="25"/>
        </w:numPr>
        <w:spacing w:line="360" w:lineRule="auto"/>
        <w:jc w:val="both"/>
        <w:rPr>
          <w:sz w:val="20"/>
          <w:szCs w:val="20"/>
        </w:rPr>
      </w:pPr>
      <w:r w:rsidRPr="002F621E">
        <w:rPr>
          <w:sz w:val="20"/>
          <w:szCs w:val="20"/>
        </w:rPr>
        <w:t>Una desaceleración de la economía de Estados Unidos más fuerte que la esperada.</w:t>
      </w:r>
    </w:p>
    <w:p w:rsidR="002F621E" w:rsidRPr="002F621E" w:rsidRDefault="002F621E" w:rsidP="002F621E">
      <w:pPr>
        <w:pStyle w:val="Prrafodelista"/>
        <w:rPr>
          <w:sz w:val="20"/>
          <w:szCs w:val="20"/>
        </w:rPr>
      </w:pPr>
    </w:p>
    <w:p w:rsidR="002F621E" w:rsidRPr="002F621E" w:rsidRDefault="002F621E" w:rsidP="002F621E">
      <w:pPr>
        <w:pStyle w:val="Prrafodelista"/>
        <w:numPr>
          <w:ilvl w:val="0"/>
          <w:numId w:val="25"/>
        </w:numPr>
        <w:spacing w:line="360" w:lineRule="auto"/>
        <w:jc w:val="both"/>
        <w:rPr>
          <w:sz w:val="20"/>
          <w:szCs w:val="20"/>
        </w:rPr>
      </w:pPr>
      <w:r w:rsidRPr="002F621E">
        <w:rPr>
          <w:sz w:val="20"/>
          <w:szCs w:val="20"/>
        </w:rPr>
        <w:t xml:space="preserve">Condiciones más restrictivas en los mercados financieros internacionales por los procesos de normalización de las economías avanzadas que afecten la inversión a nivel mundial. </w:t>
      </w:r>
    </w:p>
    <w:p w:rsidR="002F621E" w:rsidRPr="002F621E" w:rsidRDefault="002F621E" w:rsidP="002F621E">
      <w:pPr>
        <w:pStyle w:val="Prrafodelista"/>
        <w:spacing w:line="360" w:lineRule="auto"/>
        <w:ind w:left="720"/>
        <w:jc w:val="both"/>
        <w:rPr>
          <w:sz w:val="20"/>
          <w:szCs w:val="20"/>
        </w:rPr>
      </w:pPr>
    </w:p>
    <w:p w:rsidR="002F621E" w:rsidRPr="002F621E" w:rsidRDefault="002F621E" w:rsidP="002F621E">
      <w:pPr>
        <w:spacing w:line="360" w:lineRule="auto"/>
        <w:jc w:val="both"/>
        <w:rPr>
          <w:sz w:val="20"/>
          <w:szCs w:val="20"/>
        </w:rPr>
      </w:pPr>
      <w:r w:rsidRPr="002F621E">
        <w:rPr>
          <w:sz w:val="20"/>
          <w:szCs w:val="20"/>
        </w:rPr>
        <w:t>Entre los factores que pueden generar un entorno más benéfico al alza se encuentran:</w:t>
      </w:r>
    </w:p>
    <w:p w:rsidR="002F621E" w:rsidRPr="002F621E" w:rsidRDefault="002F621E" w:rsidP="002F621E">
      <w:pPr>
        <w:spacing w:line="360" w:lineRule="auto"/>
        <w:jc w:val="both"/>
        <w:rPr>
          <w:sz w:val="20"/>
          <w:szCs w:val="20"/>
        </w:rPr>
      </w:pPr>
    </w:p>
    <w:p w:rsidR="002F621E" w:rsidRPr="002F621E" w:rsidRDefault="002F621E" w:rsidP="002F621E">
      <w:pPr>
        <w:pStyle w:val="Prrafodelista"/>
        <w:numPr>
          <w:ilvl w:val="0"/>
          <w:numId w:val="26"/>
        </w:numPr>
        <w:spacing w:line="360" w:lineRule="auto"/>
        <w:jc w:val="both"/>
        <w:rPr>
          <w:sz w:val="20"/>
          <w:szCs w:val="20"/>
        </w:rPr>
      </w:pPr>
      <w:r w:rsidRPr="002F621E">
        <w:rPr>
          <w:sz w:val="20"/>
          <w:szCs w:val="20"/>
        </w:rPr>
        <w:t>Una disminución de las barreras al comercio como parte de la resolución favorable de acuerdos comerciales.</w:t>
      </w:r>
    </w:p>
    <w:p w:rsidR="002F621E" w:rsidRPr="002F621E" w:rsidRDefault="002F621E" w:rsidP="002F621E">
      <w:pPr>
        <w:pStyle w:val="Prrafodelista"/>
        <w:spacing w:line="360" w:lineRule="auto"/>
        <w:ind w:left="720"/>
        <w:jc w:val="both"/>
        <w:rPr>
          <w:sz w:val="20"/>
          <w:szCs w:val="20"/>
        </w:rPr>
      </w:pPr>
    </w:p>
    <w:p w:rsidR="002F621E" w:rsidRPr="002F621E" w:rsidRDefault="002F621E" w:rsidP="002F621E">
      <w:pPr>
        <w:pStyle w:val="Prrafodelista"/>
        <w:numPr>
          <w:ilvl w:val="0"/>
          <w:numId w:val="26"/>
        </w:numPr>
        <w:spacing w:line="360" w:lineRule="auto"/>
        <w:jc w:val="both"/>
        <w:rPr>
          <w:sz w:val="20"/>
          <w:szCs w:val="20"/>
        </w:rPr>
      </w:pPr>
      <w:r w:rsidRPr="002F621E">
        <w:rPr>
          <w:sz w:val="20"/>
          <w:szCs w:val="20"/>
        </w:rPr>
        <w:t>Aumentos en la productividad global por la implementación de políticas que impulsen la productividad a nivel mundial.</w:t>
      </w:r>
    </w:p>
    <w:p w:rsidR="002F621E" w:rsidRPr="002F621E" w:rsidRDefault="002F621E" w:rsidP="002F621E">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En el siguiente cuadro se presentan las perspectivas de finanzas públicas de mediano plazo para el Estado de Tlaxcala, tomando como referencia los Criterios Generales de Política Económica para la Iniciativa de Ley de Ingresos y el Proyecto de Presupuesto de Egresos de la Federación correspondientes al Ejercicio Fiscal 2020.</w:t>
      </w:r>
    </w:p>
    <w:p w:rsidR="002160EB" w:rsidRDefault="002160EB" w:rsidP="002160EB">
      <w:pPr>
        <w:spacing w:line="360" w:lineRule="auto"/>
        <w:jc w:val="both"/>
        <w:rPr>
          <w:sz w:val="20"/>
          <w:szCs w:val="20"/>
        </w:rPr>
      </w:pPr>
    </w:p>
    <w:p w:rsidR="002160EB" w:rsidRDefault="002160EB" w:rsidP="002160EB">
      <w:pPr>
        <w:spacing w:line="360" w:lineRule="auto"/>
        <w:jc w:val="both"/>
        <w:rPr>
          <w:sz w:val="20"/>
          <w:szCs w:val="20"/>
        </w:rPr>
      </w:pPr>
      <w:r>
        <w:rPr>
          <w:noProof/>
          <w:lang w:val="es-MX" w:eastAsia="es-MX"/>
        </w:rPr>
        <w:lastRenderedPageBreak/>
        <w:drawing>
          <wp:inline distT="0" distB="0" distL="0" distR="0" wp14:anchorId="09FE4DF4" wp14:editId="54E34CF8">
            <wp:extent cx="5143500" cy="4610100"/>
            <wp:effectExtent l="0" t="0" r="0" b="0"/>
            <wp:docPr id="17" name="Imagen 17"/>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500" cy="4610100"/>
                    </a:xfrm>
                    <a:prstGeom prst="rect">
                      <a:avLst/>
                    </a:prstGeom>
                    <a:noFill/>
                    <a:ln>
                      <a:noFill/>
                    </a:ln>
                  </pic:spPr>
                </pic:pic>
              </a:graphicData>
            </a:graphic>
          </wp:inline>
        </w:drawing>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46"/>
      </w:tblGrid>
      <w:tr w:rsidR="002160EB" w:rsidTr="002160EB">
        <w:tc>
          <w:tcPr>
            <w:tcW w:w="8222"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160EB" w:rsidRDefault="002160EB">
            <w:pPr>
              <w:spacing w:line="360" w:lineRule="auto"/>
              <w:jc w:val="center"/>
              <w:rPr>
                <w:b/>
                <w:sz w:val="20"/>
                <w:szCs w:val="20"/>
              </w:rPr>
            </w:pPr>
            <w:r>
              <w:rPr>
                <w:b/>
                <w:sz w:val="20"/>
                <w:szCs w:val="20"/>
              </w:rPr>
              <w:t>GOBIERNO DEL ESTADO DE TLAXCALA</w:t>
            </w:r>
          </w:p>
          <w:p w:rsidR="002160EB" w:rsidRDefault="002160EB">
            <w:pPr>
              <w:spacing w:line="360" w:lineRule="auto"/>
              <w:jc w:val="center"/>
              <w:rPr>
                <w:b/>
                <w:sz w:val="20"/>
                <w:szCs w:val="20"/>
              </w:rPr>
            </w:pPr>
            <w:r>
              <w:rPr>
                <w:b/>
                <w:sz w:val="20"/>
                <w:szCs w:val="20"/>
              </w:rPr>
              <w:t>SUPUESTOS DE FINANZAS PÚBLICAS DE MEDIANO PLAZO 2020-2025</w:t>
            </w:r>
          </w:p>
        </w:tc>
      </w:tr>
      <w:tr w:rsidR="002160EB" w:rsidTr="002160EB">
        <w:tc>
          <w:tcPr>
            <w:tcW w:w="2376" w:type="dxa"/>
            <w:tcBorders>
              <w:top w:val="single" w:sz="4" w:space="0" w:color="auto"/>
              <w:left w:val="single" w:sz="4" w:space="0" w:color="auto"/>
              <w:bottom w:val="single" w:sz="4" w:space="0" w:color="auto"/>
              <w:right w:val="single" w:sz="4" w:space="0" w:color="auto"/>
            </w:tcBorders>
            <w:hideMark/>
          </w:tcPr>
          <w:p w:rsidR="002160EB" w:rsidRDefault="002160EB">
            <w:pPr>
              <w:spacing w:line="360" w:lineRule="auto"/>
              <w:jc w:val="center"/>
              <w:rPr>
                <w:b/>
                <w:sz w:val="20"/>
                <w:szCs w:val="20"/>
              </w:rPr>
            </w:pPr>
            <w:r>
              <w:rPr>
                <w:b/>
                <w:sz w:val="20"/>
                <w:szCs w:val="20"/>
              </w:rPr>
              <w:t>Concepto</w:t>
            </w:r>
          </w:p>
        </w:tc>
        <w:tc>
          <w:tcPr>
            <w:tcW w:w="5846" w:type="dxa"/>
            <w:tcBorders>
              <w:top w:val="single" w:sz="4" w:space="0" w:color="auto"/>
              <w:left w:val="single" w:sz="4" w:space="0" w:color="auto"/>
              <w:bottom w:val="single" w:sz="4" w:space="0" w:color="auto"/>
              <w:right w:val="single" w:sz="4" w:space="0" w:color="auto"/>
            </w:tcBorders>
            <w:hideMark/>
          </w:tcPr>
          <w:p w:rsidR="002160EB" w:rsidRDefault="002160EB">
            <w:pPr>
              <w:spacing w:line="360" w:lineRule="auto"/>
              <w:jc w:val="center"/>
              <w:rPr>
                <w:b/>
                <w:sz w:val="20"/>
                <w:szCs w:val="20"/>
              </w:rPr>
            </w:pPr>
            <w:r>
              <w:rPr>
                <w:b/>
                <w:sz w:val="20"/>
                <w:szCs w:val="20"/>
              </w:rPr>
              <w:t>Supuestos</w:t>
            </w:r>
          </w:p>
        </w:tc>
      </w:tr>
      <w:tr w:rsidR="002160EB" w:rsidTr="002160EB">
        <w:tc>
          <w:tcPr>
            <w:tcW w:w="2376" w:type="dxa"/>
            <w:tcBorders>
              <w:top w:val="single" w:sz="4" w:space="0" w:color="auto"/>
              <w:left w:val="single" w:sz="4" w:space="0" w:color="auto"/>
              <w:bottom w:val="single" w:sz="4" w:space="0" w:color="auto"/>
              <w:right w:val="single" w:sz="4" w:space="0" w:color="auto"/>
            </w:tcBorders>
          </w:tcPr>
          <w:p w:rsidR="002160EB" w:rsidRDefault="002160EB">
            <w:pPr>
              <w:spacing w:line="360" w:lineRule="auto"/>
              <w:jc w:val="both"/>
              <w:rPr>
                <w:b/>
                <w:sz w:val="20"/>
                <w:szCs w:val="20"/>
              </w:rPr>
            </w:pPr>
          </w:p>
        </w:tc>
        <w:tc>
          <w:tcPr>
            <w:tcW w:w="5846" w:type="dxa"/>
            <w:tcBorders>
              <w:top w:val="single" w:sz="4" w:space="0" w:color="auto"/>
              <w:left w:val="single" w:sz="4" w:space="0" w:color="auto"/>
              <w:bottom w:val="single" w:sz="4" w:space="0" w:color="auto"/>
              <w:right w:val="single" w:sz="4" w:space="0" w:color="auto"/>
            </w:tcBorders>
            <w:hideMark/>
          </w:tcPr>
          <w:p w:rsidR="002160EB" w:rsidRDefault="002160EB">
            <w:pPr>
              <w:spacing w:line="360" w:lineRule="auto"/>
              <w:jc w:val="center"/>
              <w:rPr>
                <w:b/>
                <w:sz w:val="20"/>
                <w:szCs w:val="20"/>
              </w:rPr>
            </w:pPr>
            <w:r>
              <w:rPr>
                <w:b/>
                <w:sz w:val="20"/>
                <w:szCs w:val="20"/>
              </w:rPr>
              <w:t>Fuente de recursos</w:t>
            </w:r>
          </w:p>
        </w:tc>
      </w:tr>
      <w:tr w:rsidR="002160EB" w:rsidTr="002160EB">
        <w:tc>
          <w:tcPr>
            <w:tcW w:w="2376" w:type="dxa"/>
            <w:tcBorders>
              <w:top w:val="single" w:sz="4" w:space="0" w:color="auto"/>
              <w:left w:val="single" w:sz="4" w:space="0" w:color="auto"/>
              <w:bottom w:val="single" w:sz="4" w:space="0" w:color="auto"/>
              <w:right w:val="single" w:sz="4" w:space="0" w:color="auto"/>
            </w:tcBorders>
            <w:hideMark/>
          </w:tcPr>
          <w:p w:rsidR="002160EB" w:rsidRDefault="002160EB">
            <w:pPr>
              <w:spacing w:line="360" w:lineRule="auto"/>
              <w:jc w:val="both"/>
              <w:rPr>
                <w:sz w:val="20"/>
                <w:szCs w:val="20"/>
              </w:rPr>
            </w:pPr>
            <w:r>
              <w:rPr>
                <w:sz w:val="20"/>
                <w:szCs w:val="20"/>
              </w:rPr>
              <w:t>Impuestos</w:t>
            </w:r>
          </w:p>
        </w:tc>
        <w:tc>
          <w:tcPr>
            <w:tcW w:w="5846" w:type="dxa"/>
            <w:tcBorders>
              <w:top w:val="single" w:sz="4" w:space="0" w:color="auto"/>
              <w:left w:val="single" w:sz="4" w:space="0" w:color="auto"/>
              <w:bottom w:val="single" w:sz="4" w:space="0" w:color="auto"/>
              <w:right w:val="single" w:sz="4" w:space="0" w:color="auto"/>
            </w:tcBorders>
          </w:tcPr>
          <w:p w:rsidR="002160EB" w:rsidRDefault="002160EB">
            <w:pPr>
              <w:spacing w:line="360" w:lineRule="auto"/>
              <w:jc w:val="both"/>
              <w:rPr>
                <w:sz w:val="20"/>
                <w:szCs w:val="20"/>
              </w:rPr>
            </w:pPr>
            <w:r>
              <w:rPr>
                <w:sz w:val="20"/>
                <w:szCs w:val="20"/>
              </w:rPr>
              <w:t>La recaudación aumenta a una tasa anual promedio de 2.6 %, ligeramente mayor a lo estimado.</w:t>
            </w:r>
          </w:p>
          <w:p w:rsidR="002160EB" w:rsidRDefault="002160EB">
            <w:pPr>
              <w:spacing w:line="360" w:lineRule="auto"/>
              <w:jc w:val="both"/>
              <w:rPr>
                <w:sz w:val="20"/>
                <w:szCs w:val="20"/>
              </w:rPr>
            </w:pPr>
          </w:p>
        </w:tc>
      </w:tr>
      <w:tr w:rsidR="002160EB" w:rsidTr="002160EB">
        <w:tc>
          <w:tcPr>
            <w:tcW w:w="2376" w:type="dxa"/>
            <w:tcBorders>
              <w:top w:val="single" w:sz="4" w:space="0" w:color="auto"/>
              <w:left w:val="single" w:sz="4" w:space="0" w:color="auto"/>
              <w:bottom w:val="single" w:sz="4" w:space="0" w:color="auto"/>
              <w:right w:val="single" w:sz="4" w:space="0" w:color="auto"/>
            </w:tcBorders>
            <w:hideMark/>
          </w:tcPr>
          <w:p w:rsidR="002160EB" w:rsidRDefault="002160EB">
            <w:pPr>
              <w:spacing w:line="360" w:lineRule="auto"/>
              <w:jc w:val="both"/>
              <w:rPr>
                <w:sz w:val="20"/>
                <w:szCs w:val="20"/>
              </w:rPr>
            </w:pPr>
            <w:r>
              <w:rPr>
                <w:sz w:val="20"/>
                <w:szCs w:val="20"/>
              </w:rPr>
              <w:lastRenderedPageBreak/>
              <w:t>Derechos</w:t>
            </w:r>
          </w:p>
        </w:tc>
        <w:tc>
          <w:tcPr>
            <w:tcW w:w="5846" w:type="dxa"/>
            <w:tcBorders>
              <w:top w:val="single" w:sz="4" w:space="0" w:color="auto"/>
              <w:left w:val="single" w:sz="4" w:space="0" w:color="auto"/>
              <w:bottom w:val="single" w:sz="4" w:space="0" w:color="auto"/>
              <w:right w:val="single" w:sz="4" w:space="0" w:color="auto"/>
            </w:tcBorders>
          </w:tcPr>
          <w:p w:rsidR="002160EB" w:rsidRDefault="002160EB">
            <w:pPr>
              <w:spacing w:line="360" w:lineRule="auto"/>
              <w:jc w:val="both"/>
              <w:rPr>
                <w:sz w:val="20"/>
                <w:szCs w:val="20"/>
              </w:rPr>
            </w:pPr>
            <w:r>
              <w:rPr>
                <w:sz w:val="20"/>
                <w:szCs w:val="20"/>
              </w:rPr>
              <w:t>La recaudación aumenta a una tasa anual promedio de 2.6 %, ligeramente mayor a lo estimado, derivado de los servicios prestados por Dependencias del Poder Ejecutivo.</w:t>
            </w:r>
          </w:p>
          <w:p w:rsidR="002160EB" w:rsidRDefault="002160EB">
            <w:pPr>
              <w:spacing w:line="360" w:lineRule="auto"/>
              <w:jc w:val="both"/>
              <w:rPr>
                <w:sz w:val="20"/>
                <w:szCs w:val="20"/>
              </w:rPr>
            </w:pPr>
          </w:p>
        </w:tc>
      </w:tr>
      <w:tr w:rsidR="002160EB" w:rsidTr="002160EB">
        <w:tc>
          <w:tcPr>
            <w:tcW w:w="2376" w:type="dxa"/>
            <w:tcBorders>
              <w:top w:val="single" w:sz="4" w:space="0" w:color="auto"/>
              <w:left w:val="single" w:sz="4" w:space="0" w:color="auto"/>
              <w:bottom w:val="single" w:sz="4" w:space="0" w:color="auto"/>
              <w:right w:val="single" w:sz="4" w:space="0" w:color="auto"/>
            </w:tcBorders>
            <w:hideMark/>
          </w:tcPr>
          <w:p w:rsidR="002160EB" w:rsidRDefault="002160EB">
            <w:pPr>
              <w:spacing w:line="360" w:lineRule="auto"/>
              <w:jc w:val="both"/>
              <w:rPr>
                <w:sz w:val="20"/>
                <w:szCs w:val="20"/>
              </w:rPr>
            </w:pPr>
            <w:r>
              <w:rPr>
                <w:sz w:val="20"/>
                <w:szCs w:val="20"/>
              </w:rPr>
              <w:t>Productos</w:t>
            </w:r>
          </w:p>
        </w:tc>
        <w:tc>
          <w:tcPr>
            <w:tcW w:w="5846" w:type="dxa"/>
            <w:tcBorders>
              <w:top w:val="single" w:sz="4" w:space="0" w:color="auto"/>
              <w:left w:val="single" w:sz="4" w:space="0" w:color="auto"/>
              <w:bottom w:val="single" w:sz="4" w:space="0" w:color="auto"/>
              <w:right w:val="single" w:sz="4" w:space="0" w:color="auto"/>
            </w:tcBorders>
          </w:tcPr>
          <w:p w:rsidR="002160EB" w:rsidRDefault="002160EB">
            <w:pPr>
              <w:spacing w:line="360" w:lineRule="auto"/>
              <w:jc w:val="both"/>
              <w:rPr>
                <w:sz w:val="20"/>
                <w:szCs w:val="20"/>
              </w:rPr>
            </w:pPr>
            <w:r>
              <w:rPr>
                <w:sz w:val="20"/>
                <w:szCs w:val="20"/>
              </w:rPr>
              <w:t>Aumentan a una tasa similar al crecimiento real de la recaudación de contribuciones.</w:t>
            </w:r>
          </w:p>
          <w:p w:rsidR="002160EB" w:rsidRDefault="002160EB">
            <w:pPr>
              <w:spacing w:line="360" w:lineRule="auto"/>
              <w:jc w:val="both"/>
              <w:rPr>
                <w:sz w:val="20"/>
                <w:szCs w:val="20"/>
              </w:rPr>
            </w:pPr>
          </w:p>
        </w:tc>
      </w:tr>
      <w:tr w:rsidR="002160EB" w:rsidTr="002160EB">
        <w:tc>
          <w:tcPr>
            <w:tcW w:w="2376" w:type="dxa"/>
            <w:tcBorders>
              <w:top w:val="single" w:sz="4" w:space="0" w:color="auto"/>
              <w:left w:val="single" w:sz="4" w:space="0" w:color="auto"/>
              <w:bottom w:val="single" w:sz="4" w:space="0" w:color="auto"/>
              <w:right w:val="single" w:sz="4" w:space="0" w:color="auto"/>
            </w:tcBorders>
            <w:hideMark/>
          </w:tcPr>
          <w:p w:rsidR="002160EB" w:rsidRDefault="002160EB">
            <w:pPr>
              <w:spacing w:line="360" w:lineRule="auto"/>
              <w:jc w:val="both"/>
              <w:rPr>
                <w:sz w:val="20"/>
                <w:szCs w:val="20"/>
              </w:rPr>
            </w:pPr>
            <w:r>
              <w:rPr>
                <w:sz w:val="20"/>
                <w:szCs w:val="20"/>
              </w:rPr>
              <w:t>Aprovechamientos</w:t>
            </w:r>
          </w:p>
        </w:tc>
        <w:tc>
          <w:tcPr>
            <w:tcW w:w="5846" w:type="dxa"/>
            <w:tcBorders>
              <w:top w:val="single" w:sz="4" w:space="0" w:color="auto"/>
              <w:left w:val="single" w:sz="4" w:space="0" w:color="auto"/>
              <w:bottom w:val="single" w:sz="4" w:space="0" w:color="auto"/>
              <w:right w:val="single" w:sz="4" w:space="0" w:color="auto"/>
            </w:tcBorders>
            <w:hideMark/>
          </w:tcPr>
          <w:p w:rsidR="002160EB" w:rsidRDefault="002160EB">
            <w:pPr>
              <w:spacing w:line="360" w:lineRule="auto"/>
              <w:jc w:val="both"/>
              <w:rPr>
                <w:sz w:val="20"/>
                <w:szCs w:val="20"/>
              </w:rPr>
            </w:pPr>
            <w:r>
              <w:rPr>
                <w:sz w:val="20"/>
                <w:szCs w:val="20"/>
              </w:rPr>
              <w:t>Aumentan en función de la recaudación esperada en contribuciones.</w:t>
            </w:r>
          </w:p>
        </w:tc>
      </w:tr>
      <w:tr w:rsidR="002160EB" w:rsidTr="002160EB">
        <w:tc>
          <w:tcPr>
            <w:tcW w:w="2376" w:type="dxa"/>
            <w:tcBorders>
              <w:top w:val="single" w:sz="4" w:space="0" w:color="auto"/>
              <w:left w:val="single" w:sz="4" w:space="0" w:color="auto"/>
              <w:bottom w:val="single" w:sz="4" w:space="0" w:color="auto"/>
              <w:right w:val="single" w:sz="4" w:space="0" w:color="auto"/>
            </w:tcBorders>
            <w:hideMark/>
          </w:tcPr>
          <w:p w:rsidR="002160EB" w:rsidRDefault="002160EB">
            <w:pPr>
              <w:spacing w:line="360" w:lineRule="auto"/>
              <w:jc w:val="both"/>
              <w:rPr>
                <w:sz w:val="20"/>
                <w:szCs w:val="20"/>
              </w:rPr>
            </w:pPr>
            <w:r>
              <w:rPr>
                <w:sz w:val="20"/>
                <w:szCs w:val="20"/>
              </w:rPr>
              <w:t>Participaciones</w:t>
            </w:r>
          </w:p>
        </w:tc>
        <w:tc>
          <w:tcPr>
            <w:tcW w:w="5846" w:type="dxa"/>
            <w:tcBorders>
              <w:top w:val="single" w:sz="4" w:space="0" w:color="auto"/>
              <w:left w:val="single" w:sz="4" w:space="0" w:color="auto"/>
              <w:bottom w:val="single" w:sz="4" w:space="0" w:color="auto"/>
              <w:right w:val="single" w:sz="4" w:space="0" w:color="auto"/>
            </w:tcBorders>
          </w:tcPr>
          <w:p w:rsidR="002160EB" w:rsidRDefault="002160EB">
            <w:pPr>
              <w:spacing w:line="360" w:lineRule="auto"/>
              <w:jc w:val="both"/>
              <w:rPr>
                <w:sz w:val="20"/>
                <w:szCs w:val="20"/>
              </w:rPr>
            </w:pPr>
            <w:r>
              <w:rPr>
                <w:sz w:val="20"/>
                <w:szCs w:val="20"/>
              </w:rPr>
              <w:t>Consideran un incremento en función de la recaudación federal participable, tomando como base la recaudación de ingresos tributarios, no tributarios e ingresos petroleros.</w:t>
            </w:r>
          </w:p>
          <w:p w:rsidR="002160EB" w:rsidRDefault="002160EB">
            <w:pPr>
              <w:spacing w:line="360" w:lineRule="auto"/>
              <w:jc w:val="both"/>
              <w:rPr>
                <w:sz w:val="20"/>
                <w:szCs w:val="20"/>
              </w:rPr>
            </w:pPr>
          </w:p>
        </w:tc>
      </w:tr>
      <w:tr w:rsidR="002160EB" w:rsidTr="002160EB">
        <w:tc>
          <w:tcPr>
            <w:tcW w:w="2376" w:type="dxa"/>
            <w:tcBorders>
              <w:top w:val="single" w:sz="4" w:space="0" w:color="auto"/>
              <w:left w:val="single" w:sz="4" w:space="0" w:color="auto"/>
              <w:bottom w:val="single" w:sz="4" w:space="0" w:color="auto"/>
              <w:right w:val="single" w:sz="4" w:space="0" w:color="auto"/>
            </w:tcBorders>
            <w:hideMark/>
          </w:tcPr>
          <w:p w:rsidR="002160EB" w:rsidRDefault="002160EB">
            <w:pPr>
              <w:spacing w:line="360" w:lineRule="auto"/>
              <w:jc w:val="both"/>
              <w:rPr>
                <w:sz w:val="20"/>
                <w:szCs w:val="20"/>
              </w:rPr>
            </w:pPr>
            <w:r>
              <w:rPr>
                <w:sz w:val="20"/>
                <w:szCs w:val="20"/>
              </w:rPr>
              <w:t>Incentivos Económicos</w:t>
            </w:r>
          </w:p>
        </w:tc>
        <w:tc>
          <w:tcPr>
            <w:tcW w:w="5846" w:type="dxa"/>
            <w:tcBorders>
              <w:top w:val="single" w:sz="4" w:space="0" w:color="auto"/>
              <w:left w:val="single" w:sz="4" w:space="0" w:color="auto"/>
              <w:bottom w:val="single" w:sz="4" w:space="0" w:color="auto"/>
              <w:right w:val="single" w:sz="4" w:space="0" w:color="auto"/>
            </w:tcBorders>
          </w:tcPr>
          <w:p w:rsidR="002160EB" w:rsidRDefault="002160EB">
            <w:pPr>
              <w:spacing w:line="360" w:lineRule="auto"/>
              <w:jc w:val="both"/>
              <w:rPr>
                <w:sz w:val="20"/>
                <w:szCs w:val="20"/>
              </w:rPr>
            </w:pPr>
            <w:r>
              <w:rPr>
                <w:sz w:val="20"/>
                <w:szCs w:val="20"/>
              </w:rPr>
              <w:t>Aumentan en función de las acciones de fiscalización concurrentes y de los incentivos otorgados a través del Convenio de Colaboración Administrativa en Materia Fiscal Federal.</w:t>
            </w:r>
          </w:p>
          <w:p w:rsidR="002160EB" w:rsidRDefault="002160EB">
            <w:pPr>
              <w:spacing w:line="360" w:lineRule="auto"/>
              <w:jc w:val="both"/>
              <w:rPr>
                <w:sz w:val="20"/>
                <w:szCs w:val="20"/>
              </w:rPr>
            </w:pPr>
          </w:p>
        </w:tc>
      </w:tr>
      <w:tr w:rsidR="002160EB" w:rsidTr="002160EB">
        <w:tc>
          <w:tcPr>
            <w:tcW w:w="2376" w:type="dxa"/>
            <w:tcBorders>
              <w:top w:val="single" w:sz="4" w:space="0" w:color="auto"/>
              <w:left w:val="single" w:sz="4" w:space="0" w:color="auto"/>
              <w:bottom w:val="single" w:sz="4" w:space="0" w:color="auto"/>
              <w:right w:val="single" w:sz="4" w:space="0" w:color="auto"/>
            </w:tcBorders>
            <w:hideMark/>
          </w:tcPr>
          <w:p w:rsidR="002160EB" w:rsidRDefault="002160EB">
            <w:pPr>
              <w:spacing w:line="360" w:lineRule="auto"/>
              <w:jc w:val="both"/>
              <w:rPr>
                <w:sz w:val="20"/>
                <w:szCs w:val="20"/>
              </w:rPr>
            </w:pPr>
            <w:r>
              <w:rPr>
                <w:sz w:val="20"/>
                <w:szCs w:val="20"/>
              </w:rPr>
              <w:t>Aportaciones</w:t>
            </w:r>
          </w:p>
        </w:tc>
        <w:tc>
          <w:tcPr>
            <w:tcW w:w="5846" w:type="dxa"/>
            <w:tcBorders>
              <w:top w:val="single" w:sz="4" w:space="0" w:color="auto"/>
              <w:left w:val="single" w:sz="4" w:space="0" w:color="auto"/>
              <w:bottom w:val="single" w:sz="4" w:space="0" w:color="auto"/>
              <w:right w:val="single" w:sz="4" w:space="0" w:color="auto"/>
            </w:tcBorders>
          </w:tcPr>
          <w:p w:rsidR="002160EB" w:rsidRDefault="002160EB">
            <w:pPr>
              <w:spacing w:line="360" w:lineRule="auto"/>
              <w:jc w:val="both"/>
              <w:rPr>
                <w:sz w:val="20"/>
                <w:szCs w:val="20"/>
              </w:rPr>
            </w:pPr>
            <w:r>
              <w:rPr>
                <w:sz w:val="20"/>
                <w:szCs w:val="20"/>
              </w:rPr>
              <w:t>Se incrementan a una tasa de crecimiento promedio del 2.6%.</w:t>
            </w:r>
          </w:p>
          <w:p w:rsidR="002160EB" w:rsidRDefault="002160EB">
            <w:pPr>
              <w:spacing w:line="360" w:lineRule="auto"/>
              <w:jc w:val="both"/>
              <w:rPr>
                <w:sz w:val="20"/>
                <w:szCs w:val="20"/>
              </w:rPr>
            </w:pPr>
          </w:p>
        </w:tc>
      </w:tr>
      <w:tr w:rsidR="002160EB" w:rsidTr="002160EB">
        <w:tc>
          <w:tcPr>
            <w:tcW w:w="2376" w:type="dxa"/>
            <w:tcBorders>
              <w:top w:val="single" w:sz="4" w:space="0" w:color="auto"/>
              <w:left w:val="single" w:sz="4" w:space="0" w:color="auto"/>
              <w:bottom w:val="single" w:sz="4" w:space="0" w:color="auto"/>
              <w:right w:val="single" w:sz="4" w:space="0" w:color="auto"/>
            </w:tcBorders>
            <w:hideMark/>
          </w:tcPr>
          <w:p w:rsidR="002160EB" w:rsidRDefault="002160EB">
            <w:pPr>
              <w:spacing w:line="360" w:lineRule="auto"/>
              <w:jc w:val="both"/>
              <w:rPr>
                <w:sz w:val="20"/>
                <w:szCs w:val="20"/>
              </w:rPr>
            </w:pPr>
            <w:r>
              <w:rPr>
                <w:sz w:val="20"/>
                <w:szCs w:val="20"/>
              </w:rPr>
              <w:t>Convenios</w:t>
            </w:r>
          </w:p>
        </w:tc>
        <w:tc>
          <w:tcPr>
            <w:tcW w:w="5846" w:type="dxa"/>
            <w:tcBorders>
              <w:top w:val="single" w:sz="4" w:space="0" w:color="auto"/>
              <w:left w:val="single" w:sz="4" w:space="0" w:color="auto"/>
              <w:bottom w:val="single" w:sz="4" w:space="0" w:color="auto"/>
              <w:right w:val="single" w:sz="4" w:space="0" w:color="auto"/>
            </w:tcBorders>
            <w:hideMark/>
          </w:tcPr>
          <w:p w:rsidR="002160EB" w:rsidRDefault="002160EB">
            <w:pPr>
              <w:spacing w:line="360" w:lineRule="auto"/>
              <w:jc w:val="both"/>
              <w:rPr>
                <w:sz w:val="20"/>
                <w:szCs w:val="20"/>
              </w:rPr>
            </w:pPr>
            <w:r>
              <w:rPr>
                <w:sz w:val="20"/>
                <w:szCs w:val="20"/>
              </w:rPr>
              <w:t>Considera una alta variabilidad ya que la obtención de recursos por este concepto está en función de las negociaciones del presupuesto que se efectúen.</w:t>
            </w:r>
          </w:p>
        </w:tc>
      </w:tr>
    </w:tbl>
    <w:p w:rsidR="002160EB" w:rsidRDefault="002160EB" w:rsidP="002160EB">
      <w:pPr>
        <w:spacing w:line="360" w:lineRule="auto"/>
        <w:jc w:val="both"/>
        <w:rPr>
          <w:sz w:val="20"/>
          <w:szCs w:val="20"/>
        </w:rPr>
      </w:pPr>
    </w:p>
    <w:p w:rsidR="002160EB" w:rsidRDefault="002160EB" w:rsidP="002160EB">
      <w:pPr>
        <w:spacing w:line="360" w:lineRule="auto"/>
        <w:jc w:val="both"/>
        <w:rPr>
          <w:b/>
          <w:bCs/>
          <w:sz w:val="20"/>
          <w:szCs w:val="20"/>
        </w:rPr>
      </w:pPr>
      <w:r>
        <w:rPr>
          <w:b/>
          <w:bCs/>
          <w:sz w:val="20"/>
          <w:szCs w:val="20"/>
        </w:rPr>
        <w:t>RIESGOS FISCALES.</w:t>
      </w:r>
    </w:p>
    <w:p w:rsidR="002160EB" w:rsidRDefault="002160EB" w:rsidP="002160EB">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 xml:space="preserve">La estabilidad macroeconómica es una condición necesaria para el crecimiento económico. Los episodios de crisis financiera en México significaron caídas importantes en la actividad económica y </w:t>
      </w:r>
      <w:r w:rsidRPr="002F621E">
        <w:rPr>
          <w:sz w:val="20"/>
          <w:szCs w:val="20"/>
        </w:rPr>
        <w:lastRenderedPageBreak/>
        <w:t xml:space="preserve">el bienestar de la población. Las crisis han mostrado la importancia de políticas encaminadas a lograr la estabilidad macroeconómica, como una estrategia de manejo de riesgo que prevenga la acumulación de desequilibrios. Este aprendizaje ha dado a la economía mexicana </w:t>
      </w:r>
      <w:proofErr w:type="spellStart"/>
      <w:r w:rsidRPr="002F621E">
        <w:rPr>
          <w:sz w:val="20"/>
          <w:szCs w:val="20"/>
        </w:rPr>
        <w:t>resiliencia</w:t>
      </w:r>
      <w:proofErr w:type="spellEnd"/>
      <w:r w:rsidRPr="002F621E">
        <w:rPr>
          <w:sz w:val="20"/>
          <w:szCs w:val="20"/>
        </w:rPr>
        <w:t xml:space="preserve"> para enfrentar condiciones adversas en el exterior, dando una mayor certidumbre a los mercados internacionales.</w:t>
      </w:r>
    </w:p>
    <w:p w:rsidR="002F621E" w:rsidRPr="002F621E" w:rsidRDefault="002F621E" w:rsidP="002F621E">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 xml:space="preserve">Los riesgos fiscales de largo plazo para las finanzas públicas del Estado de Tlaxcala, se pueden definir como obligaciones no transitorias, cuya dinámica depende entre otros, del desempeño de las variables macroeconómicas en el corto plazo. </w:t>
      </w:r>
    </w:p>
    <w:p w:rsidR="002F621E" w:rsidRPr="002F621E" w:rsidRDefault="002F621E" w:rsidP="002F621E">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 xml:space="preserve">El escenario macroeconómico de mediano plazo está sujeto a riesgos que podrían modificar las trayectorias anticipadas. Dentro de los riesgos a la baja destacan: </w:t>
      </w:r>
    </w:p>
    <w:p w:rsidR="002F621E" w:rsidRPr="002F621E" w:rsidRDefault="002F621E" w:rsidP="002F621E">
      <w:pPr>
        <w:spacing w:line="360" w:lineRule="auto"/>
        <w:jc w:val="both"/>
        <w:rPr>
          <w:sz w:val="20"/>
          <w:szCs w:val="20"/>
        </w:rPr>
      </w:pPr>
    </w:p>
    <w:p w:rsidR="002F621E" w:rsidRPr="002F621E" w:rsidRDefault="002F621E" w:rsidP="002F621E">
      <w:pPr>
        <w:pStyle w:val="Prrafodelista"/>
        <w:numPr>
          <w:ilvl w:val="0"/>
          <w:numId w:val="27"/>
        </w:numPr>
        <w:spacing w:line="360" w:lineRule="auto"/>
        <w:jc w:val="both"/>
        <w:rPr>
          <w:sz w:val="20"/>
          <w:szCs w:val="20"/>
        </w:rPr>
      </w:pPr>
      <w:r w:rsidRPr="002F621E">
        <w:rPr>
          <w:sz w:val="20"/>
          <w:szCs w:val="20"/>
        </w:rPr>
        <w:t xml:space="preserve">Que continúen y se profundicen las tensiones comerciales al punto de generar disrupciones en las cadenas globales de producción, afectando el crecimiento global de mediano plazo. </w:t>
      </w:r>
    </w:p>
    <w:p w:rsidR="002F621E" w:rsidRPr="002F621E" w:rsidRDefault="002F621E" w:rsidP="002F621E">
      <w:pPr>
        <w:pStyle w:val="Prrafodelista"/>
        <w:spacing w:line="360" w:lineRule="auto"/>
        <w:ind w:left="720"/>
        <w:jc w:val="both"/>
        <w:rPr>
          <w:sz w:val="20"/>
          <w:szCs w:val="20"/>
        </w:rPr>
      </w:pPr>
    </w:p>
    <w:p w:rsidR="002F621E" w:rsidRPr="002F621E" w:rsidRDefault="002F621E" w:rsidP="002F621E">
      <w:pPr>
        <w:pStyle w:val="Prrafodelista"/>
        <w:numPr>
          <w:ilvl w:val="0"/>
          <w:numId w:val="27"/>
        </w:numPr>
        <w:spacing w:line="360" w:lineRule="auto"/>
        <w:jc w:val="both"/>
        <w:rPr>
          <w:sz w:val="20"/>
          <w:szCs w:val="20"/>
        </w:rPr>
      </w:pPr>
      <w:r w:rsidRPr="002F621E">
        <w:rPr>
          <w:sz w:val="20"/>
          <w:szCs w:val="20"/>
        </w:rPr>
        <w:t>Una profundización de los riesgos geopolíticos que genere menores perspectivas de crecimiento en la economía mundial.</w:t>
      </w:r>
    </w:p>
    <w:p w:rsidR="002F621E" w:rsidRPr="002F621E" w:rsidRDefault="002F621E" w:rsidP="002F621E">
      <w:pPr>
        <w:pStyle w:val="Prrafodelista"/>
        <w:rPr>
          <w:sz w:val="20"/>
          <w:szCs w:val="20"/>
        </w:rPr>
      </w:pPr>
    </w:p>
    <w:p w:rsidR="002F621E" w:rsidRPr="002F621E" w:rsidRDefault="002F621E" w:rsidP="002F621E">
      <w:pPr>
        <w:pStyle w:val="Prrafodelista"/>
        <w:numPr>
          <w:ilvl w:val="0"/>
          <w:numId w:val="27"/>
        </w:numPr>
        <w:spacing w:line="360" w:lineRule="auto"/>
        <w:jc w:val="both"/>
        <w:rPr>
          <w:sz w:val="20"/>
          <w:szCs w:val="20"/>
        </w:rPr>
      </w:pPr>
      <w:r w:rsidRPr="002F621E">
        <w:rPr>
          <w:sz w:val="20"/>
          <w:szCs w:val="20"/>
        </w:rPr>
        <w:t>Una desaceleración de la economía de Estados Unidos más fuerte que la esperada.</w:t>
      </w:r>
    </w:p>
    <w:p w:rsidR="002F621E" w:rsidRPr="002F621E" w:rsidRDefault="002F621E" w:rsidP="002F621E">
      <w:pPr>
        <w:pStyle w:val="Prrafodelista"/>
        <w:rPr>
          <w:sz w:val="20"/>
          <w:szCs w:val="20"/>
        </w:rPr>
      </w:pPr>
    </w:p>
    <w:p w:rsidR="002F621E" w:rsidRPr="002F621E" w:rsidRDefault="002F621E" w:rsidP="002F621E">
      <w:pPr>
        <w:pStyle w:val="Prrafodelista"/>
        <w:numPr>
          <w:ilvl w:val="0"/>
          <w:numId w:val="27"/>
        </w:numPr>
        <w:spacing w:line="360" w:lineRule="auto"/>
        <w:jc w:val="both"/>
        <w:rPr>
          <w:sz w:val="20"/>
          <w:szCs w:val="20"/>
        </w:rPr>
      </w:pPr>
      <w:r w:rsidRPr="002F621E">
        <w:rPr>
          <w:sz w:val="20"/>
          <w:szCs w:val="20"/>
        </w:rPr>
        <w:t xml:space="preserve">Condiciones más restrictivas en los mercados financieros internacionales por los procesos de normalización de las economías avanzadas que afecten la inversión a nivel mundial. </w:t>
      </w:r>
    </w:p>
    <w:p w:rsidR="002F621E" w:rsidRPr="002F621E" w:rsidRDefault="002F621E" w:rsidP="002F621E">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En consecuencia, el diseño e implementación de la política fiscal del Estado debe considerar los riesgos de mediano y largo plazos. A continuación, se presentan los principales factores estatales que podrían tener un impacto en las finanzas públicas y las acciones que se han tomado para evitar que se conviertan en un riesgo para las finanzas públicas del Estado.</w:t>
      </w:r>
    </w:p>
    <w:p w:rsidR="002160EB" w:rsidRDefault="002160EB" w:rsidP="002160EB">
      <w:pPr>
        <w:spacing w:line="360" w:lineRule="auto"/>
        <w:jc w:val="both"/>
        <w:rPr>
          <w:b/>
          <w:sz w:val="20"/>
          <w:szCs w:val="20"/>
        </w:rPr>
      </w:pPr>
    </w:p>
    <w:p w:rsidR="002160EB" w:rsidRDefault="002160EB" w:rsidP="002160EB">
      <w:pPr>
        <w:spacing w:line="360" w:lineRule="auto"/>
        <w:jc w:val="both"/>
        <w:rPr>
          <w:b/>
          <w:sz w:val="20"/>
          <w:szCs w:val="20"/>
        </w:rPr>
      </w:pPr>
    </w:p>
    <w:p w:rsidR="002160EB" w:rsidRDefault="002160EB" w:rsidP="002160EB">
      <w:pPr>
        <w:spacing w:line="360" w:lineRule="auto"/>
        <w:jc w:val="both"/>
        <w:rPr>
          <w:b/>
          <w:sz w:val="20"/>
          <w:szCs w:val="20"/>
        </w:rPr>
      </w:pPr>
      <w:r>
        <w:rPr>
          <w:b/>
          <w:sz w:val="20"/>
          <w:szCs w:val="20"/>
        </w:rPr>
        <w:t>Pensiones y Jubilaciones</w:t>
      </w:r>
    </w:p>
    <w:p w:rsidR="002160EB" w:rsidRDefault="002160EB" w:rsidP="002160EB">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Los sistemas de pensiones tienen como objetivo proteger el flujo de ingresos de un trabajador y su familia. El flujo de ingresos presente o futuro de una familia puede verse interrumpido por la materialización de los riesgos siguientes: la edad avanzada, la cesantía en edad avanzada, la muerte prematura, los accidentes y las enfermedades que causan la invalidez o incapacidad de seguir trabajando. Es de resaltar que el Sistema de Pensiones del Estado, en la Administración 2011-2016, promovió y desarrolló un esquema de pensiones que permitirá, en el largo plazo, garantizar el pago de las mismas, respetando los plazos para las jubilaciones.</w:t>
      </w:r>
    </w:p>
    <w:p w:rsidR="002F621E" w:rsidRPr="002F621E" w:rsidRDefault="002F621E" w:rsidP="002F621E">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La reforma estructural aprobada por el Congreso, permitió las mejoras siguientes:</w:t>
      </w:r>
    </w:p>
    <w:p w:rsidR="002F621E" w:rsidRPr="002F621E" w:rsidRDefault="002F621E" w:rsidP="002F621E">
      <w:pPr>
        <w:spacing w:line="360" w:lineRule="auto"/>
        <w:jc w:val="both"/>
        <w:rPr>
          <w:sz w:val="20"/>
          <w:szCs w:val="20"/>
        </w:rPr>
      </w:pPr>
    </w:p>
    <w:p w:rsidR="002F621E" w:rsidRPr="002F621E" w:rsidRDefault="002F621E" w:rsidP="002F621E">
      <w:pPr>
        <w:pStyle w:val="Prrafodelista"/>
        <w:numPr>
          <w:ilvl w:val="0"/>
          <w:numId w:val="3"/>
        </w:numPr>
        <w:spacing w:line="360" w:lineRule="auto"/>
        <w:jc w:val="both"/>
        <w:rPr>
          <w:sz w:val="20"/>
          <w:szCs w:val="20"/>
        </w:rPr>
      </w:pPr>
      <w:r w:rsidRPr="002F621E">
        <w:rPr>
          <w:sz w:val="20"/>
          <w:szCs w:val="20"/>
        </w:rPr>
        <w:t xml:space="preserve">Se incrementaron las aportaciones de jubilados y pensionados pasando de un 3% a un 6%, manteniendo los mismos derechos que la Ley anterior les brindaba. </w:t>
      </w:r>
    </w:p>
    <w:p w:rsidR="002F621E" w:rsidRPr="002F621E" w:rsidRDefault="002F621E" w:rsidP="002F621E">
      <w:pPr>
        <w:pStyle w:val="Prrafodelista"/>
        <w:spacing w:line="360" w:lineRule="auto"/>
        <w:ind w:left="720"/>
        <w:jc w:val="both"/>
        <w:rPr>
          <w:sz w:val="20"/>
          <w:szCs w:val="20"/>
        </w:rPr>
      </w:pPr>
    </w:p>
    <w:p w:rsidR="002F621E" w:rsidRPr="002F621E" w:rsidRDefault="002F621E" w:rsidP="002F621E">
      <w:pPr>
        <w:pStyle w:val="Prrafodelista"/>
        <w:numPr>
          <w:ilvl w:val="0"/>
          <w:numId w:val="3"/>
        </w:numPr>
        <w:spacing w:line="360" w:lineRule="auto"/>
        <w:jc w:val="both"/>
        <w:rPr>
          <w:sz w:val="20"/>
          <w:szCs w:val="20"/>
        </w:rPr>
      </w:pPr>
      <w:r w:rsidRPr="002F621E">
        <w:rPr>
          <w:sz w:val="20"/>
          <w:szCs w:val="20"/>
        </w:rPr>
        <w:t xml:space="preserve">A los servidores públicos activos se les duplicó su aportación del 6% al 12% del salario base. </w:t>
      </w:r>
    </w:p>
    <w:p w:rsidR="002F621E" w:rsidRPr="002F621E" w:rsidRDefault="002F621E" w:rsidP="002F621E">
      <w:pPr>
        <w:pStyle w:val="Prrafodelista"/>
        <w:rPr>
          <w:sz w:val="20"/>
          <w:szCs w:val="20"/>
        </w:rPr>
      </w:pPr>
    </w:p>
    <w:p w:rsidR="002F621E" w:rsidRPr="002F621E" w:rsidRDefault="002F621E" w:rsidP="002F621E">
      <w:pPr>
        <w:pStyle w:val="Prrafodelista"/>
        <w:numPr>
          <w:ilvl w:val="0"/>
          <w:numId w:val="3"/>
        </w:numPr>
        <w:spacing w:line="360" w:lineRule="auto"/>
        <w:jc w:val="both"/>
        <w:rPr>
          <w:sz w:val="20"/>
          <w:szCs w:val="20"/>
        </w:rPr>
      </w:pPr>
      <w:r w:rsidRPr="002F621E">
        <w:rPr>
          <w:sz w:val="20"/>
          <w:szCs w:val="20"/>
        </w:rPr>
        <w:t>La aportación del Gobierno se duplicó pasando del 9% al 18% del salario base. En el esquema anterior, el gobierno aportaba $0.50 más de aportación que el servidor público, es decir por cada peso que aportaba el trabajador, el gobierno aportaba $1.50. En el esquema actual el gobierno aporta $1.00 más que el servidor público, es decir por cada $2.00 aportados por el trabajador, el gobierno aporta $3.00.</w:t>
      </w:r>
    </w:p>
    <w:p w:rsidR="002F621E" w:rsidRPr="002F621E" w:rsidRDefault="002F621E" w:rsidP="002F621E">
      <w:pPr>
        <w:pStyle w:val="Prrafodelista"/>
        <w:rPr>
          <w:sz w:val="20"/>
          <w:szCs w:val="20"/>
        </w:rPr>
      </w:pPr>
    </w:p>
    <w:p w:rsidR="002F621E" w:rsidRPr="002F621E" w:rsidRDefault="002F621E" w:rsidP="002F621E">
      <w:pPr>
        <w:pStyle w:val="Prrafodelista"/>
        <w:numPr>
          <w:ilvl w:val="0"/>
          <w:numId w:val="3"/>
        </w:numPr>
        <w:spacing w:line="360" w:lineRule="auto"/>
        <w:jc w:val="both"/>
        <w:rPr>
          <w:sz w:val="20"/>
          <w:szCs w:val="20"/>
        </w:rPr>
      </w:pPr>
      <w:r w:rsidRPr="002F621E">
        <w:rPr>
          <w:sz w:val="20"/>
          <w:szCs w:val="20"/>
        </w:rPr>
        <w:t xml:space="preserve">Para los servidores públicos de nuevo ingreso el esquema de afiliación es el de cuentas individuales. En cuanto a la edad para jubilarse, se establece incrementarla de manera gradual; es decir, para el 2013 y 2014 se consideró a los 53 años de edad y/o 28 años de servicio y para 2015 y 2016 se aumentó un año, es decir 54 años de edad y/o 28 años de </w:t>
      </w:r>
      <w:r w:rsidRPr="002F621E">
        <w:rPr>
          <w:sz w:val="20"/>
          <w:szCs w:val="20"/>
        </w:rPr>
        <w:lastRenderedPageBreak/>
        <w:t>servicio y así sucesivamente dos años calendario, por un año de edad, hasta el 2024 en donde hombres y mujeres llegaran a 58 años de edad y 28 años de aportación.</w:t>
      </w:r>
    </w:p>
    <w:p w:rsidR="002F621E" w:rsidRPr="002F621E" w:rsidRDefault="002F621E" w:rsidP="002F621E">
      <w:pPr>
        <w:pStyle w:val="Prrafodelista"/>
        <w:rPr>
          <w:sz w:val="20"/>
          <w:szCs w:val="20"/>
        </w:rPr>
      </w:pPr>
    </w:p>
    <w:p w:rsidR="002F621E" w:rsidRPr="002F621E" w:rsidRDefault="002F621E" w:rsidP="002F621E">
      <w:pPr>
        <w:pStyle w:val="Prrafodelista"/>
        <w:numPr>
          <w:ilvl w:val="0"/>
          <w:numId w:val="3"/>
        </w:numPr>
        <w:spacing w:line="360" w:lineRule="auto"/>
        <w:jc w:val="both"/>
        <w:rPr>
          <w:sz w:val="20"/>
          <w:szCs w:val="20"/>
        </w:rPr>
      </w:pPr>
      <w:r w:rsidRPr="002F621E">
        <w:rPr>
          <w:sz w:val="20"/>
          <w:szCs w:val="20"/>
        </w:rPr>
        <w:t>Los servidores públicos serán sujetos del Libro A de este ordenamiento, excepto en el caso de que los servidores públicos opten por el Régimen Permanente de Ahorro Personal, siempre y cuando manifiesten su voluntad libre e informada y por escrito a la Institución de ser sujeto al Libro B, dentro del plazo de seis meses, siguientes a la entrada en vigor de la Ley de Pensiones.</w:t>
      </w:r>
    </w:p>
    <w:p w:rsidR="002F621E" w:rsidRPr="002F621E" w:rsidRDefault="002F621E" w:rsidP="002F621E">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Con lo anterior, se dio sustentabilidad y viabilidad económica a la institución, dado que, si sólo se hubieran aumentado las aportaciones, estas hubiesen sido suficientes sólo para financiar las jubilaciones de los inactivos, pero no para pagar a los nuevos jubilados, por lo que, en el mediano plazo no hubiera sido sustentable financieramente; por ello en un horizonte de largo plazo, fue necesario aumentar la edad promedio de jubilación y establecer cuentas individuales para los nuevos afiliados.</w:t>
      </w:r>
    </w:p>
    <w:p w:rsidR="002F621E" w:rsidRPr="002F621E" w:rsidRDefault="002F621E" w:rsidP="002F621E">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Con estas reformas estructurales se garantiza a los jubilados y pensionados el pago puntual de sus pensiones, otorgándoles seguridad económica, y conservar sus derechos de la Ley anterior.</w:t>
      </w:r>
    </w:p>
    <w:p w:rsidR="002F621E" w:rsidRPr="002F621E" w:rsidRDefault="002F621E" w:rsidP="002F621E">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Con la reforma al Sistema Estatal de Pensiones y a los servicios médicos se buscó impulsar mecanismos que incentivaran la capitalización de Pensiones Civiles, a través de la modificación en las cuotas de aportación por parte del Gobierno Estatal y del trabajador y de las edades para jubilación y pensión de los trabajadores en activo.</w:t>
      </w:r>
    </w:p>
    <w:p w:rsidR="002F621E" w:rsidRPr="002F621E" w:rsidRDefault="002F621E" w:rsidP="002F621E">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Adicionalmente, se establecieron nuevos esquemas para el otorgamiento de créditos, fortaleciendo el régimen de inversión de los recursos pensionarios de los trabajadores. Por último, se buscó la consolidación del sistema de cuentas individuales de aportación, siendo obligatoria para los trabajadores de nuevo ingreso.</w:t>
      </w:r>
    </w:p>
    <w:p w:rsidR="002F621E" w:rsidRPr="002F621E" w:rsidRDefault="002F621E" w:rsidP="002F621E">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 xml:space="preserve">Con estas reformas, se redujo el pasivo de pensiones no fondeado de un estimado de 22,000 </w:t>
      </w:r>
      <w:proofErr w:type="spellStart"/>
      <w:r w:rsidRPr="002F621E">
        <w:rPr>
          <w:sz w:val="20"/>
          <w:szCs w:val="20"/>
        </w:rPr>
        <w:t>mdp</w:t>
      </w:r>
      <w:proofErr w:type="spellEnd"/>
      <w:r w:rsidRPr="002F621E">
        <w:rPr>
          <w:sz w:val="20"/>
          <w:szCs w:val="20"/>
        </w:rPr>
        <w:t xml:space="preserve"> a 9,413 </w:t>
      </w:r>
      <w:proofErr w:type="spellStart"/>
      <w:r w:rsidRPr="002F621E">
        <w:rPr>
          <w:sz w:val="20"/>
          <w:szCs w:val="20"/>
        </w:rPr>
        <w:t>mdp</w:t>
      </w:r>
      <w:proofErr w:type="spellEnd"/>
      <w:r w:rsidRPr="002F621E">
        <w:rPr>
          <w:sz w:val="20"/>
          <w:szCs w:val="20"/>
        </w:rPr>
        <w:t>, que en términos porcentuales corresponden del 134% al 47% de los ingresos totales del organismo.</w:t>
      </w:r>
    </w:p>
    <w:p w:rsidR="002160EB" w:rsidRDefault="002160EB" w:rsidP="002160EB">
      <w:pPr>
        <w:spacing w:line="360" w:lineRule="auto"/>
        <w:jc w:val="both"/>
        <w:rPr>
          <w:sz w:val="20"/>
          <w:szCs w:val="20"/>
        </w:rPr>
      </w:pPr>
    </w:p>
    <w:p w:rsidR="002160EB" w:rsidRDefault="002160EB" w:rsidP="002160EB">
      <w:pPr>
        <w:spacing w:line="360" w:lineRule="auto"/>
        <w:jc w:val="both"/>
        <w:rPr>
          <w:b/>
          <w:sz w:val="20"/>
          <w:szCs w:val="20"/>
        </w:rPr>
      </w:pPr>
      <w:r>
        <w:rPr>
          <w:b/>
          <w:sz w:val="20"/>
          <w:szCs w:val="20"/>
        </w:rPr>
        <w:t>Deuda Pública</w:t>
      </w:r>
    </w:p>
    <w:p w:rsidR="002160EB" w:rsidRDefault="002160EB" w:rsidP="002160EB">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Tlaxcala es ejemplo de que el manejo de la deuda pública puede realizarse bajo los principios de disciplina y responsabilidad fiscal, al ubicar en un 0% como porcentaje del PIB Estatal el nivel de endeudamiento del Estado, ya que el mantenimiento de finanzas públicas sanas es prioridad de esta administración; sin embargo, considerando el deterioro de los resultados fiscales a nivel nacional podría conducir al requerimiento de recursos para complementar proyectos de infraestructura, por lo que no se desestima en el mediano plazo, la posibilidad de contratación de deuda para el financiamiento del gasto público.</w:t>
      </w:r>
    </w:p>
    <w:p w:rsidR="002160EB" w:rsidRDefault="002160EB" w:rsidP="002160EB">
      <w:pPr>
        <w:spacing w:line="360" w:lineRule="auto"/>
        <w:jc w:val="both"/>
        <w:rPr>
          <w:sz w:val="20"/>
          <w:szCs w:val="20"/>
        </w:rPr>
      </w:pPr>
    </w:p>
    <w:p w:rsidR="002160EB" w:rsidRDefault="002160EB" w:rsidP="002160EB">
      <w:pPr>
        <w:spacing w:line="360" w:lineRule="auto"/>
        <w:jc w:val="both"/>
        <w:rPr>
          <w:b/>
          <w:sz w:val="20"/>
          <w:szCs w:val="20"/>
        </w:rPr>
      </w:pPr>
      <w:r>
        <w:rPr>
          <w:b/>
          <w:sz w:val="20"/>
          <w:szCs w:val="20"/>
        </w:rPr>
        <w:t>Menor crecimiento económico</w:t>
      </w:r>
    </w:p>
    <w:p w:rsidR="002160EB" w:rsidRDefault="002160EB" w:rsidP="002160EB">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El Estado de Tlaxcala tiene una población de 1.3 millones de habitantes y es la Entidad más pequeña en términos de producción económica. La economía del Estado es débil en comparación con otros estados mexicanos, lo cual limita la capacidad de generar ingresos desde la base tributaria regional. En 2012 el PIB per cápita era equivalente al 53.4% de la media nacional, muy por debajo de la media registrada y en 2013 los ingresos propios representaron el 3.1% del total de ingresos muy por debajo de la mediana del resto de los estados, por lo que un cambio estructural en la dinámica económica y los niveles de riqueza de Tlaxcala podrían generar menores niveles de ingresos propios y una menor flexibilidad financiera, pudiendo ejercer presión en la estabilidad económica del Estado.</w:t>
      </w:r>
    </w:p>
    <w:p w:rsidR="002F621E" w:rsidRPr="002F621E" w:rsidRDefault="002F621E" w:rsidP="002F621E">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 xml:space="preserve">Para contener este riesgo, el Gobierno del Estado ha llevado a cabo una mayor promoción de la inversión pública y privada, así como del turismo, la incorporación de causantes informales, </w:t>
      </w:r>
      <w:r w:rsidRPr="002F621E">
        <w:rPr>
          <w:sz w:val="20"/>
          <w:szCs w:val="20"/>
        </w:rPr>
        <w:lastRenderedPageBreak/>
        <w:t>intensificar la fiscalización y el cobro de impuestos, para fomentar la economía e incrementar la recaudación.</w:t>
      </w:r>
    </w:p>
    <w:p w:rsidR="002160EB" w:rsidRDefault="002160EB" w:rsidP="002160EB">
      <w:pPr>
        <w:spacing w:line="360" w:lineRule="auto"/>
        <w:jc w:val="both"/>
        <w:rPr>
          <w:sz w:val="20"/>
          <w:szCs w:val="20"/>
        </w:rPr>
      </w:pPr>
    </w:p>
    <w:p w:rsidR="002160EB" w:rsidRDefault="002160EB" w:rsidP="002160EB">
      <w:pPr>
        <w:spacing w:line="360" w:lineRule="auto"/>
        <w:jc w:val="both"/>
        <w:rPr>
          <w:b/>
          <w:bCs/>
          <w:sz w:val="20"/>
          <w:szCs w:val="20"/>
        </w:rPr>
      </w:pPr>
      <w:r>
        <w:rPr>
          <w:b/>
          <w:bCs/>
          <w:sz w:val="20"/>
          <w:szCs w:val="20"/>
        </w:rPr>
        <w:t>EVOLUCIÓN DE LAS FINANZAS PÚBLICAS 2015-2019.</w:t>
      </w:r>
    </w:p>
    <w:p w:rsidR="002160EB" w:rsidRDefault="002160EB" w:rsidP="002160EB">
      <w:pPr>
        <w:spacing w:line="360" w:lineRule="auto"/>
        <w:jc w:val="both"/>
        <w:rPr>
          <w:sz w:val="20"/>
          <w:szCs w:val="20"/>
        </w:rPr>
      </w:pPr>
    </w:p>
    <w:p w:rsidR="002F621E" w:rsidRDefault="002F621E" w:rsidP="002F621E">
      <w:pPr>
        <w:spacing w:line="360" w:lineRule="auto"/>
        <w:jc w:val="both"/>
        <w:rPr>
          <w:sz w:val="20"/>
          <w:szCs w:val="20"/>
        </w:rPr>
      </w:pPr>
      <w:r w:rsidRPr="002F621E">
        <w:rPr>
          <w:sz w:val="20"/>
          <w:szCs w:val="20"/>
        </w:rPr>
        <w:t>La evolución de las finanzas públicas del Estado obedece a la dinámica de los ingresos estatales totales, los cuales a su vez son determinados por el comportamiento de la Recaudación Federal Participable (RFP); esta situación que no es privativa del Estado de Tlaxcala, sino que se presenta en la gran mayoría de las entidades de la República, debido a las condiciones de los Convenios de Coordinación Fiscal y a las potestades tributarias que se otorgan a los estados para evitar la doble tributación, propicia que las finanzas públicas estatales sean sensibles ante el comportamiento de la economía nacional e internacional, tal y como se observa en la gráfica siguiente:</w:t>
      </w:r>
    </w:p>
    <w:p w:rsidR="002F621E" w:rsidRPr="002F621E" w:rsidRDefault="002F621E" w:rsidP="002F621E">
      <w:pPr>
        <w:spacing w:line="360" w:lineRule="auto"/>
        <w:jc w:val="both"/>
        <w:rPr>
          <w:sz w:val="20"/>
          <w:szCs w:val="20"/>
        </w:rPr>
      </w:pPr>
    </w:p>
    <w:p w:rsidR="002160EB" w:rsidRDefault="002F621E" w:rsidP="002160EB">
      <w:pPr>
        <w:spacing w:line="360" w:lineRule="auto"/>
        <w:jc w:val="both"/>
        <w:rPr>
          <w:sz w:val="20"/>
          <w:szCs w:val="20"/>
        </w:rPr>
      </w:pPr>
      <w:r>
        <w:rPr>
          <w:rFonts w:ascii="Arial" w:hAnsi="Arial" w:cs="Arial"/>
          <w:noProof/>
          <w:lang w:val="es-MX" w:eastAsia="es-MX"/>
        </w:rPr>
        <w:drawing>
          <wp:inline distT="0" distB="0" distL="0" distR="0" wp14:anchorId="74C95127" wp14:editId="6A3B424C">
            <wp:extent cx="5141595" cy="2748742"/>
            <wp:effectExtent l="0" t="0" r="190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5732" cy="2793723"/>
                    </a:xfrm>
                    <a:prstGeom prst="rect">
                      <a:avLst/>
                    </a:prstGeom>
                    <a:noFill/>
                  </pic:spPr>
                </pic:pic>
              </a:graphicData>
            </a:graphic>
          </wp:inline>
        </w:drawing>
      </w:r>
    </w:p>
    <w:p w:rsidR="002160EB" w:rsidRPr="002160EB" w:rsidRDefault="002160EB" w:rsidP="002160EB">
      <w:pPr>
        <w:spacing w:line="360" w:lineRule="auto"/>
        <w:jc w:val="both"/>
        <w:rPr>
          <w:sz w:val="12"/>
          <w:szCs w:val="12"/>
        </w:rPr>
      </w:pPr>
      <w:r w:rsidRPr="002160EB">
        <w:rPr>
          <w:b/>
          <w:sz w:val="12"/>
          <w:szCs w:val="12"/>
        </w:rPr>
        <w:t xml:space="preserve">Fuente: </w:t>
      </w:r>
      <w:r w:rsidRPr="002160EB">
        <w:rPr>
          <w:sz w:val="12"/>
          <w:szCs w:val="12"/>
        </w:rPr>
        <w:t xml:space="preserve">www.DOF.gob.mx Ley de Ingresos de la Federación Ejercicios Fiscales 2012-2019, Criterios Generales de Política Económica 2020. </w:t>
      </w:r>
    </w:p>
    <w:p w:rsidR="002F621E" w:rsidRDefault="002F621E" w:rsidP="002F621E">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lastRenderedPageBreak/>
        <w:t>Durante el periodo 2015-2019, los ingresos provenientes de la Federación registraron un incremento real moderado, debido principalmente a los resultados positivos de la economía nacional, sin embargo la baja en los precios del petróleo en años recientes, así como la salida del Reino Unido de la Unión Europea y la constante apreciación del dólar frente al peso, son factores que han aumentado la volatilidad de capitales en el país, rompiendo la dinámica de crecimiento observada en el periodo aludido; por otra parte y en concordancia con las políticas aplicadas por el Gobierno Federal, el Ejecutivo del Estado puso en marcha una política fiscal para la contención del gasto, implementando entre otras medidas la aplicación del Acuerdo que Establece los Lineamientos y Políticas Generales del Ejercicio del Presupuesto, las Medidas de Mejora y Modernización, así como de Austeridad del Gasto Público de la Gestión Administrativa por parte de las Dependencias y Entidades del Ejecutivo, a fin de optimizar el uso de recursos materiales y financieros al interior de los entes públicos, se disminuyeron las estructuras burocráticas de personal y se extinguieron entes públicos que realizaban actividades concurrentes con otros.</w:t>
      </w:r>
    </w:p>
    <w:p w:rsidR="002F621E" w:rsidRPr="002F621E" w:rsidRDefault="002F621E" w:rsidP="002F621E">
      <w:pPr>
        <w:spacing w:line="360" w:lineRule="auto"/>
        <w:jc w:val="both"/>
        <w:rPr>
          <w:sz w:val="20"/>
          <w:szCs w:val="20"/>
        </w:rPr>
      </w:pPr>
    </w:p>
    <w:p w:rsidR="002F621E" w:rsidRDefault="002F621E" w:rsidP="002F621E">
      <w:pPr>
        <w:spacing w:line="360" w:lineRule="auto"/>
        <w:jc w:val="both"/>
        <w:rPr>
          <w:sz w:val="20"/>
          <w:szCs w:val="20"/>
        </w:rPr>
      </w:pPr>
      <w:r w:rsidRPr="002F621E">
        <w:rPr>
          <w:sz w:val="20"/>
          <w:szCs w:val="20"/>
        </w:rPr>
        <w:t>La modernización de la administración tributaria tiene un papel fundamental en el fortalecimiento de la hacienda pública estatal. En este rubro, se han implementado mejoras administrativas, consolidándose la aplicación de sistemas recaudatorios más eficientes; reforzando la fiscalización de contribuyentes de impuestos estatales y promoviendo activamente el pago de contribuciones vía internet, tal y como se puede apreciar en la gráfica siguiente:</w:t>
      </w:r>
    </w:p>
    <w:p w:rsidR="002160EB" w:rsidRDefault="002160EB" w:rsidP="002F621E">
      <w:pPr>
        <w:spacing w:line="360" w:lineRule="auto"/>
        <w:jc w:val="both"/>
        <w:rPr>
          <w:sz w:val="20"/>
          <w:szCs w:val="20"/>
        </w:rPr>
      </w:pPr>
      <w:r>
        <w:rPr>
          <w:noProof/>
          <w:lang w:val="es-MX" w:eastAsia="es-MX"/>
        </w:rPr>
        <w:drawing>
          <wp:inline distT="0" distB="0" distL="0" distR="0" wp14:anchorId="74318B07" wp14:editId="06046D6B">
            <wp:extent cx="4772025" cy="1895475"/>
            <wp:effectExtent l="0" t="0" r="9525" b="9525"/>
            <wp:docPr id="49" name="Imagen 49"/>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2025" cy="1895475"/>
                    </a:xfrm>
                    <a:prstGeom prst="rect">
                      <a:avLst/>
                    </a:prstGeom>
                    <a:noFill/>
                  </pic:spPr>
                </pic:pic>
              </a:graphicData>
            </a:graphic>
          </wp:inline>
        </w:drawing>
      </w:r>
    </w:p>
    <w:p w:rsidR="002160EB" w:rsidRDefault="002160EB" w:rsidP="00A64D2A">
      <w:pPr>
        <w:spacing w:line="360" w:lineRule="auto"/>
        <w:jc w:val="center"/>
        <w:rPr>
          <w:b/>
          <w:sz w:val="20"/>
          <w:szCs w:val="20"/>
        </w:rPr>
      </w:pPr>
    </w:p>
    <w:p w:rsidR="002160EB" w:rsidRDefault="002160EB" w:rsidP="002160EB">
      <w:pPr>
        <w:spacing w:line="360" w:lineRule="auto"/>
        <w:jc w:val="both"/>
        <w:rPr>
          <w:sz w:val="20"/>
          <w:szCs w:val="20"/>
        </w:rPr>
      </w:pPr>
      <w:r>
        <w:rPr>
          <w:sz w:val="20"/>
          <w:szCs w:val="20"/>
        </w:rPr>
        <w:t>A continuación se presentan los resultados obtenidos en la recaudación de contribuciones locales, así como de recursos federales etiquetados y de libre disposición en los últimos cinco años y el pronóstico de cierre 2019.</w:t>
      </w:r>
    </w:p>
    <w:p w:rsidR="002160EB" w:rsidRDefault="002160EB" w:rsidP="00A64D2A">
      <w:pPr>
        <w:spacing w:line="360" w:lineRule="auto"/>
        <w:jc w:val="center"/>
        <w:rPr>
          <w:b/>
          <w:sz w:val="20"/>
          <w:szCs w:val="20"/>
        </w:rPr>
      </w:pPr>
    </w:p>
    <w:p w:rsidR="002160EB" w:rsidRDefault="002F621E" w:rsidP="00A64D2A">
      <w:pPr>
        <w:spacing w:line="360" w:lineRule="auto"/>
        <w:jc w:val="center"/>
        <w:rPr>
          <w:b/>
          <w:sz w:val="20"/>
          <w:szCs w:val="20"/>
        </w:rPr>
      </w:pPr>
      <w:r w:rsidRPr="00BB5C08">
        <w:rPr>
          <w:noProof/>
          <w:lang w:val="es-MX" w:eastAsia="es-MX"/>
        </w:rPr>
        <w:drawing>
          <wp:inline distT="0" distB="0" distL="0" distR="0" wp14:anchorId="7248DDA3" wp14:editId="706BA615">
            <wp:extent cx="5143500" cy="454131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0" cy="4541313"/>
                    </a:xfrm>
                    <a:prstGeom prst="rect">
                      <a:avLst/>
                    </a:prstGeom>
                    <a:noFill/>
                    <a:ln>
                      <a:noFill/>
                    </a:ln>
                  </pic:spPr>
                </pic:pic>
              </a:graphicData>
            </a:graphic>
          </wp:inline>
        </w:drawing>
      </w:r>
    </w:p>
    <w:p w:rsidR="002160EB" w:rsidRDefault="002160EB" w:rsidP="002160EB">
      <w:pPr>
        <w:spacing w:line="360" w:lineRule="auto"/>
        <w:jc w:val="both"/>
        <w:rPr>
          <w:b/>
          <w:bCs/>
          <w:sz w:val="20"/>
          <w:szCs w:val="20"/>
        </w:rPr>
      </w:pPr>
    </w:p>
    <w:p w:rsidR="002F621E" w:rsidRDefault="002F621E" w:rsidP="002160EB">
      <w:pPr>
        <w:spacing w:line="360" w:lineRule="auto"/>
        <w:jc w:val="both"/>
        <w:rPr>
          <w:b/>
          <w:bCs/>
          <w:sz w:val="20"/>
          <w:szCs w:val="20"/>
        </w:rPr>
      </w:pPr>
    </w:p>
    <w:p w:rsidR="002160EB" w:rsidRDefault="002160EB" w:rsidP="002160EB">
      <w:pPr>
        <w:spacing w:line="360" w:lineRule="auto"/>
        <w:jc w:val="both"/>
        <w:rPr>
          <w:b/>
          <w:bCs/>
          <w:sz w:val="20"/>
          <w:szCs w:val="20"/>
        </w:rPr>
      </w:pPr>
      <w:r>
        <w:rPr>
          <w:b/>
          <w:bCs/>
          <w:sz w:val="20"/>
          <w:szCs w:val="20"/>
        </w:rPr>
        <w:lastRenderedPageBreak/>
        <w:t>SISTEMA ESTATAL DE PENSIONES.</w:t>
      </w:r>
    </w:p>
    <w:p w:rsidR="002160EB" w:rsidRDefault="002160EB" w:rsidP="002160EB">
      <w:pPr>
        <w:spacing w:line="360" w:lineRule="auto"/>
        <w:jc w:val="both"/>
        <w:rPr>
          <w:sz w:val="20"/>
          <w:szCs w:val="20"/>
        </w:rPr>
      </w:pPr>
    </w:p>
    <w:p w:rsidR="002F621E" w:rsidRPr="002F621E" w:rsidRDefault="002F621E" w:rsidP="002F621E">
      <w:pPr>
        <w:spacing w:line="360" w:lineRule="auto"/>
        <w:jc w:val="both"/>
        <w:rPr>
          <w:sz w:val="20"/>
          <w:szCs w:val="20"/>
        </w:rPr>
      </w:pPr>
      <w:r w:rsidRPr="002F621E">
        <w:rPr>
          <w:sz w:val="20"/>
          <w:szCs w:val="20"/>
        </w:rPr>
        <w:t>De acuerdo al último estudio actuarial de las pensiones del Estado de Tlaxcala</w:t>
      </w:r>
      <w:r w:rsidRPr="002F621E">
        <w:rPr>
          <w:b/>
          <w:sz w:val="20"/>
          <w:szCs w:val="20"/>
          <w:vertAlign w:val="superscript"/>
        </w:rPr>
        <w:footnoteReference w:id="1"/>
      </w:r>
      <w:r w:rsidRPr="002F621E">
        <w:rPr>
          <w:sz w:val="20"/>
          <w:szCs w:val="20"/>
        </w:rPr>
        <w:t>, correspondiente al ejercicio fiscal 2018 y con una vigencia al ejercicio 2021 se tiene una reserva actuarial de 348.01 millones de pesos, con una población afiliada activa de 8,038 trabajadores y 2,014 pensionados, como a continuación se presenta:</w:t>
      </w:r>
    </w:p>
    <w:p w:rsidR="002160EB" w:rsidRDefault="002160EB" w:rsidP="002160EB">
      <w:pPr>
        <w:spacing w:line="360" w:lineRule="auto"/>
        <w:jc w:val="center"/>
        <w:rPr>
          <w:b/>
          <w:sz w:val="20"/>
          <w:szCs w:val="20"/>
        </w:rPr>
      </w:pPr>
      <w:r>
        <w:rPr>
          <w:b/>
          <w:sz w:val="20"/>
          <w:szCs w:val="20"/>
        </w:rPr>
        <w:t>Estudio Actuarial de Pensiones</w:t>
      </w:r>
    </w:p>
    <w:p w:rsidR="002160EB" w:rsidRDefault="002160EB" w:rsidP="002160EB">
      <w:pPr>
        <w:spacing w:line="360" w:lineRule="auto"/>
        <w:jc w:val="center"/>
        <w:rPr>
          <w:sz w:val="20"/>
          <w:szCs w:val="20"/>
        </w:rPr>
      </w:pPr>
      <w:r>
        <w:rPr>
          <w:noProof/>
          <w:sz w:val="20"/>
          <w:szCs w:val="20"/>
          <w:lang w:val="es-MX" w:eastAsia="es-MX"/>
        </w:rPr>
        <w:drawing>
          <wp:inline distT="0" distB="0" distL="0" distR="0">
            <wp:extent cx="5369560" cy="4001135"/>
            <wp:effectExtent l="0" t="0" r="254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1">
                      <a:extLst>
                        <a:ext uri="{28A0092B-C50C-407E-A947-70E740481C1C}">
                          <a14:useLocalDpi xmlns:a14="http://schemas.microsoft.com/office/drawing/2010/main" val="0"/>
                        </a:ext>
                      </a:extLst>
                    </a:blip>
                    <a:srcRect l="30527" t="8340" r="26665" b="42580"/>
                    <a:stretch>
                      <a:fillRect/>
                    </a:stretch>
                  </pic:blipFill>
                  <pic:spPr bwMode="auto">
                    <a:xfrm>
                      <a:off x="0" y="0"/>
                      <a:ext cx="5369560" cy="4001135"/>
                    </a:xfrm>
                    <a:prstGeom prst="rect">
                      <a:avLst/>
                    </a:prstGeom>
                    <a:noFill/>
                    <a:ln>
                      <a:noFill/>
                    </a:ln>
                  </pic:spPr>
                </pic:pic>
              </a:graphicData>
            </a:graphic>
          </wp:inline>
        </w:drawing>
      </w:r>
    </w:p>
    <w:p w:rsidR="002160EB" w:rsidRDefault="002160EB" w:rsidP="002160EB">
      <w:pPr>
        <w:spacing w:line="360" w:lineRule="auto"/>
        <w:jc w:val="both"/>
        <w:rPr>
          <w:sz w:val="20"/>
          <w:szCs w:val="20"/>
        </w:rPr>
      </w:pPr>
    </w:p>
    <w:p w:rsidR="002160EB" w:rsidRDefault="002160EB" w:rsidP="002160EB">
      <w:pPr>
        <w:spacing w:line="360" w:lineRule="auto"/>
        <w:jc w:val="both"/>
        <w:rPr>
          <w:sz w:val="20"/>
          <w:szCs w:val="20"/>
        </w:rPr>
      </w:pPr>
    </w:p>
    <w:p w:rsidR="002160EB" w:rsidRDefault="002160EB" w:rsidP="002160EB">
      <w:pPr>
        <w:spacing w:line="360" w:lineRule="auto"/>
        <w:jc w:val="center"/>
        <w:rPr>
          <w:sz w:val="20"/>
          <w:szCs w:val="20"/>
        </w:rPr>
      </w:pPr>
      <w:r>
        <w:rPr>
          <w:noProof/>
          <w:sz w:val="20"/>
          <w:szCs w:val="20"/>
          <w:lang w:val="es-MX" w:eastAsia="es-MX"/>
        </w:rPr>
        <w:drawing>
          <wp:inline distT="0" distB="0" distL="0" distR="0">
            <wp:extent cx="5172075" cy="2801620"/>
            <wp:effectExtent l="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2">
                      <a:extLst>
                        <a:ext uri="{28A0092B-C50C-407E-A947-70E740481C1C}">
                          <a14:useLocalDpi xmlns:a14="http://schemas.microsoft.com/office/drawing/2010/main" val="0"/>
                        </a:ext>
                      </a:extLst>
                    </a:blip>
                    <a:srcRect l="28563" t="9816" r="26646" b="47026"/>
                    <a:stretch>
                      <a:fillRect/>
                    </a:stretch>
                  </pic:blipFill>
                  <pic:spPr bwMode="auto">
                    <a:xfrm>
                      <a:off x="0" y="0"/>
                      <a:ext cx="5172075" cy="2801620"/>
                    </a:xfrm>
                    <a:prstGeom prst="rect">
                      <a:avLst/>
                    </a:prstGeom>
                    <a:noFill/>
                    <a:ln>
                      <a:noFill/>
                    </a:ln>
                  </pic:spPr>
                </pic:pic>
              </a:graphicData>
            </a:graphic>
          </wp:inline>
        </w:drawing>
      </w:r>
    </w:p>
    <w:p w:rsidR="002160EB" w:rsidRDefault="002160EB" w:rsidP="002160EB">
      <w:pPr>
        <w:spacing w:line="360" w:lineRule="auto"/>
        <w:jc w:val="center"/>
        <w:rPr>
          <w:sz w:val="20"/>
          <w:szCs w:val="20"/>
        </w:rPr>
      </w:pPr>
      <w:r>
        <w:rPr>
          <w:noProof/>
          <w:sz w:val="20"/>
          <w:szCs w:val="20"/>
          <w:lang w:val="es-MX" w:eastAsia="es-MX"/>
        </w:rPr>
        <w:drawing>
          <wp:inline distT="0" distB="0" distL="0" distR="0">
            <wp:extent cx="5172075" cy="2780030"/>
            <wp:effectExtent l="0" t="0" r="9525" b="127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3">
                      <a:extLst>
                        <a:ext uri="{28A0092B-C50C-407E-A947-70E740481C1C}">
                          <a14:useLocalDpi xmlns:a14="http://schemas.microsoft.com/office/drawing/2010/main" val="0"/>
                        </a:ext>
                      </a:extLst>
                    </a:blip>
                    <a:srcRect l="30650" t="29076" r="26672" b="40491"/>
                    <a:stretch>
                      <a:fillRect/>
                    </a:stretch>
                  </pic:blipFill>
                  <pic:spPr bwMode="auto">
                    <a:xfrm>
                      <a:off x="0" y="0"/>
                      <a:ext cx="5172075" cy="2780030"/>
                    </a:xfrm>
                    <a:prstGeom prst="rect">
                      <a:avLst/>
                    </a:prstGeom>
                    <a:noFill/>
                    <a:ln>
                      <a:noFill/>
                    </a:ln>
                  </pic:spPr>
                </pic:pic>
              </a:graphicData>
            </a:graphic>
          </wp:inline>
        </w:drawing>
      </w:r>
    </w:p>
    <w:p w:rsidR="002160EB" w:rsidRDefault="002160EB" w:rsidP="002160EB">
      <w:pPr>
        <w:spacing w:line="360" w:lineRule="auto"/>
        <w:jc w:val="center"/>
        <w:rPr>
          <w:sz w:val="20"/>
          <w:szCs w:val="20"/>
        </w:rPr>
      </w:pPr>
      <w:r>
        <w:rPr>
          <w:noProof/>
          <w:sz w:val="20"/>
          <w:szCs w:val="20"/>
          <w:lang w:val="es-MX" w:eastAsia="es-MX"/>
        </w:rPr>
        <w:lastRenderedPageBreak/>
        <w:drawing>
          <wp:inline distT="0" distB="0" distL="0" distR="0">
            <wp:extent cx="5142865" cy="1901825"/>
            <wp:effectExtent l="0" t="0" r="635" b="317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4">
                      <a:extLst>
                        <a:ext uri="{28A0092B-C50C-407E-A947-70E740481C1C}">
                          <a14:useLocalDpi xmlns:a14="http://schemas.microsoft.com/office/drawing/2010/main" val="0"/>
                        </a:ext>
                      </a:extLst>
                    </a:blip>
                    <a:srcRect l="30762" t="37547" r="37718" b="43959"/>
                    <a:stretch>
                      <a:fillRect/>
                    </a:stretch>
                  </pic:blipFill>
                  <pic:spPr bwMode="auto">
                    <a:xfrm>
                      <a:off x="0" y="0"/>
                      <a:ext cx="5142865" cy="1901825"/>
                    </a:xfrm>
                    <a:prstGeom prst="rect">
                      <a:avLst/>
                    </a:prstGeom>
                    <a:noFill/>
                    <a:ln>
                      <a:noFill/>
                    </a:ln>
                  </pic:spPr>
                </pic:pic>
              </a:graphicData>
            </a:graphic>
          </wp:inline>
        </w:drawing>
      </w:r>
    </w:p>
    <w:p w:rsidR="002F621E" w:rsidRPr="002F621E" w:rsidRDefault="002F621E" w:rsidP="002F621E">
      <w:pPr>
        <w:spacing w:line="360" w:lineRule="auto"/>
        <w:jc w:val="both"/>
        <w:rPr>
          <w:sz w:val="20"/>
          <w:szCs w:val="20"/>
        </w:rPr>
      </w:pPr>
      <w:r w:rsidRPr="002F621E">
        <w:rPr>
          <w:sz w:val="20"/>
          <w:szCs w:val="20"/>
        </w:rPr>
        <w:t>Con la finalidad de coadyuvar en el saneamiento de las Pensiones Civiles del Estado de Tlaxcala, el Ejecutivo del Estado ha otorgado a la fecha aportaciones extraordinarias a Pensiones Civiles del Estado por un importe estimado de 606.3 millones de pesos al cierre de 2019, considerándose a su vez, dentro de la presente Iniciativa una aportación extraordinaria por hasta 100.0 millones de pesos.</w:t>
      </w:r>
    </w:p>
    <w:p w:rsidR="002F621E" w:rsidRPr="002F621E" w:rsidRDefault="002F621E" w:rsidP="002F621E">
      <w:pPr>
        <w:spacing w:line="360" w:lineRule="auto"/>
        <w:jc w:val="both"/>
        <w:rPr>
          <w:sz w:val="20"/>
          <w:szCs w:val="20"/>
        </w:rPr>
      </w:pPr>
    </w:p>
    <w:tbl>
      <w:tblPr>
        <w:tblW w:w="3640" w:type="dxa"/>
        <w:jc w:val="center"/>
        <w:tblCellMar>
          <w:left w:w="70" w:type="dxa"/>
          <w:right w:w="70" w:type="dxa"/>
        </w:tblCellMar>
        <w:tblLook w:val="04A0" w:firstRow="1" w:lastRow="0" w:firstColumn="1" w:lastColumn="0" w:noHBand="0" w:noVBand="1"/>
      </w:tblPr>
      <w:tblGrid>
        <w:gridCol w:w="1560"/>
        <w:gridCol w:w="2080"/>
      </w:tblGrid>
      <w:tr w:rsidR="002F621E" w:rsidRPr="002F621E" w:rsidTr="008E6390">
        <w:trPr>
          <w:trHeight w:val="701"/>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2F621E" w:rsidRPr="002F621E" w:rsidRDefault="002F621E" w:rsidP="008E6390">
            <w:pPr>
              <w:spacing w:line="360" w:lineRule="auto"/>
              <w:jc w:val="center"/>
              <w:rPr>
                <w:b/>
                <w:bCs/>
                <w:color w:val="000000"/>
                <w:sz w:val="20"/>
                <w:szCs w:val="20"/>
                <w:lang w:eastAsia="es-MX"/>
              </w:rPr>
            </w:pPr>
            <w:r w:rsidRPr="002F621E">
              <w:rPr>
                <w:b/>
                <w:bCs/>
                <w:color w:val="000000"/>
                <w:sz w:val="20"/>
                <w:szCs w:val="20"/>
                <w:lang w:eastAsia="es-MX"/>
              </w:rPr>
              <w:t>AÑO</w:t>
            </w:r>
          </w:p>
        </w:tc>
        <w:tc>
          <w:tcPr>
            <w:tcW w:w="208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rsidR="002F621E" w:rsidRPr="002F621E" w:rsidRDefault="002F621E" w:rsidP="008E6390">
            <w:pPr>
              <w:spacing w:line="360" w:lineRule="auto"/>
              <w:jc w:val="center"/>
              <w:rPr>
                <w:b/>
                <w:bCs/>
                <w:color w:val="000000"/>
                <w:sz w:val="20"/>
                <w:szCs w:val="20"/>
                <w:lang w:eastAsia="es-MX"/>
              </w:rPr>
            </w:pPr>
            <w:r w:rsidRPr="002F621E">
              <w:rPr>
                <w:b/>
                <w:bCs/>
                <w:color w:val="000000"/>
                <w:sz w:val="20"/>
                <w:szCs w:val="20"/>
                <w:lang w:eastAsia="es-MX"/>
              </w:rPr>
              <w:t>APOYO ESTATAL EXTRAORDINARIO</w:t>
            </w:r>
          </w:p>
        </w:tc>
      </w:tr>
      <w:tr w:rsidR="002F621E" w:rsidRPr="002F621E" w:rsidTr="008E6390">
        <w:trPr>
          <w:trHeight w:val="2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F621E" w:rsidRPr="002F621E" w:rsidRDefault="002F621E" w:rsidP="008E6390">
            <w:pPr>
              <w:spacing w:line="360" w:lineRule="auto"/>
              <w:rPr>
                <w:b/>
                <w:bCs/>
                <w:color w:val="000000"/>
                <w:sz w:val="20"/>
                <w:szCs w:val="20"/>
                <w:lang w:eastAsia="es-MX"/>
              </w:rPr>
            </w:pPr>
            <w:r w:rsidRPr="002F621E">
              <w:rPr>
                <w:b/>
                <w:bCs/>
                <w:color w:val="000000"/>
                <w:sz w:val="20"/>
                <w:szCs w:val="20"/>
                <w:lang w:eastAsia="es-MX"/>
              </w:rPr>
              <w:t>Ejercicio 2011</w:t>
            </w:r>
          </w:p>
        </w:tc>
        <w:tc>
          <w:tcPr>
            <w:tcW w:w="2080" w:type="dxa"/>
            <w:tcBorders>
              <w:top w:val="nil"/>
              <w:left w:val="nil"/>
              <w:bottom w:val="single" w:sz="4" w:space="0" w:color="auto"/>
              <w:right w:val="single" w:sz="4" w:space="0" w:color="auto"/>
            </w:tcBorders>
            <w:shd w:val="clear" w:color="auto" w:fill="auto"/>
            <w:noWrap/>
            <w:vAlign w:val="center"/>
            <w:hideMark/>
          </w:tcPr>
          <w:p w:rsidR="002F621E" w:rsidRPr="002F621E" w:rsidRDefault="002F621E" w:rsidP="008E6390">
            <w:pPr>
              <w:spacing w:line="360" w:lineRule="auto"/>
              <w:jc w:val="right"/>
              <w:rPr>
                <w:color w:val="000000"/>
                <w:sz w:val="20"/>
                <w:szCs w:val="20"/>
                <w:lang w:eastAsia="es-MX"/>
              </w:rPr>
            </w:pPr>
            <w:r w:rsidRPr="002F621E">
              <w:rPr>
                <w:color w:val="000000"/>
                <w:sz w:val="20"/>
                <w:szCs w:val="20"/>
                <w:lang w:eastAsia="es-MX"/>
              </w:rPr>
              <w:t>139.7</w:t>
            </w:r>
          </w:p>
        </w:tc>
      </w:tr>
      <w:tr w:rsidR="002F621E" w:rsidRPr="002F621E" w:rsidTr="008E6390">
        <w:trPr>
          <w:trHeight w:val="1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F621E" w:rsidRPr="002F621E" w:rsidRDefault="002F621E" w:rsidP="008E6390">
            <w:pPr>
              <w:spacing w:line="360" w:lineRule="auto"/>
              <w:rPr>
                <w:b/>
                <w:bCs/>
                <w:color w:val="000000"/>
                <w:sz w:val="20"/>
                <w:szCs w:val="20"/>
                <w:lang w:eastAsia="es-MX"/>
              </w:rPr>
            </w:pPr>
            <w:r w:rsidRPr="002F621E">
              <w:rPr>
                <w:b/>
                <w:bCs/>
                <w:color w:val="000000"/>
                <w:sz w:val="20"/>
                <w:szCs w:val="20"/>
                <w:lang w:eastAsia="es-MX"/>
              </w:rPr>
              <w:t>Ejercicio 2012</w:t>
            </w:r>
          </w:p>
        </w:tc>
        <w:tc>
          <w:tcPr>
            <w:tcW w:w="2080" w:type="dxa"/>
            <w:tcBorders>
              <w:top w:val="nil"/>
              <w:left w:val="nil"/>
              <w:bottom w:val="single" w:sz="4" w:space="0" w:color="auto"/>
              <w:right w:val="single" w:sz="4" w:space="0" w:color="auto"/>
            </w:tcBorders>
            <w:shd w:val="clear" w:color="auto" w:fill="auto"/>
            <w:noWrap/>
            <w:vAlign w:val="center"/>
            <w:hideMark/>
          </w:tcPr>
          <w:p w:rsidR="002F621E" w:rsidRPr="002F621E" w:rsidRDefault="002F621E" w:rsidP="008E6390">
            <w:pPr>
              <w:spacing w:line="360" w:lineRule="auto"/>
              <w:jc w:val="right"/>
              <w:rPr>
                <w:color w:val="000000"/>
                <w:sz w:val="20"/>
                <w:szCs w:val="20"/>
                <w:lang w:eastAsia="es-MX"/>
              </w:rPr>
            </w:pPr>
            <w:r w:rsidRPr="002F621E">
              <w:rPr>
                <w:color w:val="000000"/>
                <w:sz w:val="20"/>
                <w:szCs w:val="20"/>
                <w:lang w:eastAsia="es-MX"/>
              </w:rPr>
              <w:t>118.3</w:t>
            </w:r>
          </w:p>
        </w:tc>
      </w:tr>
      <w:tr w:rsidR="002F621E" w:rsidRPr="002F621E" w:rsidTr="008E6390">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F621E" w:rsidRPr="002F621E" w:rsidRDefault="002F621E" w:rsidP="008E6390">
            <w:pPr>
              <w:spacing w:line="360" w:lineRule="auto"/>
              <w:rPr>
                <w:b/>
                <w:bCs/>
                <w:color w:val="000000"/>
                <w:sz w:val="20"/>
                <w:szCs w:val="20"/>
                <w:lang w:eastAsia="es-MX"/>
              </w:rPr>
            </w:pPr>
            <w:r w:rsidRPr="002F621E">
              <w:rPr>
                <w:b/>
                <w:bCs/>
                <w:color w:val="000000"/>
                <w:sz w:val="20"/>
                <w:szCs w:val="20"/>
                <w:lang w:eastAsia="es-MX"/>
              </w:rPr>
              <w:t>Ejercicio 2013</w:t>
            </w:r>
          </w:p>
        </w:tc>
        <w:tc>
          <w:tcPr>
            <w:tcW w:w="2080" w:type="dxa"/>
            <w:tcBorders>
              <w:top w:val="nil"/>
              <w:left w:val="nil"/>
              <w:bottom w:val="single" w:sz="4" w:space="0" w:color="auto"/>
              <w:right w:val="single" w:sz="4" w:space="0" w:color="auto"/>
            </w:tcBorders>
            <w:shd w:val="clear" w:color="auto" w:fill="auto"/>
            <w:noWrap/>
            <w:vAlign w:val="center"/>
            <w:hideMark/>
          </w:tcPr>
          <w:p w:rsidR="002F621E" w:rsidRPr="002F621E" w:rsidRDefault="002F621E" w:rsidP="008E6390">
            <w:pPr>
              <w:spacing w:line="360" w:lineRule="auto"/>
              <w:jc w:val="right"/>
              <w:rPr>
                <w:color w:val="000000"/>
                <w:sz w:val="20"/>
                <w:szCs w:val="20"/>
                <w:lang w:eastAsia="es-MX"/>
              </w:rPr>
            </w:pPr>
            <w:r w:rsidRPr="002F621E">
              <w:rPr>
                <w:color w:val="000000"/>
                <w:sz w:val="20"/>
                <w:szCs w:val="20"/>
                <w:lang w:eastAsia="es-MX"/>
              </w:rPr>
              <w:t>16.5</w:t>
            </w:r>
          </w:p>
        </w:tc>
      </w:tr>
      <w:tr w:rsidR="002F621E" w:rsidRPr="002F621E" w:rsidTr="008E6390">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F621E" w:rsidRPr="002F621E" w:rsidRDefault="002F621E" w:rsidP="008E6390">
            <w:pPr>
              <w:spacing w:line="360" w:lineRule="auto"/>
              <w:rPr>
                <w:b/>
                <w:bCs/>
                <w:color w:val="000000"/>
                <w:sz w:val="20"/>
                <w:szCs w:val="20"/>
                <w:lang w:eastAsia="es-MX"/>
              </w:rPr>
            </w:pPr>
            <w:r w:rsidRPr="002F621E">
              <w:rPr>
                <w:b/>
                <w:bCs/>
                <w:color w:val="000000"/>
                <w:sz w:val="20"/>
                <w:szCs w:val="20"/>
                <w:lang w:eastAsia="es-MX"/>
              </w:rPr>
              <w:t>Ejercicio 2014</w:t>
            </w:r>
          </w:p>
        </w:tc>
        <w:tc>
          <w:tcPr>
            <w:tcW w:w="2080" w:type="dxa"/>
            <w:tcBorders>
              <w:top w:val="nil"/>
              <w:left w:val="nil"/>
              <w:bottom w:val="single" w:sz="4" w:space="0" w:color="auto"/>
              <w:right w:val="single" w:sz="4" w:space="0" w:color="auto"/>
            </w:tcBorders>
            <w:shd w:val="clear" w:color="auto" w:fill="auto"/>
            <w:noWrap/>
            <w:vAlign w:val="center"/>
            <w:hideMark/>
          </w:tcPr>
          <w:p w:rsidR="002F621E" w:rsidRPr="002F621E" w:rsidRDefault="002F621E" w:rsidP="008E6390">
            <w:pPr>
              <w:spacing w:line="360" w:lineRule="auto"/>
              <w:jc w:val="right"/>
              <w:rPr>
                <w:color w:val="000000"/>
                <w:sz w:val="20"/>
                <w:szCs w:val="20"/>
                <w:lang w:eastAsia="es-MX"/>
              </w:rPr>
            </w:pPr>
            <w:r w:rsidRPr="002F621E">
              <w:rPr>
                <w:color w:val="000000"/>
                <w:sz w:val="20"/>
                <w:szCs w:val="20"/>
                <w:lang w:eastAsia="es-MX"/>
              </w:rPr>
              <w:t>29.0</w:t>
            </w:r>
          </w:p>
        </w:tc>
      </w:tr>
      <w:tr w:rsidR="002F621E" w:rsidRPr="002F621E" w:rsidTr="008E6390">
        <w:trPr>
          <w:trHeight w:val="326"/>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F621E" w:rsidRPr="002F621E" w:rsidRDefault="002F621E" w:rsidP="008E6390">
            <w:pPr>
              <w:spacing w:line="360" w:lineRule="auto"/>
              <w:rPr>
                <w:b/>
                <w:bCs/>
                <w:color w:val="000000"/>
                <w:sz w:val="20"/>
                <w:szCs w:val="20"/>
                <w:lang w:eastAsia="es-MX"/>
              </w:rPr>
            </w:pPr>
            <w:r w:rsidRPr="002F621E">
              <w:rPr>
                <w:b/>
                <w:bCs/>
                <w:color w:val="000000"/>
                <w:sz w:val="20"/>
                <w:szCs w:val="20"/>
                <w:lang w:eastAsia="es-MX"/>
              </w:rPr>
              <w:t>Ejercicio 2015</w:t>
            </w:r>
          </w:p>
        </w:tc>
        <w:tc>
          <w:tcPr>
            <w:tcW w:w="2080" w:type="dxa"/>
            <w:tcBorders>
              <w:top w:val="nil"/>
              <w:left w:val="nil"/>
              <w:bottom w:val="single" w:sz="4" w:space="0" w:color="auto"/>
              <w:right w:val="single" w:sz="4" w:space="0" w:color="auto"/>
            </w:tcBorders>
            <w:shd w:val="clear" w:color="auto" w:fill="auto"/>
            <w:noWrap/>
            <w:vAlign w:val="center"/>
            <w:hideMark/>
          </w:tcPr>
          <w:p w:rsidR="002F621E" w:rsidRPr="002F621E" w:rsidRDefault="002F621E" w:rsidP="008E6390">
            <w:pPr>
              <w:spacing w:line="360" w:lineRule="auto"/>
              <w:jc w:val="right"/>
              <w:rPr>
                <w:color w:val="000000"/>
                <w:sz w:val="20"/>
                <w:szCs w:val="20"/>
                <w:lang w:eastAsia="es-MX"/>
              </w:rPr>
            </w:pPr>
            <w:r w:rsidRPr="002F621E">
              <w:rPr>
                <w:color w:val="000000"/>
                <w:sz w:val="20"/>
                <w:szCs w:val="20"/>
                <w:lang w:eastAsia="es-MX"/>
              </w:rPr>
              <w:t>34.6</w:t>
            </w:r>
          </w:p>
        </w:tc>
      </w:tr>
      <w:tr w:rsidR="002F621E" w:rsidRPr="002F621E" w:rsidTr="008E6390">
        <w:trPr>
          <w:trHeight w:val="332"/>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F621E" w:rsidRPr="002F621E" w:rsidRDefault="002F621E" w:rsidP="008E6390">
            <w:pPr>
              <w:spacing w:line="360" w:lineRule="auto"/>
              <w:rPr>
                <w:b/>
                <w:bCs/>
                <w:color w:val="000000"/>
                <w:sz w:val="20"/>
                <w:szCs w:val="20"/>
                <w:lang w:eastAsia="es-MX"/>
              </w:rPr>
            </w:pPr>
            <w:r w:rsidRPr="002F621E">
              <w:rPr>
                <w:b/>
                <w:bCs/>
                <w:color w:val="000000"/>
                <w:sz w:val="20"/>
                <w:szCs w:val="20"/>
                <w:lang w:eastAsia="es-MX"/>
              </w:rPr>
              <w:t>Ejercicio 2016</w:t>
            </w:r>
          </w:p>
        </w:tc>
        <w:tc>
          <w:tcPr>
            <w:tcW w:w="2080" w:type="dxa"/>
            <w:tcBorders>
              <w:top w:val="nil"/>
              <w:left w:val="nil"/>
              <w:bottom w:val="single" w:sz="4" w:space="0" w:color="auto"/>
              <w:right w:val="single" w:sz="4" w:space="0" w:color="auto"/>
            </w:tcBorders>
            <w:shd w:val="clear" w:color="auto" w:fill="auto"/>
            <w:noWrap/>
            <w:vAlign w:val="center"/>
            <w:hideMark/>
          </w:tcPr>
          <w:p w:rsidR="002F621E" w:rsidRPr="002F621E" w:rsidRDefault="002F621E" w:rsidP="008E6390">
            <w:pPr>
              <w:spacing w:line="360" w:lineRule="auto"/>
              <w:jc w:val="right"/>
              <w:rPr>
                <w:color w:val="000000"/>
                <w:sz w:val="20"/>
                <w:szCs w:val="20"/>
                <w:lang w:eastAsia="es-MX"/>
              </w:rPr>
            </w:pPr>
            <w:r w:rsidRPr="002F621E">
              <w:rPr>
                <w:color w:val="000000"/>
                <w:sz w:val="20"/>
                <w:szCs w:val="20"/>
                <w:lang w:eastAsia="es-MX"/>
              </w:rPr>
              <w:t>165.3</w:t>
            </w:r>
          </w:p>
        </w:tc>
      </w:tr>
      <w:tr w:rsidR="002F621E" w:rsidRPr="002F621E" w:rsidTr="008E6390">
        <w:trPr>
          <w:trHeight w:val="209"/>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2F621E" w:rsidRPr="002F621E" w:rsidRDefault="002F621E" w:rsidP="008E6390">
            <w:pPr>
              <w:spacing w:line="360" w:lineRule="auto"/>
              <w:jc w:val="center"/>
              <w:rPr>
                <w:b/>
                <w:bCs/>
                <w:color w:val="000000"/>
                <w:sz w:val="20"/>
                <w:szCs w:val="20"/>
                <w:lang w:eastAsia="es-MX"/>
              </w:rPr>
            </w:pPr>
            <w:r w:rsidRPr="002F621E">
              <w:rPr>
                <w:b/>
                <w:bCs/>
                <w:color w:val="000000"/>
                <w:sz w:val="20"/>
                <w:szCs w:val="20"/>
                <w:lang w:eastAsia="es-MX"/>
              </w:rPr>
              <w:t>Ejercicio 2017</w:t>
            </w:r>
          </w:p>
        </w:tc>
        <w:tc>
          <w:tcPr>
            <w:tcW w:w="2080" w:type="dxa"/>
            <w:tcBorders>
              <w:top w:val="nil"/>
              <w:left w:val="nil"/>
              <w:bottom w:val="single" w:sz="4" w:space="0" w:color="auto"/>
              <w:right w:val="single" w:sz="4" w:space="0" w:color="auto"/>
            </w:tcBorders>
            <w:shd w:val="clear" w:color="auto" w:fill="auto"/>
            <w:noWrap/>
            <w:vAlign w:val="center"/>
          </w:tcPr>
          <w:p w:rsidR="002F621E" w:rsidRPr="002F621E" w:rsidRDefault="002F621E" w:rsidP="008E6390">
            <w:pPr>
              <w:spacing w:line="360" w:lineRule="auto"/>
              <w:jc w:val="right"/>
              <w:rPr>
                <w:bCs/>
                <w:color w:val="000000"/>
                <w:sz w:val="20"/>
                <w:szCs w:val="20"/>
                <w:highlight w:val="yellow"/>
                <w:lang w:eastAsia="es-MX"/>
              </w:rPr>
            </w:pPr>
            <w:r w:rsidRPr="002F621E">
              <w:rPr>
                <w:bCs/>
                <w:color w:val="000000"/>
                <w:sz w:val="20"/>
                <w:szCs w:val="20"/>
                <w:lang w:eastAsia="es-MX"/>
              </w:rPr>
              <w:t>26.6</w:t>
            </w:r>
          </w:p>
        </w:tc>
      </w:tr>
      <w:tr w:rsidR="002F621E" w:rsidRPr="002F621E" w:rsidTr="008E6390">
        <w:trPr>
          <w:trHeight w:val="257"/>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2F621E" w:rsidRPr="002F621E" w:rsidRDefault="002F621E" w:rsidP="008E6390">
            <w:pPr>
              <w:spacing w:line="360" w:lineRule="auto"/>
              <w:jc w:val="center"/>
              <w:rPr>
                <w:b/>
                <w:bCs/>
                <w:color w:val="000000"/>
                <w:sz w:val="20"/>
                <w:szCs w:val="20"/>
                <w:lang w:eastAsia="es-MX"/>
              </w:rPr>
            </w:pPr>
            <w:r w:rsidRPr="002F621E">
              <w:rPr>
                <w:b/>
                <w:bCs/>
                <w:color w:val="000000"/>
                <w:sz w:val="20"/>
                <w:szCs w:val="20"/>
                <w:lang w:eastAsia="es-MX"/>
              </w:rPr>
              <w:t>Ejercicio 2018</w:t>
            </w:r>
          </w:p>
        </w:tc>
        <w:tc>
          <w:tcPr>
            <w:tcW w:w="2080" w:type="dxa"/>
            <w:tcBorders>
              <w:top w:val="nil"/>
              <w:left w:val="nil"/>
              <w:bottom w:val="single" w:sz="4" w:space="0" w:color="auto"/>
              <w:right w:val="single" w:sz="4" w:space="0" w:color="auto"/>
            </w:tcBorders>
            <w:shd w:val="clear" w:color="auto" w:fill="auto"/>
            <w:noWrap/>
            <w:vAlign w:val="center"/>
          </w:tcPr>
          <w:p w:rsidR="002F621E" w:rsidRPr="002F621E" w:rsidRDefault="002F621E" w:rsidP="008E6390">
            <w:pPr>
              <w:spacing w:line="360" w:lineRule="auto"/>
              <w:jc w:val="right"/>
              <w:rPr>
                <w:bCs/>
                <w:color w:val="000000"/>
                <w:sz w:val="20"/>
                <w:szCs w:val="20"/>
                <w:lang w:eastAsia="es-MX"/>
              </w:rPr>
            </w:pPr>
            <w:r w:rsidRPr="002F621E">
              <w:rPr>
                <w:bCs/>
                <w:color w:val="000000"/>
                <w:sz w:val="20"/>
                <w:szCs w:val="20"/>
                <w:lang w:eastAsia="es-MX"/>
              </w:rPr>
              <w:t>31.0</w:t>
            </w:r>
          </w:p>
        </w:tc>
      </w:tr>
      <w:tr w:rsidR="002F621E" w:rsidRPr="002F621E" w:rsidTr="008E6390">
        <w:trPr>
          <w:trHeight w:val="278"/>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2F621E" w:rsidRPr="002F621E" w:rsidRDefault="002F621E" w:rsidP="008E6390">
            <w:pPr>
              <w:spacing w:line="360" w:lineRule="auto"/>
              <w:jc w:val="center"/>
              <w:rPr>
                <w:b/>
                <w:bCs/>
                <w:color w:val="000000"/>
                <w:sz w:val="20"/>
                <w:szCs w:val="20"/>
                <w:lang w:eastAsia="es-MX"/>
              </w:rPr>
            </w:pPr>
            <w:r w:rsidRPr="002F621E">
              <w:rPr>
                <w:b/>
                <w:bCs/>
                <w:color w:val="000000"/>
                <w:sz w:val="20"/>
                <w:szCs w:val="20"/>
                <w:lang w:eastAsia="es-MX"/>
              </w:rPr>
              <w:t>*Ejercicio 2019</w:t>
            </w:r>
          </w:p>
        </w:tc>
        <w:tc>
          <w:tcPr>
            <w:tcW w:w="2080" w:type="dxa"/>
            <w:tcBorders>
              <w:top w:val="nil"/>
              <w:left w:val="nil"/>
              <w:bottom w:val="single" w:sz="4" w:space="0" w:color="auto"/>
              <w:right w:val="single" w:sz="4" w:space="0" w:color="auto"/>
            </w:tcBorders>
            <w:shd w:val="clear" w:color="auto" w:fill="auto"/>
            <w:noWrap/>
            <w:vAlign w:val="center"/>
          </w:tcPr>
          <w:p w:rsidR="002F621E" w:rsidRPr="002F621E" w:rsidRDefault="002F621E" w:rsidP="008E6390">
            <w:pPr>
              <w:spacing w:line="360" w:lineRule="auto"/>
              <w:jc w:val="right"/>
              <w:rPr>
                <w:bCs/>
                <w:color w:val="000000"/>
                <w:sz w:val="20"/>
                <w:szCs w:val="20"/>
                <w:lang w:eastAsia="es-MX"/>
              </w:rPr>
            </w:pPr>
            <w:r w:rsidRPr="002F621E">
              <w:rPr>
                <w:bCs/>
                <w:color w:val="000000"/>
                <w:sz w:val="20"/>
                <w:szCs w:val="20"/>
                <w:lang w:eastAsia="es-MX"/>
              </w:rPr>
              <w:t>45.0</w:t>
            </w:r>
          </w:p>
        </w:tc>
      </w:tr>
      <w:tr w:rsidR="002F621E" w:rsidRPr="002F621E" w:rsidTr="008E6390">
        <w:trPr>
          <w:trHeight w:val="28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F621E" w:rsidRPr="002F621E" w:rsidRDefault="002F621E" w:rsidP="008E6390">
            <w:pPr>
              <w:spacing w:line="360" w:lineRule="auto"/>
              <w:jc w:val="center"/>
              <w:rPr>
                <w:b/>
                <w:bCs/>
                <w:color w:val="000000"/>
                <w:sz w:val="20"/>
                <w:szCs w:val="20"/>
                <w:lang w:eastAsia="es-MX"/>
              </w:rPr>
            </w:pPr>
            <w:r w:rsidRPr="002F621E">
              <w:rPr>
                <w:b/>
                <w:bCs/>
                <w:color w:val="000000"/>
                <w:sz w:val="20"/>
                <w:szCs w:val="20"/>
                <w:lang w:eastAsia="es-MX"/>
              </w:rPr>
              <w:t>SUMA</w:t>
            </w:r>
          </w:p>
        </w:tc>
        <w:tc>
          <w:tcPr>
            <w:tcW w:w="2080" w:type="dxa"/>
            <w:tcBorders>
              <w:top w:val="nil"/>
              <w:left w:val="nil"/>
              <w:bottom w:val="single" w:sz="4" w:space="0" w:color="auto"/>
              <w:right w:val="single" w:sz="4" w:space="0" w:color="auto"/>
            </w:tcBorders>
            <w:shd w:val="clear" w:color="auto" w:fill="auto"/>
            <w:noWrap/>
            <w:vAlign w:val="center"/>
            <w:hideMark/>
          </w:tcPr>
          <w:p w:rsidR="002F621E" w:rsidRPr="002F621E" w:rsidRDefault="002F621E" w:rsidP="008E6390">
            <w:pPr>
              <w:spacing w:line="360" w:lineRule="auto"/>
              <w:jc w:val="right"/>
              <w:rPr>
                <w:b/>
                <w:bCs/>
                <w:color w:val="000000"/>
                <w:sz w:val="20"/>
                <w:szCs w:val="20"/>
                <w:lang w:eastAsia="es-MX"/>
              </w:rPr>
            </w:pPr>
            <w:r w:rsidRPr="002F621E">
              <w:rPr>
                <w:b/>
                <w:bCs/>
                <w:color w:val="000000"/>
                <w:sz w:val="20"/>
                <w:szCs w:val="20"/>
                <w:lang w:eastAsia="es-MX"/>
              </w:rPr>
              <w:t>606.3</w:t>
            </w:r>
          </w:p>
        </w:tc>
      </w:tr>
    </w:tbl>
    <w:p w:rsidR="002F621E" w:rsidRPr="002F621E" w:rsidRDefault="002F621E" w:rsidP="002F621E">
      <w:pPr>
        <w:spacing w:line="360" w:lineRule="auto"/>
        <w:ind w:left="2268"/>
        <w:rPr>
          <w:b/>
          <w:sz w:val="20"/>
          <w:szCs w:val="20"/>
        </w:rPr>
      </w:pPr>
      <w:r w:rsidRPr="002F621E">
        <w:rPr>
          <w:b/>
          <w:sz w:val="20"/>
          <w:szCs w:val="20"/>
        </w:rPr>
        <w:t>* Cifra Estimada al Cierre de 2019</w:t>
      </w:r>
    </w:p>
    <w:p w:rsidR="002160EB" w:rsidRDefault="002160EB" w:rsidP="002160EB">
      <w:pPr>
        <w:spacing w:line="360" w:lineRule="auto"/>
        <w:jc w:val="both"/>
        <w:rPr>
          <w:sz w:val="20"/>
          <w:szCs w:val="20"/>
        </w:rPr>
      </w:pPr>
    </w:p>
    <w:p w:rsidR="002160EB" w:rsidRDefault="002160EB" w:rsidP="002160EB">
      <w:pPr>
        <w:spacing w:line="360" w:lineRule="auto"/>
        <w:jc w:val="both"/>
        <w:rPr>
          <w:sz w:val="20"/>
          <w:szCs w:val="20"/>
        </w:rPr>
      </w:pPr>
      <w:r>
        <w:rPr>
          <w:sz w:val="20"/>
          <w:szCs w:val="20"/>
        </w:rPr>
        <w:t>Los ingresos propios de Pensiones Civiles del Estado de Tlaxcala, se han visto incrementados, a partir, de la reforma, como a continuación se observa:</w:t>
      </w:r>
    </w:p>
    <w:p w:rsidR="002160EB" w:rsidRDefault="002160EB" w:rsidP="002160EB">
      <w:pPr>
        <w:spacing w:line="360" w:lineRule="auto"/>
        <w:jc w:val="both"/>
        <w:rPr>
          <w:sz w:val="20"/>
          <w:szCs w:val="20"/>
        </w:rPr>
      </w:pPr>
    </w:p>
    <w:tbl>
      <w:tblPr>
        <w:tblW w:w="3440" w:type="dxa"/>
        <w:jc w:val="center"/>
        <w:tblCellMar>
          <w:left w:w="70" w:type="dxa"/>
          <w:right w:w="70" w:type="dxa"/>
        </w:tblCellMar>
        <w:tblLook w:val="04A0" w:firstRow="1" w:lastRow="0" w:firstColumn="1" w:lastColumn="0" w:noHBand="0" w:noVBand="1"/>
      </w:tblPr>
      <w:tblGrid>
        <w:gridCol w:w="1540"/>
        <w:gridCol w:w="1900"/>
      </w:tblGrid>
      <w:tr w:rsidR="002160EB" w:rsidTr="002160EB">
        <w:trPr>
          <w:trHeight w:val="911"/>
          <w:jc w:val="center"/>
        </w:trPr>
        <w:tc>
          <w:tcPr>
            <w:tcW w:w="154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2160EB" w:rsidRDefault="002160EB">
            <w:pPr>
              <w:spacing w:line="360" w:lineRule="auto"/>
              <w:jc w:val="center"/>
              <w:rPr>
                <w:b/>
                <w:bCs/>
                <w:color w:val="000000"/>
                <w:sz w:val="20"/>
                <w:szCs w:val="20"/>
                <w:lang w:eastAsia="es-MX"/>
              </w:rPr>
            </w:pPr>
            <w:r>
              <w:rPr>
                <w:b/>
                <w:bCs/>
                <w:color w:val="000000"/>
                <w:sz w:val="20"/>
                <w:szCs w:val="20"/>
                <w:lang w:eastAsia="es-MX"/>
              </w:rPr>
              <w:t>AÑO</w:t>
            </w:r>
          </w:p>
        </w:tc>
        <w:tc>
          <w:tcPr>
            <w:tcW w:w="190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rsidR="002160EB" w:rsidRDefault="002160EB">
            <w:pPr>
              <w:spacing w:line="360" w:lineRule="auto"/>
              <w:jc w:val="center"/>
              <w:rPr>
                <w:b/>
                <w:bCs/>
                <w:color w:val="000000"/>
                <w:sz w:val="20"/>
                <w:szCs w:val="20"/>
                <w:lang w:eastAsia="es-MX"/>
              </w:rPr>
            </w:pPr>
            <w:r>
              <w:rPr>
                <w:b/>
                <w:bCs/>
                <w:color w:val="000000"/>
                <w:sz w:val="20"/>
                <w:szCs w:val="20"/>
                <w:lang w:eastAsia="es-MX"/>
              </w:rPr>
              <w:t>APORTACIONES Y RETENCIONES</w:t>
            </w:r>
          </w:p>
        </w:tc>
      </w:tr>
      <w:tr w:rsidR="002160EB" w:rsidTr="002160EB">
        <w:trPr>
          <w:trHeight w:val="510"/>
          <w:jc w:val="center"/>
        </w:trPr>
        <w:tc>
          <w:tcPr>
            <w:tcW w:w="1540" w:type="dxa"/>
            <w:tcBorders>
              <w:top w:val="nil"/>
              <w:left w:val="single" w:sz="4" w:space="0" w:color="auto"/>
              <w:bottom w:val="single" w:sz="4" w:space="0" w:color="auto"/>
              <w:right w:val="single" w:sz="4" w:space="0" w:color="auto"/>
            </w:tcBorders>
            <w:noWrap/>
            <w:vAlign w:val="center"/>
            <w:hideMark/>
          </w:tcPr>
          <w:p w:rsidR="002160EB" w:rsidRDefault="002160EB">
            <w:pPr>
              <w:spacing w:line="360" w:lineRule="auto"/>
              <w:rPr>
                <w:b/>
                <w:bCs/>
                <w:color w:val="000000"/>
                <w:sz w:val="20"/>
                <w:szCs w:val="20"/>
                <w:lang w:eastAsia="es-MX"/>
              </w:rPr>
            </w:pPr>
            <w:r>
              <w:rPr>
                <w:b/>
                <w:bCs/>
                <w:color w:val="000000"/>
                <w:sz w:val="20"/>
                <w:szCs w:val="20"/>
                <w:lang w:eastAsia="es-MX"/>
              </w:rPr>
              <w:t>Ejercicio 2011</w:t>
            </w:r>
          </w:p>
        </w:tc>
        <w:tc>
          <w:tcPr>
            <w:tcW w:w="1900" w:type="dxa"/>
            <w:tcBorders>
              <w:top w:val="nil"/>
              <w:left w:val="nil"/>
              <w:bottom w:val="single" w:sz="4" w:space="0" w:color="auto"/>
              <w:right w:val="single" w:sz="4" w:space="0" w:color="auto"/>
            </w:tcBorders>
            <w:noWrap/>
            <w:vAlign w:val="center"/>
            <w:hideMark/>
          </w:tcPr>
          <w:p w:rsidR="002160EB" w:rsidRDefault="002160EB">
            <w:pPr>
              <w:spacing w:line="360" w:lineRule="auto"/>
              <w:jc w:val="right"/>
              <w:rPr>
                <w:color w:val="000000"/>
                <w:sz w:val="20"/>
                <w:szCs w:val="20"/>
                <w:lang w:eastAsia="es-MX"/>
              </w:rPr>
            </w:pPr>
            <w:r>
              <w:rPr>
                <w:color w:val="000000"/>
                <w:sz w:val="20"/>
                <w:szCs w:val="20"/>
                <w:lang w:eastAsia="es-MX"/>
              </w:rPr>
              <w:t xml:space="preserve">100.9 </w:t>
            </w:r>
          </w:p>
        </w:tc>
      </w:tr>
      <w:tr w:rsidR="002160EB" w:rsidTr="002160EB">
        <w:trPr>
          <w:trHeight w:val="510"/>
          <w:jc w:val="center"/>
        </w:trPr>
        <w:tc>
          <w:tcPr>
            <w:tcW w:w="1540" w:type="dxa"/>
            <w:tcBorders>
              <w:top w:val="nil"/>
              <w:left w:val="single" w:sz="4" w:space="0" w:color="auto"/>
              <w:bottom w:val="single" w:sz="4" w:space="0" w:color="auto"/>
              <w:right w:val="single" w:sz="4" w:space="0" w:color="auto"/>
            </w:tcBorders>
            <w:noWrap/>
            <w:vAlign w:val="center"/>
            <w:hideMark/>
          </w:tcPr>
          <w:p w:rsidR="002160EB" w:rsidRDefault="002160EB">
            <w:pPr>
              <w:spacing w:line="360" w:lineRule="auto"/>
              <w:rPr>
                <w:b/>
                <w:bCs/>
                <w:color w:val="000000"/>
                <w:sz w:val="20"/>
                <w:szCs w:val="20"/>
                <w:lang w:eastAsia="es-MX"/>
              </w:rPr>
            </w:pPr>
            <w:r>
              <w:rPr>
                <w:b/>
                <w:bCs/>
                <w:color w:val="000000"/>
                <w:sz w:val="20"/>
                <w:szCs w:val="20"/>
                <w:lang w:eastAsia="es-MX"/>
              </w:rPr>
              <w:t>Ejercicio 2012</w:t>
            </w:r>
          </w:p>
        </w:tc>
        <w:tc>
          <w:tcPr>
            <w:tcW w:w="1900" w:type="dxa"/>
            <w:tcBorders>
              <w:top w:val="nil"/>
              <w:left w:val="nil"/>
              <w:bottom w:val="single" w:sz="4" w:space="0" w:color="auto"/>
              <w:right w:val="single" w:sz="4" w:space="0" w:color="auto"/>
            </w:tcBorders>
            <w:noWrap/>
            <w:vAlign w:val="center"/>
            <w:hideMark/>
          </w:tcPr>
          <w:p w:rsidR="002160EB" w:rsidRDefault="002160EB">
            <w:pPr>
              <w:spacing w:line="360" w:lineRule="auto"/>
              <w:jc w:val="right"/>
              <w:rPr>
                <w:color w:val="000000"/>
                <w:sz w:val="20"/>
                <w:szCs w:val="20"/>
                <w:lang w:eastAsia="es-MX"/>
              </w:rPr>
            </w:pPr>
            <w:r>
              <w:rPr>
                <w:color w:val="000000"/>
                <w:sz w:val="20"/>
                <w:szCs w:val="20"/>
                <w:lang w:eastAsia="es-MX"/>
              </w:rPr>
              <w:t xml:space="preserve">103.3 </w:t>
            </w:r>
          </w:p>
        </w:tc>
      </w:tr>
      <w:tr w:rsidR="002160EB" w:rsidTr="002160EB">
        <w:trPr>
          <w:trHeight w:val="510"/>
          <w:jc w:val="center"/>
        </w:trPr>
        <w:tc>
          <w:tcPr>
            <w:tcW w:w="1540" w:type="dxa"/>
            <w:tcBorders>
              <w:top w:val="nil"/>
              <w:left w:val="single" w:sz="4" w:space="0" w:color="auto"/>
              <w:bottom w:val="single" w:sz="4" w:space="0" w:color="auto"/>
              <w:right w:val="single" w:sz="4" w:space="0" w:color="auto"/>
            </w:tcBorders>
            <w:noWrap/>
            <w:vAlign w:val="center"/>
            <w:hideMark/>
          </w:tcPr>
          <w:p w:rsidR="002160EB" w:rsidRDefault="002160EB">
            <w:pPr>
              <w:spacing w:line="360" w:lineRule="auto"/>
              <w:rPr>
                <w:b/>
                <w:bCs/>
                <w:color w:val="000000"/>
                <w:sz w:val="20"/>
                <w:szCs w:val="20"/>
                <w:lang w:eastAsia="es-MX"/>
              </w:rPr>
            </w:pPr>
            <w:r>
              <w:rPr>
                <w:b/>
                <w:bCs/>
                <w:color w:val="000000"/>
                <w:sz w:val="20"/>
                <w:szCs w:val="20"/>
                <w:lang w:eastAsia="es-MX"/>
              </w:rPr>
              <w:t>Ejercicio 2013</w:t>
            </w:r>
          </w:p>
        </w:tc>
        <w:tc>
          <w:tcPr>
            <w:tcW w:w="1900" w:type="dxa"/>
            <w:tcBorders>
              <w:top w:val="nil"/>
              <w:left w:val="nil"/>
              <w:bottom w:val="single" w:sz="4" w:space="0" w:color="auto"/>
              <w:right w:val="single" w:sz="4" w:space="0" w:color="auto"/>
            </w:tcBorders>
            <w:noWrap/>
            <w:vAlign w:val="center"/>
            <w:hideMark/>
          </w:tcPr>
          <w:p w:rsidR="002160EB" w:rsidRDefault="002160EB">
            <w:pPr>
              <w:spacing w:line="360" w:lineRule="auto"/>
              <w:jc w:val="right"/>
              <w:rPr>
                <w:color w:val="000000"/>
                <w:sz w:val="20"/>
                <w:szCs w:val="20"/>
                <w:lang w:eastAsia="es-MX"/>
              </w:rPr>
            </w:pPr>
            <w:r>
              <w:rPr>
                <w:color w:val="000000"/>
                <w:sz w:val="20"/>
                <w:szCs w:val="20"/>
                <w:lang w:eastAsia="es-MX"/>
              </w:rPr>
              <w:t xml:space="preserve">205.9 </w:t>
            </w:r>
          </w:p>
        </w:tc>
      </w:tr>
      <w:tr w:rsidR="002160EB" w:rsidTr="002160EB">
        <w:trPr>
          <w:trHeight w:val="510"/>
          <w:jc w:val="center"/>
        </w:trPr>
        <w:tc>
          <w:tcPr>
            <w:tcW w:w="1540" w:type="dxa"/>
            <w:tcBorders>
              <w:top w:val="nil"/>
              <w:left w:val="single" w:sz="4" w:space="0" w:color="auto"/>
              <w:bottom w:val="single" w:sz="4" w:space="0" w:color="auto"/>
              <w:right w:val="single" w:sz="4" w:space="0" w:color="auto"/>
            </w:tcBorders>
            <w:noWrap/>
            <w:vAlign w:val="center"/>
            <w:hideMark/>
          </w:tcPr>
          <w:p w:rsidR="002160EB" w:rsidRDefault="002160EB">
            <w:pPr>
              <w:spacing w:line="360" w:lineRule="auto"/>
              <w:rPr>
                <w:b/>
                <w:bCs/>
                <w:color w:val="000000"/>
                <w:sz w:val="20"/>
                <w:szCs w:val="20"/>
                <w:lang w:eastAsia="es-MX"/>
              </w:rPr>
            </w:pPr>
            <w:r>
              <w:rPr>
                <w:b/>
                <w:bCs/>
                <w:color w:val="000000"/>
                <w:sz w:val="20"/>
                <w:szCs w:val="20"/>
                <w:lang w:eastAsia="es-MX"/>
              </w:rPr>
              <w:t>Ejercicio 2014</w:t>
            </w:r>
          </w:p>
        </w:tc>
        <w:tc>
          <w:tcPr>
            <w:tcW w:w="1900" w:type="dxa"/>
            <w:tcBorders>
              <w:top w:val="nil"/>
              <w:left w:val="nil"/>
              <w:bottom w:val="single" w:sz="4" w:space="0" w:color="auto"/>
              <w:right w:val="single" w:sz="4" w:space="0" w:color="auto"/>
            </w:tcBorders>
            <w:noWrap/>
            <w:vAlign w:val="center"/>
            <w:hideMark/>
          </w:tcPr>
          <w:p w:rsidR="002160EB" w:rsidRDefault="002160EB">
            <w:pPr>
              <w:spacing w:line="360" w:lineRule="auto"/>
              <w:jc w:val="right"/>
              <w:rPr>
                <w:color w:val="000000"/>
                <w:sz w:val="20"/>
                <w:szCs w:val="20"/>
                <w:lang w:eastAsia="es-MX"/>
              </w:rPr>
            </w:pPr>
            <w:r>
              <w:rPr>
                <w:color w:val="000000"/>
                <w:sz w:val="20"/>
                <w:szCs w:val="20"/>
                <w:lang w:eastAsia="es-MX"/>
              </w:rPr>
              <w:t xml:space="preserve">221.2 </w:t>
            </w:r>
          </w:p>
        </w:tc>
      </w:tr>
      <w:tr w:rsidR="002160EB" w:rsidTr="002160EB">
        <w:trPr>
          <w:trHeight w:val="510"/>
          <w:jc w:val="center"/>
        </w:trPr>
        <w:tc>
          <w:tcPr>
            <w:tcW w:w="1540" w:type="dxa"/>
            <w:tcBorders>
              <w:top w:val="nil"/>
              <w:left w:val="single" w:sz="4" w:space="0" w:color="auto"/>
              <w:bottom w:val="single" w:sz="4" w:space="0" w:color="auto"/>
              <w:right w:val="single" w:sz="4" w:space="0" w:color="auto"/>
            </w:tcBorders>
            <w:noWrap/>
            <w:vAlign w:val="center"/>
            <w:hideMark/>
          </w:tcPr>
          <w:p w:rsidR="002160EB" w:rsidRDefault="002160EB">
            <w:pPr>
              <w:spacing w:line="360" w:lineRule="auto"/>
              <w:rPr>
                <w:b/>
                <w:bCs/>
                <w:color w:val="000000"/>
                <w:sz w:val="20"/>
                <w:szCs w:val="20"/>
                <w:lang w:eastAsia="es-MX"/>
              </w:rPr>
            </w:pPr>
            <w:r>
              <w:rPr>
                <w:b/>
                <w:bCs/>
                <w:color w:val="000000"/>
                <w:sz w:val="20"/>
                <w:szCs w:val="20"/>
                <w:lang w:eastAsia="es-MX"/>
              </w:rPr>
              <w:t>Ejercicio 2015</w:t>
            </w:r>
          </w:p>
        </w:tc>
        <w:tc>
          <w:tcPr>
            <w:tcW w:w="1900" w:type="dxa"/>
            <w:tcBorders>
              <w:top w:val="nil"/>
              <w:left w:val="nil"/>
              <w:bottom w:val="single" w:sz="4" w:space="0" w:color="auto"/>
              <w:right w:val="single" w:sz="4" w:space="0" w:color="auto"/>
            </w:tcBorders>
            <w:noWrap/>
            <w:vAlign w:val="center"/>
            <w:hideMark/>
          </w:tcPr>
          <w:p w:rsidR="002160EB" w:rsidRDefault="002160EB">
            <w:pPr>
              <w:spacing w:line="360" w:lineRule="auto"/>
              <w:jc w:val="right"/>
              <w:rPr>
                <w:color w:val="000000"/>
                <w:sz w:val="20"/>
                <w:szCs w:val="20"/>
                <w:lang w:eastAsia="es-MX"/>
              </w:rPr>
            </w:pPr>
            <w:r>
              <w:rPr>
                <w:color w:val="000000"/>
                <w:sz w:val="20"/>
                <w:szCs w:val="20"/>
                <w:lang w:eastAsia="es-MX"/>
              </w:rPr>
              <w:t xml:space="preserve">223.9 </w:t>
            </w:r>
          </w:p>
        </w:tc>
      </w:tr>
      <w:tr w:rsidR="002160EB" w:rsidTr="002160EB">
        <w:trPr>
          <w:trHeight w:val="387"/>
          <w:jc w:val="center"/>
        </w:trPr>
        <w:tc>
          <w:tcPr>
            <w:tcW w:w="1540" w:type="dxa"/>
            <w:tcBorders>
              <w:top w:val="nil"/>
              <w:left w:val="single" w:sz="4" w:space="0" w:color="auto"/>
              <w:bottom w:val="single" w:sz="4" w:space="0" w:color="auto"/>
              <w:right w:val="single" w:sz="4" w:space="0" w:color="auto"/>
            </w:tcBorders>
            <w:noWrap/>
            <w:vAlign w:val="center"/>
            <w:hideMark/>
          </w:tcPr>
          <w:p w:rsidR="002160EB" w:rsidRDefault="002160EB">
            <w:pPr>
              <w:spacing w:line="360" w:lineRule="auto"/>
              <w:rPr>
                <w:b/>
                <w:bCs/>
                <w:color w:val="000000"/>
                <w:sz w:val="20"/>
                <w:szCs w:val="20"/>
                <w:lang w:eastAsia="es-MX"/>
              </w:rPr>
            </w:pPr>
            <w:r>
              <w:rPr>
                <w:b/>
                <w:bCs/>
                <w:color w:val="000000"/>
                <w:sz w:val="20"/>
                <w:szCs w:val="20"/>
                <w:lang w:eastAsia="es-MX"/>
              </w:rPr>
              <w:t>Ejercicio 2016</w:t>
            </w:r>
          </w:p>
        </w:tc>
        <w:tc>
          <w:tcPr>
            <w:tcW w:w="1900" w:type="dxa"/>
            <w:tcBorders>
              <w:top w:val="nil"/>
              <w:left w:val="nil"/>
              <w:bottom w:val="single" w:sz="4" w:space="0" w:color="auto"/>
              <w:right w:val="single" w:sz="4" w:space="0" w:color="auto"/>
            </w:tcBorders>
            <w:noWrap/>
            <w:vAlign w:val="center"/>
            <w:hideMark/>
          </w:tcPr>
          <w:p w:rsidR="002160EB" w:rsidRDefault="002160EB">
            <w:pPr>
              <w:spacing w:line="360" w:lineRule="auto"/>
              <w:jc w:val="right"/>
              <w:rPr>
                <w:color w:val="000000"/>
                <w:sz w:val="20"/>
                <w:szCs w:val="20"/>
                <w:lang w:eastAsia="es-MX"/>
              </w:rPr>
            </w:pPr>
            <w:r>
              <w:rPr>
                <w:color w:val="000000"/>
                <w:sz w:val="20"/>
                <w:szCs w:val="20"/>
                <w:lang w:eastAsia="es-MX"/>
              </w:rPr>
              <w:t xml:space="preserve">248.9 </w:t>
            </w:r>
          </w:p>
        </w:tc>
      </w:tr>
      <w:tr w:rsidR="002160EB" w:rsidTr="002160EB">
        <w:trPr>
          <w:trHeight w:val="300"/>
          <w:jc w:val="center"/>
        </w:trPr>
        <w:tc>
          <w:tcPr>
            <w:tcW w:w="1540" w:type="dxa"/>
            <w:tcBorders>
              <w:top w:val="nil"/>
              <w:left w:val="single" w:sz="4" w:space="0" w:color="auto"/>
              <w:bottom w:val="single" w:sz="4" w:space="0" w:color="auto"/>
              <w:right w:val="single" w:sz="4" w:space="0" w:color="auto"/>
            </w:tcBorders>
            <w:noWrap/>
            <w:vAlign w:val="center"/>
            <w:hideMark/>
          </w:tcPr>
          <w:p w:rsidR="002160EB" w:rsidRDefault="002160EB">
            <w:pPr>
              <w:spacing w:line="360" w:lineRule="auto"/>
              <w:jc w:val="center"/>
              <w:rPr>
                <w:b/>
                <w:bCs/>
                <w:color w:val="000000"/>
                <w:sz w:val="20"/>
                <w:szCs w:val="20"/>
                <w:lang w:eastAsia="es-MX"/>
              </w:rPr>
            </w:pPr>
            <w:r>
              <w:rPr>
                <w:b/>
                <w:bCs/>
                <w:color w:val="000000"/>
                <w:sz w:val="20"/>
                <w:szCs w:val="20"/>
                <w:lang w:eastAsia="es-MX"/>
              </w:rPr>
              <w:t>Ejercicio 2017</w:t>
            </w:r>
          </w:p>
        </w:tc>
        <w:tc>
          <w:tcPr>
            <w:tcW w:w="1900" w:type="dxa"/>
            <w:tcBorders>
              <w:top w:val="nil"/>
              <w:left w:val="nil"/>
              <w:bottom w:val="single" w:sz="4" w:space="0" w:color="auto"/>
              <w:right w:val="single" w:sz="4" w:space="0" w:color="auto"/>
            </w:tcBorders>
            <w:noWrap/>
            <w:vAlign w:val="bottom"/>
            <w:hideMark/>
          </w:tcPr>
          <w:p w:rsidR="002160EB" w:rsidRDefault="002160EB">
            <w:pPr>
              <w:spacing w:line="360" w:lineRule="auto"/>
              <w:jc w:val="right"/>
              <w:rPr>
                <w:bCs/>
                <w:color w:val="000000"/>
                <w:sz w:val="20"/>
                <w:szCs w:val="20"/>
                <w:lang w:eastAsia="es-MX"/>
              </w:rPr>
            </w:pPr>
            <w:r>
              <w:rPr>
                <w:bCs/>
                <w:color w:val="000000"/>
                <w:sz w:val="20"/>
                <w:szCs w:val="20"/>
                <w:lang w:eastAsia="es-MX"/>
              </w:rPr>
              <w:t>275.2</w:t>
            </w:r>
          </w:p>
        </w:tc>
      </w:tr>
      <w:tr w:rsidR="002160EB" w:rsidTr="002160EB">
        <w:trPr>
          <w:trHeight w:val="300"/>
          <w:jc w:val="center"/>
        </w:trPr>
        <w:tc>
          <w:tcPr>
            <w:tcW w:w="1540" w:type="dxa"/>
            <w:tcBorders>
              <w:top w:val="nil"/>
              <w:left w:val="single" w:sz="4" w:space="0" w:color="auto"/>
              <w:bottom w:val="single" w:sz="4" w:space="0" w:color="auto"/>
              <w:right w:val="single" w:sz="4" w:space="0" w:color="auto"/>
            </w:tcBorders>
            <w:noWrap/>
            <w:vAlign w:val="center"/>
            <w:hideMark/>
          </w:tcPr>
          <w:p w:rsidR="002160EB" w:rsidRDefault="002160EB">
            <w:pPr>
              <w:spacing w:line="360" w:lineRule="auto"/>
              <w:jc w:val="center"/>
              <w:rPr>
                <w:b/>
                <w:bCs/>
                <w:color w:val="000000"/>
                <w:sz w:val="20"/>
                <w:szCs w:val="20"/>
                <w:lang w:eastAsia="es-MX"/>
              </w:rPr>
            </w:pPr>
            <w:r>
              <w:rPr>
                <w:b/>
                <w:bCs/>
                <w:color w:val="000000"/>
                <w:sz w:val="20"/>
                <w:szCs w:val="20"/>
                <w:lang w:eastAsia="es-MX"/>
              </w:rPr>
              <w:t>Ejercicio 2018</w:t>
            </w:r>
          </w:p>
        </w:tc>
        <w:tc>
          <w:tcPr>
            <w:tcW w:w="1900" w:type="dxa"/>
            <w:tcBorders>
              <w:top w:val="nil"/>
              <w:left w:val="nil"/>
              <w:bottom w:val="single" w:sz="4" w:space="0" w:color="auto"/>
              <w:right w:val="single" w:sz="4" w:space="0" w:color="auto"/>
            </w:tcBorders>
            <w:noWrap/>
            <w:vAlign w:val="bottom"/>
            <w:hideMark/>
          </w:tcPr>
          <w:p w:rsidR="002160EB" w:rsidRDefault="002160EB">
            <w:pPr>
              <w:spacing w:line="360" w:lineRule="auto"/>
              <w:jc w:val="right"/>
              <w:rPr>
                <w:b/>
                <w:bCs/>
                <w:color w:val="000000"/>
                <w:sz w:val="20"/>
                <w:szCs w:val="20"/>
                <w:lang w:eastAsia="es-MX"/>
              </w:rPr>
            </w:pPr>
            <w:r>
              <w:rPr>
                <w:b/>
                <w:bCs/>
                <w:color w:val="000000"/>
                <w:sz w:val="20"/>
                <w:szCs w:val="20"/>
                <w:lang w:eastAsia="es-MX"/>
              </w:rPr>
              <w:t>267.1</w:t>
            </w:r>
          </w:p>
        </w:tc>
      </w:tr>
      <w:tr w:rsidR="002160EB" w:rsidTr="002160EB">
        <w:trPr>
          <w:trHeight w:val="300"/>
          <w:jc w:val="center"/>
        </w:trPr>
        <w:tc>
          <w:tcPr>
            <w:tcW w:w="1540" w:type="dxa"/>
            <w:tcBorders>
              <w:top w:val="nil"/>
              <w:left w:val="single" w:sz="4" w:space="0" w:color="auto"/>
              <w:bottom w:val="single" w:sz="4" w:space="0" w:color="auto"/>
              <w:right w:val="single" w:sz="4" w:space="0" w:color="auto"/>
            </w:tcBorders>
            <w:noWrap/>
            <w:vAlign w:val="center"/>
            <w:hideMark/>
          </w:tcPr>
          <w:p w:rsidR="002160EB" w:rsidRDefault="002160EB">
            <w:pPr>
              <w:spacing w:line="360" w:lineRule="auto"/>
              <w:jc w:val="center"/>
              <w:rPr>
                <w:b/>
                <w:bCs/>
                <w:color w:val="000000"/>
                <w:sz w:val="20"/>
                <w:szCs w:val="20"/>
                <w:lang w:eastAsia="es-MX"/>
              </w:rPr>
            </w:pPr>
            <w:r>
              <w:rPr>
                <w:b/>
                <w:bCs/>
                <w:color w:val="000000"/>
                <w:sz w:val="20"/>
                <w:szCs w:val="20"/>
                <w:lang w:eastAsia="es-MX"/>
              </w:rPr>
              <w:t>*Ejercicio 2019</w:t>
            </w:r>
          </w:p>
        </w:tc>
        <w:tc>
          <w:tcPr>
            <w:tcW w:w="1900" w:type="dxa"/>
            <w:tcBorders>
              <w:top w:val="nil"/>
              <w:left w:val="nil"/>
              <w:bottom w:val="single" w:sz="4" w:space="0" w:color="auto"/>
              <w:right w:val="single" w:sz="4" w:space="0" w:color="auto"/>
            </w:tcBorders>
            <w:noWrap/>
            <w:vAlign w:val="bottom"/>
            <w:hideMark/>
          </w:tcPr>
          <w:p w:rsidR="002160EB" w:rsidRDefault="002160EB">
            <w:pPr>
              <w:spacing w:line="360" w:lineRule="auto"/>
              <w:jc w:val="right"/>
              <w:rPr>
                <w:b/>
                <w:bCs/>
                <w:color w:val="000000"/>
                <w:sz w:val="20"/>
                <w:szCs w:val="20"/>
                <w:lang w:eastAsia="es-MX"/>
              </w:rPr>
            </w:pPr>
            <w:r>
              <w:rPr>
                <w:b/>
                <w:bCs/>
                <w:color w:val="000000"/>
                <w:sz w:val="20"/>
                <w:szCs w:val="20"/>
                <w:lang w:eastAsia="es-MX"/>
              </w:rPr>
              <w:t>200.8</w:t>
            </w:r>
          </w:p>
        </w:tc>
      </w:tr>
      <w:tr w:rsidR="002160EB" w:rsidTr="002160EB">
        <w:trPr>
          <w:trHeight w:val="300"/>
          <w:jc w:val="center"/>
        </w:trPr>
        <w:tc>
          <w:tcPr>
            <w:tcW w:w="1540" w:type="dxa"/>
            <w:tcBorders>
              <w:top w:val="nil"/>
              <w:left w:val="single" w:sz="4" w:space="0" w:color="auto"/>
              <w:bottom w:val="single" w:sz="4" w:space="0" w:color="auto"/>
              <w:right w:val="single" w:sz="4" w:space="0" w:color="auto"/>
            </w:tcBorders>
            <w:noWrap/>
            <w:vAlign w:val="center"/>
            <w:hideMark/>
          </w:tcPr>
          <w:p w:rsidR="002160EB" w:rsidRDefault="002160EB">
            <w:pPr>
              <w:spacing w:line="360" w:lineRule="auto"/>
              <w:jc w:val="center"/>
              <w:rPr>
                <w:b/>
                <w:bCs/>
                <w:color w:val="000000"/>
                <w:sz w:val="20"/>
                <w:szCs w:val="20"/>
                <w:lang w:eastAsia="es-MX"/>
              </w:rPr>
            </w:pPr>
            <w:r>
              <w:rPr>
                <w:b/>
                <w:bCs/>
                <w:color w:val="000000"/>
                <w:sz w:val="20"/>
                <w:szCs w:val="20"/>
                <w:lang w:eastAsia="es-MX"/>
              </w:rPr>
              <w:t>SUMA</w:t>
            </w:r>
          </w:p>
        </w:tc>
        <w:tc>
          <w:tcPr>
            <w:tcW w:w="1900" w:type="dxa"/>
            <w:tcBorders>
              <w:top w:val="nil"/>
              <w:left w:val="nil"/>
              <w:bottom w:val="single" w:sz="4" w:space="0" w:color="auto"/>
              <w:right w:val="single" w:sz="4" w:space="0" w:color="auto"/>
            </w:tcBorders>
            <w:noWrap/>
            <w:vAlign w:val="bottom"/>
            <w:hideMark/>
          </w:tcPr>
          <w:p w:rsidR="002160EB" w:rsidRDefault="002160EB">
            <w:pPr>
              <w:spacing w:line="360" w:lineRule="auto"/>
              <w:jc w:val="right"/>
              <w:rPr>
                <w:b/>
                <w:bCs/>
                <w:color w:val="000000"/>
                <w:sz w:val="20"/>
                <w:szCs w:val="20"/>
                <w:lang w:eastAsia="es-MX"/>
              </w:rPr>
            </w:pPr>
            <w:r>
              <w:rPr>
                <w:b/>
                <w:bCs/>
                <w:color w:val="000000"/>
                <w:sz w:val="20"/>
                <w:szCs w:val="20"/>
                <w:lang w:eastAsia="es-MX"/>
              </w:rPr>
              <w:t xml:space="preserve">1,847.2 </w:t>
            </w:r>
          </w:p>
        </w:tc>
      </w:tr>
    </w:tbl>
    <w:p w:rsidR="002160EB" w:rsidRDefault="002160EB" w:rsidP="002160EB">
      <w:pPr>
        <w:spacing w:line="360" w:lineRule="auto"/>
        <w:jc w:val="center"/>
        <w:rPr>
          <w:b/>
          <w:sz w:val="20"/>
          <w:szCs w:val="20"/>
        </w:rPr>
      </w:pPr>
      <w:r>
        <w:rPr>
          <w:b/>
          <w:sz w:val="20"/>
          <w:szCs w:val="20"/>
        </w:rPr>
        <w:t>* Cifras al Cierre del mes de septiembre de 2019.</w:t>
      </w:r>
    </w:p>
    <w:p w:rsidR="002160EB" w:rsidRDefault="002160EB" w:rsidP="002160EB">
      <w:pPr>
        <w:spacing w:line="360" w:lineRule="auto"/>
        <w:jc w:val="both"/>
        <w:rPr>
          <w:sz w:val="20"/>
          <w:szCs w:val="20"/>
        </w:rPr>
      </w:pPr>
    </w:p>
    <w:p w:rsidR="002160EB" w:rsidRDefault="002160EB" w:rsidP="002160EB">
      <w:pPr>
        <w:spacing w:line="360" w:lineRule="auto"/>
        <w:jc w:val="both"/>
        <w:rPr>
          <w:sz w:val="20"/>
          <w:szCs w:val="20"/>
        </w:rPr>
      </w:pPr>
      <w:r>
        <w:rPr>
          <w:sz w:val="20"/>
          <w:szCs w:val="20"/>
        </w:rPr>
        <w:t>El Gobierno del Estado, tiene como prioridad sanear el Sistema Estatal de Pensiones garantizando la solvencia de la Institución e impulsando el otorgamiento y recuperación de créditos. En los últimos años se han realizado las aportaciones siguientes:</w:t>
      </w:r>
    </w:p>
    <w:p w:rsidR="002160EB" w:rsidRDefault="002160EB" w:rsidP="002160EB">
      <w:pPr>
        <w:spacing w:line="360" w:lineRule="auto"/>
        <w:jc w:val="both"/>
        <w:rPr>
          <w:sz w:val="20"/>
          <w:szCs w:val="20"/>
        </w:rPr>
      </w:pPr>
    </w:p>
    <w:tbl>
      <w:tblPr>
        <w:tblW w:w="4064" w:type="dxa"/>
        <w:jc w:val="center"/>
        <w:tblCellMar>
          <w:left w:w="70" w:type="dxa"/>
          <w:right w:w="70" w:type="dxa"/>
        </w:tblCellMar>
        <w:tblLook w:val="04A0" w:firstRow="1" w:lastRow="0" w:firstColumn="1" w:lastColumn="0" w:noHBand="0" w:noVBand="1"/>
      </w:tblPr>
      <w:tblGrid>
        <w:gridCol w:w="1560"/>
        <w:gridCol w:w="2504"/>
      </w:tblGrid>
      <w:tr w:rsidR="002160EB" w:rsidTr="002160EB">
        <w:trPr>
          <w:trHeight w:val="839"/>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2160EB" w:rsidRDefault="002160EB">
            <w:pPr>
              <w:spacing w:line="360" w:lineRule="auto"/>
              <w:jc w:val="center"/>
              <w:rPr>
                <w:b/>
                <w:bCs/>
                <w:color w:val="000000"/>
                <w:sz w:val="20"/>
                <w:szCs w:val="20"/>
                <w:lang w:eastAsia="es-MX"/>
              </w:rPr>
            </w:pPr>
            <w:r>
              <w:rPr>
                <w:b/>
                <w:bCs/>
                <w:color w:val="000000"/>
                <w:sz w:val="20"/>
                <w:szCs w:val="20"/>
                <w:lang w:eastAsia="es-MX"/>
              </w:rPr>
              <w:lastRenderedPageBreak/>
              <w:t>AÑO</w:t>
            </w:r>
          </w:p>
        </w:tc>
        <w:tc>
          <w:tcPr>
            <w:tcW w:w="2504"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rsidR="002160EB" w:rsidRDefault="002160EB">
            <w:pPr>
              <w:spacing w:line="360" w:lineRule="auto"/>
              <w:jc w:val="center"/>
              <w:rPr>
                <w:b/>
                <w:bCs/>
                <w:color w:val="000000"/>
                <w:sz w:val="20"/>
                <w:szCs w:val="20"/>
                <w:lang w:eastAsia="es-MX"/>
              </w:rPr>
            </w:pPr>
            <w:r>
              <w:rPr>
                <w:b/>
                <w:bCs/>
                <w:color w:val="000000"/>
                <w:sz w:val="20"/>
                <w:szCs w:val="20"/>
                <w:lang w:eastAsia="es-MX"/>
              </w:rPr>
              <w:t>FONDO DE CRÉDITOS (MDP)</w:t>
            </w:r>
          </w:p>
        </w:tc>
      </w:tr>
      <w:tr w:rsidR="002160EB" w:rsidTr="002160EB">
        <w:trPr>
          <w:trHeight w:val="474"/>
          <w:jc w:val="center"/>
        </w:trPr>
        <w:tc>
          <w:tcPr>
            <w:tcW w:w="1560" w:type="dxa"/>
            <w:tcBorders>
              <w:top w:val="nil"/>
              <w:left w:val="single" w:sz="4" w:space="0" w:color="auto"/>
              <w:bottom w:val="single" w:sz="4" w:space="0" w:color="auto"/>
              <w:right w:val="single" w:sz="4" w:space="0" w:color="auto"/>
            </w:tcBorders>
            <w:noWrap/>
            <w:vAlign w:val="center"/>
            <w:hideMark/>
          </w:tcPr>
          <w:p w:rsidR="002160EB" w:rsidRDefault="002160EB">
            <w:pPr>
              <w:spacing w:line="360" w:lineRule="auto"/>
              <w:rPr>
                <w:b/>
                <w:bCs/>
                <w:color w:val="000000"/>
                <w:sz w:val="20"/>
                <w:szCs w:val="20"/>
                <w:lang w:eastAsia="es-MX"/>
              </w:rPr>
            </w:pPr>
            <w:r>
              <w:rPr>
                <w:b/>
                <w:bCs/>
                <w:color w:val="000000"/>
                <w:sz w:val="20"/>
                <w:szCs w:val="20"/>
                <w:lang w:eastAsia="es-MX"/>
              </w:rPr>
              <w:t>Ejercicio 2013</w:t>
            </w:r>
          </w:p>
        </w:tc>
        <w:tc>
          <w:tcPr>
            <w:tcW w:w="2504" w:type="dxa"/>
            <w:tcBorders>
              <w:top w:val="nil"/>
              <w:left w:val="nil"/>
              <w:bottom w:val="single" w:sz="4" w:space="0" w:color="auto"/>
              <w:right w:val="single" w:sz="4" w:space="0" w:color="auto"/>
            </w:tcBorders>
            <w:noWrap/>
            <w:vAlign w:val="center"/>
            <w:hideMark/>
          </w:tcPr>
          <w:p w:rsidR="002160EB" w:rsidRDefault="002160EB">
            <w:pPr>
              <w:spacing w:line="360" w:lineRule="auto"/>
              <w:jc w:val="right"/>
              <w:rPr>
                <w:b/>
                <w:color w:val="000000"/>
                <w:sz w:val="20"/>
                <w:szCs w:val="20"/>
                <w:lang w:eastAsia="es-MX"/>
              </w:rPr>
            </w:pPr>
            <w:r>
              <w:rPr>
                <w:b/>
                <w:color w:val="000000"/>
                <w:sz w:val="20"/>
                <w:szCs w:val="20"/>
                <w:lang w:eastAsia="es-MX"/>
              </w:rPr>
              <w:t>70.0</w:t>
            </w:r>
          </w:p>
        </w:tc>
      </w:tr>
      <w:tr w:rsidR="002160EB" w:rsidTr="002160EB">
        <w:trPr>
          <w:trHeight w:val="510"/>
          <w:jc w:val="center"/>
        </w:trPr>
        <w:tc>
          <w:tcPr>
            <w:tcW w:w="1560" w:type="dxa"/>
            <w:tcBorders>
              <w:top w:val="nil"/>
              <w:left w:val="single" w:sz="4" w:space="0" w:color="auto"/>
              <w:bottom w:val="single" w:sz="4" w:space="0" w:color="auto"/>
              <w:right w:val="single" w:sz="4" w:space="0" w:color="auto"/>
            </w:tcBorders>
            <w:noWrap/>
            <w:vAlign w:val="center"/>
            <w:hideMark/>
          </w:tcPr>
          <w:p w:rsidR="002160EB" w:rsidRDefault="002160EB">
            <w:pPr>
              <w:spacing w:line="360" w:lineRule="auto"/>
              <w:rPr>
                <w:b/>
                <w:bCs/>
                <w:color w:val="000000"/>
                <w:sz w:val="20"/>
                <w:szCs w:val="20"/>
                <w:lang w:eastAsia="es-MX"/>
              </w:rPr>
            </w:pPr>
            <w:r>
              <w:rPr>
                <w:b/>
                <w:bCs/>
                <w:color w:val="000000"/>
                <w:sz w:val="20"/>
                <w:szCs w:val="20"/>
                <w:lang w:eastAsia="es-MX"/>
              </w:rPr>
              <w:t>Ejercicio 2014</w:t>
            </w:r>
          </w:p>
        </w:tc>
        <w:tc>
          <w:tcPr>
            <w:tcW w:w="2504" w:type="dxa"/>
            <w:tcBorders>
              <w:top w:val="nil"/>
              <w:left w:val="nil"/>
              <w:bottom w:val="single" w:sz="4" w:space="0" w:color="auto"/>
              <w:right w:val="single" w:sz="4" w:space="0" w:color="auto"/>
            </w:tcBorders>
            <w:noWrap/>
            <w:vAlign w:val="center"/>
            <w:hideMark/>
          </w:tcPr>
          <w:p w:rsidR="002160EB" w:rsidRDefault="002160EB">
            <w:pPr>
              <w:spacing w:line="360" w:lineRule="auto"/>
              <w:jc w:val="right"/>
              <w:rPr>
                <w:b/>
                <w:color w:val="000000"/>
                <w:sz w:val="20"/>
                <w:szCs w:val="20"/>
                <w:lang w:eastAsia="es-MX"/>
              </w:rPr>
            </w:pPr>
            <w:r>
              <w:rPr>
                <w:b/>
                <w:color w:val="000000"/>
                <w:sz w:val="20"/>
                <w:szCs w:val="20"/>
                <w:lang w:eastAsia="es-MX"/>
              </w:rPr>
              <w:t>21.0</w:t>
            </w:r>
          </w:p>
        </w:tc>
      </w:tr>
      <w:tr w:rsidR="002160EB" w:rsidTr="002160EB">
        <w:trPr>
          <w:trHeight w:val="53"/>
          <w:jc w:val="center"/>
        </w:trPr>
        <w:tc>
          <w:tcPr>
            <w:tcW w:w="1560" w:type="dxa"/>
            <w:tcBorders>
              <w:top w:val="nil"/>
              <w:left w:val="single" w:sz="4" w:space="0" w:color="auto"/>
              <w:bottom w:val="single" w:sz="4" w:space="0" w:color="auto"/>
              <w:right w:val="single" w:sz="4" w:space="0" w:color="auto"/>
            </w:tcBorders>
            <w:noWrap/>
            <w:vAlign w:val="center"/>
            <w:hideMark/>
          </w:tcPr>
          <w:p w:rsidR="002160EB" w:rsidRDefault="002160EB">
            <w:pPr>
              <w:spacing w:line="360" w:lineRule="auto"/>
              <w:rPr>
                <w:b/>
                <w:bCs/>
                <w:color w:val="000000"/>
                <w:sz w:val="20"/>
                <w:szCs w:val="20"/>
                <w:lang w:eastAsia="es-MX"/>
              </w:rPr>
            </w:pPr>
            <w:r>
              <w:rPr>
                <w:b/>
                <w:bCs/>
                <w:color w:val="000000"/>
                <w:sz w:val="20"/>
                <w:szCs w:val="20"/>
                <w:lang w:eastAsia="es-MX"/>
              </w:rPr>
              <w:t>Ejercicio 2016</w:t>
            </w:r>
          </w:p>
        </w:tc>
        <w:tc>
          <w:tcPr>
            <w:tcW w:w="2504" w:type="dxa"/>
            <w:tcBorders>
              <w:top w:val="nil"/>
              <w:left w:val="nil"/>
              <w:bottom w:val="single" w:sz="4" w:space="0" w:color="auto"/>
              <w:right w:val="single" w:sz="4" w:space="0" w:color="auto"/>
            </w:tcBorders>
            <w:noWrap/>
            <w:vAlign w:val="center"/>
            <w:hideMark/>
          </w:tcPr>
          <w:p w:rsidR="002160EB" w:rsidRDefault="002160EB">
            <w:pPr>
              <w:spacing w:line="360" w:lineRule="auto"/>
              <w:jc w:val="right"/>
              <w:rPr>
                <w:b/>
                <w:bCs/>
                <w:color w:val="000000"/>
                <w:sz w:val="20"/>
                <w:szCs w:val="20"/>
                <w:lang w:eastAsia="es-MX"/>
              </w:rPr>
            </w:pPr>
            <w:r>
              <w:rPr>
                <w:b/>
                <w:bCs/>
                <w:color w:val="000000"/>
                <w:sz w:val="20"/>
                <w:szCs w:val="20"/>
                <w:lang w:eastAsia="es-MX"/>
              </w:rPr>
              <w:t>59.0</w:t>
            </w:r>
          </w:p>
        </w:tc>
      </w:tr>
      <w:tr w:rsidR="002160EB" w:rsidTr="002160EB">
        <w:trPr>
          <w:trHeight w:val="53"/>
          <w:jc w:val="center"/>
        </w:trPr>
        <w:tc>
          <w:tcPr>
            <w:tcW w:w="1560" w:type="dxa"/>
            <w:tcBorders>
              <w:top w:val="nil"/>
              <w:left w:val="single" w:sz="4" w:space="0" w:color="auto"/>
              <w:bottom w:val="single" w:sz="4" w:space="0" w:color="auto"/>
              <w:right w:val="single" w:sz="4" w:space="0" w:color="auto"/>
            </w:tcBorders>
            <w:noWrap/>
            <w:vAlign w:val="center"/>
            <w:hideMark/>
          </w:tcPr>
          <w:p w:rsidR="002160EB" w:rsidRDefault="002160EB">
            <w:pPr>
              <w:spacing w:line="360" w:lineRule="auto"/>
              <w:jc w:val="center"/>
              <w:rPr>
                <w:b/>
                <w:bCs/>
                <w:color w:val="000000"/>
                <w:sz w:val="20"/>
                <w:szCs w:val="20"/>
                <w:lang w:eastAsia="es-MX"/>
              </w:rPr>
            </w:pPr>
            <w:r>
              <w:rPr>
                <w:b/>
                <w:bCs/>
                <w:color w:val="000000"/>
                <w:sz w:val="20"/>
                <w:szCs w:val="20"/>
                <w:lang w:eastAsia="es-MX"/>
              </w:rPr>
              <w:t>Ejercicio 2017</w:t>
            </w:r>
          </w:p>
        </w:tc>
        <w:tc>
          <w:tcPr>
            <w:tcW w:w="2504" w:type="dxa"/>
            <w:tcBorders>
              <w:top w:val="nil"/>
              <w:left w:val="nil"/>
              <w:bottom w:val="single" w:sz="4" w:space="0" w:color="auto"/>
              <w:right w:val="single" w:sz="4" w:space="0" w:color="auto"/>
            </w:tcBorders>
            <w:noWrap/>
            <w:vAlign w:val="center"/>
            <w:hideMark/>
          </w:tcPr>
          <w:p w:rsidR="002160EB" w:rsidRDefault="002160EB">
            <w:pPr>
              <w:spacing w:line="360" w:lineRule="auto"/>
              <w:jc w:val="right"/>
              <w:rPr>
                <w:b/>
                <w:bCs/>
                <w:color w:val="000000"/>
                <w:sz w:val="20"/>
                <w:szCs w:val="20"/>
                <w:lang w:eastAsia="es-MX"/>
              </w:rPr>
            </w:pPr>
            <w:r>
              <w:rPr>
                <w:b/>
                <w:bCs/>
                <w:color w:val="000000"/>
                <w:sz w:val="20"/>
                <w:szCs w:val="20"/>
                <w:lang w:eastAsia="es-MX"/>
              </w:rPr>
              <w:t>0.0</w:t>
            </w:r>
          </w:p>
        </w:tc>
      </w:tr>
      <w:tr w:rsidR="002160EB" w:rsidTr="002160EB">
        <w:trPr>
          <w:trHeight w:val="53"/>
          <w:jc w:val="center"/>
        </w:trPr>
        <w:tc>
          <w:tcPr>
            <w:tcW w:w="1560" w:type="dxa"/>
            <w:tcBorders>
              <w:top w:val="nil"/>
              <w:left w:val="single" w:sz="4" w:space="0" w:color="auto"/>
              <w:bottom w:val="single" w:sz="4" w:space="0" w:color="auto"/>
              <w:right w:val="single" w:sz="4" w:space="0" w:color="auto"/>
            </w:tcBorders>
            <w:noWrap/>
            <w:vAlign w:val="center"/>
            <w:hideMark/>
          </w:tcPr>
          <w:p w:rsidR="002160EB" w:rsidRDefault="002160EB">
            <w:pPr>
              <w:spacing w:line="360" w:lineRule="auto"/>
              <w:jc w:val="center"/>
              <w:rPr>
                <w:b/>
                <w:bCs/>
                <w:color w:val="000000"/>
                <w:sz w:val="20"/>
                <w:szCs w:val="20"/>
                <w:lang w:eastAsia="es-MX"/>
              </w:rPr>
            </w:pPr>
            <w:r>
              <w:rPr>
                <w:b/>
                <w:bCs/>
                <w:color w:val="000000"/>
                <w:sz w:val="20"/>
                <w:szCs w:val="20"/>
                <w:lang w:eastAsia="es-MX"/>
              </w:rPr>
              <w:t>Ejercicio 2018</w:t>
            </w:r>
          </w:p>
        </w:tc>
        <w:tc>
          <w:tcPr>
            <w:tcW w:w="2504" w:type="dxa"/>
            <w:tcBorders>
              <w:top w:val="nil"/>
              <w:left w:val="nil"/>
              <w:bottom w:val="single" w:sz="4" w:space="0" w:color="auto"/>
              <w:right w:val="single" w:sz="4" w:space="0" w:color="auto"/>
            </w:tcBorders>
            <w:noWrap/>
            <w:vAlign w:val="center"/>
            <w:hideMark/>
          </w:tcPr>
          <w:p w:rsidR="002160EB" w:rsidRDefault="002160EB">
            <w:pPr>
              <w:spacing w:line="360" w:lineRule="auto"/>
              <w:jc w:val="right"/>
              <w:rPr>
                <w:b/>
                <w:bCs/>
                <w:color w:val="000000"/>
                <w:sz w:val="20"/>
                <w:szCs w:val="20"/>
                <w:lang w:eastAsia="es-MX"/>
              </w:rPr>
            </w:pPr>
            <w:r>
              <w:rPr>
                <w:b/>
                <w:bCs/>
                <w:color w:val="000000"/>
                <w:sz w:val="20"/>
                <w:szCs w:val="20"/>
                <w:lang w:eastAsia="es-MX"/>
              </w:rPr>
              <w:t>0.0</w:t>
            </w:r>
          </w:p>
        </w:tc>
      </w:tr>
      <w:tr w:rsidR="002160EB" w:rsidTr="002160EB">
        <w:trPr>
          <w:trHeight w:val="53"/>
          <w:jc w:val="center"/>
        </w:trPr>
        <w:tc>
          <w:tcPr>
            <w:tcW w:w="1560" w:type="dxa"/>
            <w:tcBorders>
              <w:top w:val="nil"/>
              <w:left w:val="single" w:sz="4" w:space="0" w:color="auto"/>
              <w:bottom w:val="single" w:sz="4" w:space="0" w:color="auto"/>
              <w:right w:val="single" w:sz="4" w:space="0" w:color="auto"/>
            </w:tcBorders>
            <w:noWrap/>
            <w:vAlign w:val="center"/>
            <w:hideMark/>
          </w:tcPr>
          <w:p w:rsidR="002160EB" w:rsidRDefault="002160EB">
            <w:pPr>
              <w:spacing w:line="360" w:lineRule="auto"/>
              <w:jc w:val="center"/>
              <w:rPr>
                <w:b/>
                <w:bCs/>
                <w:color w:val="000000"/>
                <w:sz w:val="20"/>
                <w:szCs w:val="20"/>
                <w:lang w:eastAsia="es-MX"/>
              </w:rPr>
            </w:pPr>
            <w:r>
              <w:rPr>
                <w:b/>
                <w:bCs/>
                <w:color w:val="000000"/>
                <w:sz w:val="20"/>
                <w:szCs w:val="20"/>
                <w:lang w:eastAsia="es-MX"/>
              </w:rPr>
              <w:t>Ejercicio 2019</w:t>
            </w:r>
          </w:p>
        </w:tc>
        <w:tc>
          <w:tcPr>
            <w:tcW w:w="2504" w:type="dxa"/>
            <w:tcBorders>
              <w:top w:val="nil"/>
              <w:left w:val="nil"/>
              <w:bottom w:val="single" w:sz="4" w:space="0" w:color="auto"/>
              <w:right w:val="single" w:sz="4" w:space="0" w:color="auto"/>
            </w:tcBorders>
            <w:noWrap/>
            <w:vAlign w:val="center"/>
            <w:hideMark/>
          </w:tcPr>
          <w:p w:rsidR="002160EB" w:rsidRDefault="002160EB">
            <w:pPr>
              <w:spacing w:line="360" w:lineRule="auto"/>
              <w:jc w:val="right"/>
              <w:rPr>
                <w:b/>
                <w:bCs/>
                <w:color w:val="000000"/>
                <w:sz w:val="20"/>
                <w:szCs w:val="20"/>
                <w:lang w:eastAsia="es-MX"/>
              </w:rPr>
            </w:pPr>
            <w:r>
              <w:rPr>
                <w:b/>
                <w:bCs/>
                <w:color w:val="000000"/>
                <w:sz w:val="20"/>
                <w:szCs w:val="20"/>
                <w:lang w:eastAsia="es-MX"/>
              </w:rPr>
              <w:t>0.0</w:t>
            </w:r>
          </w:p>
        </w:tc>
      </w:tr>
      <w:tr w:rsidR="002160EB" w:rsidTr="002160EB">
        <w:trPr>
          <w:trHeight w:val="53"/>
          <w:jc w:val="center"/>
        </w:trPr>
        <w:tc>
          <w:tcPr>
            <w:tcW w:w="1560" w:type="dxa"/>
            <w:tcBorders>
              <w:top w:val="nil"/>
              <w:left w:val="single" w:sz="4" w:space="0" w:color="auto"/>
              <w:bottom w:val="single" w:sz="4" w:space="0" w:color="auto"/>
              <w:right w:val="single" w:sz="4" w:space="0" w:color="auto"/>
            </w:tcBorders>
            <w:noWrap/>
            <w:vAlign w:val="center"/>
            <w:hideMark/>
          </w:tcPr>
          <w:p w:rsidR="002160EB" w:rsidRDefault="002160EB">
            <w:pPr>
              <w:spacing w:line="360" w:lineRule="auto"/>
              <w:jc w:val="center"/>
              <w:rPr>
                <w:b/>
                <w:bCs/>
                <w:color w:val="000000"/>
                <w:sz w:val="20"/>
                <w:szCs w:val="20"/>
                <w:lang w:eastAsia="es-MX"/>
              </w:rPr>
            </w:pPr>
            <w:r>
              <w:rPr>
                <w:b/>
                <w:bCs/>
                <w:color w:val="000000"/>
                <w:sz w:val="20"/>
                <w:szCs w:val="20"/>
                <w:lang w:eastAsia="es-MX"/>
              </w:rPr>
              <w:t>SUMA</w:t>
            </w:r>
          </w:p>
        </w:tc>
        <w:tc>
          <w:tcPr>
            <w:tcW w:w="2504" w:type="dxa"/>
            <w:tcBorders>
              <w:top w:val="nil"/>
              <w:left w:val="nil"/>
              <w:bottom w:val="single" w:sz="4" w:space="0" w:color="auto"/>
              <w:right w:val="single" w:sz="4" w:space="0" w:color="auto"/>
            </w:tcBorders>
            <w:noWrap/>
            <w:vAlign w:val="center"/>
            <w:hideMark/>
          </w:tcPr>
          <w:p w:rsidR="002160EB" w:rsidRDefault="002160EB">
            <w:pPr>
              <w:spacing w:line="360" w:lineRule="auto"/>
              <w:jc w:val="right"/>
              <w:rPr>
                <w:b/>
                <w:bCs/>
                <w:color w:val="000000"/>
                <w:sz w:val="20"/>
                <w:szCs w:val="20"/>
                <w:lang w:eastAsia="es-MX"/>
              </w:rPr>
            </w:pPr>
            <w:r>
              <w:rPr>
                <w:b/>
                <w:bCs/>
                <w:color w:val="000000"/>
                <w:sz w:val="20"/>
                <w:szCs w:val="20"/>
                <w:lang w:eastAsia="es-MX"/>
              </w:rPr>
              <w:t>150.0</w:t>
            </w:r>
          </w:p>
        </w:tc>
      </w:tr>
    </w:tbl>
    <w:p w:rsidR="002160EB" w:rsidRDefault="002160EB" w:rsidP="002160EB">
      <w:pPr>
        <w:spacing w:line="360" w:lineRule="auto"/>
        <w:jc w:val="center"/>
        <w:rPr>
          <w:b/>
          <w:sz w:val="20"/>
          <w:szCs w:val="20"/>
        </w:rPr>
      </w:pPr>
      <w:r>
        <w:rPr>
          <w:b/>
          <w:sz w:val="20"/>
          <w:szCs w:val="20"/>
        </w:rPr>
        <w:t xml:space="preserve">* Cifras al Cierre del mes de </w:t>
      </w:r>
      <w:proofErr w:type="spellStart"/>
      <w:r>
        <w:rPr>
          <w:b/>
          <w:sz w:val="20"/>
          <w:szCs w:val="20"/>
        </w:rPr>
        <w:t>sepiembre</w:t>
      </w:r>
      <w:proofErr w:type="spellEnd"/>
      <w:r>
        <w:rPr>
          <w:b/>
          <w:sz w:val="20"/>
          <w:szCs w:val="20"/>
        </w:rPr>
        <w:t xml:space="preserve"> de 2019.</w:t>
      </w:r>
    </w:p>
    <w:p w:rsidR="002160EB" w:rsidRDefault="002160EB" w:rsidP="002160EB">
      <w:pPr>
        <w:spacing w:line="360" w:lineRule="auto"/>
        <w:jc w:val="both"/>
        <w:rPr>
          <w:b/>
          <w:sz w:val="20"/>
          <w:szCs w:val="20"/>
        </w:rPr>
      </w:pPr>
    </w:p>
    <w:p w:rsidR="002160EB" w:rsidRDefault="002160EB" w:rsidP="002160EB">
      <w:pPr>
        <w:spacing w:line="360" w:lineRule="auto"/>
        <w:jc w:val="center"/>
        <w:rPr>
          <w:b/>
          <w:sz w:val="20"/>
          <w:szCs w:val="20"/>
        </w:rPr>
      </w:pPr>
      <w:r>
        <w:rPr>
          <w:b/>
          <w:noProof/>
          <w:sz w:val="20"/>
          <w:szCs w:val="20"/>
          <w:lang w:val="es-MX" w:eastAsia="es-MX"/>
        </w:rPr>
        <w:drawing>
          <wp:inline distT="0" distB="0" distL="0" distR="0">
            <wp:extent cx="5340350" cy="2772410"/>
            <wp:effectExtent l="0" t="0" r="0"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40350" cy="2772410"/>
                    </a:xfrm>
                    <a:prstGeom prst="rect">
                      <a:avLst/>
                    </a:prstGeom>
                    <a:noFill/>
                    <a:ln>
                      <a:noFill/>
                    </a:ln>
                  </pic:spPr>
                </pic:pic>
              </a:graphicData>
            </a:graphic>
          </wp:inline>
        </w:drawing>
      </w:r>
    </w:p>
    <w:p w:rsidR="002160EB" w:rsidRDefault="002160EB" w:rsidP="002160EB">
      <w:pPr>
        <w:spacing w:line="360" w:lineRule="auto"/>
        <w:jc w:val="both"/>
        <w:rPr>
          <w:b/>
          <w:sz w:val="20"/>
          <w:szCs w:val="20"/>
        </w:rPr>
      </w:pPr>
    </w:p>
    <w:p w:rsidR="002160EB" w:rsidRDefault="002160EB" w:rsidP="002160EB">
      <w:pPr>
        <w:spacing w:line="360" w:lineRule="auto"/>
        <w:jc w:val="both"/>
        <w:rPr>
          <w:b/>
          <w:sz w:val="20"/>
          <w:szCs w:val="20"/>
        </w:rPr>
      </w:pPr>
    </w:p>
    <w:p w:rsidR="002160EB" w:rsidRDefault="002160EB" w:rsidP="002160EB">
      <w:pPr>
        <w:spacing w:line="360" w:lineRule="auto"/>
        <w:jc w:val="both"/>
        <w:rPr>
          <w:b/>
          <w:sz w:val="20"/>
          <w:szCs w:val="20"/>
        </w:rPr>
      </w:pPr>
      <w:r>
        <w:rPr>
          <w:b/>
          <w:sz w:val="20"/>
          <w:szCs w:val="20"/>
        </w:rPr>
        <w:lastRenderedPageBreak/>
        <w:t>CONCLUSIÓN</w:t>
      </w:r>
    </w:p>
    <w:p w:rsidR="002160EB" w:rsidRPr="008E6390" w:rsidRDefault="002160EB" w:rsidP="002160EB">
      <w:pPr>
        <w:spacing w:line="360" w:lineRule="auto"/>
        <w:ind w:left="-11"/>
        <w:jc w:val="both"/>
        <w:rPr>
          <w:sz w:val="20"/>
          <w:szCs w:val="20"/>
        </w:rPr>
      </w:pPr>
    </w:p>
    <w:p w:rsidR="008E6390" w:rsidRPr="008E6390" w:rsidRDefault="008E6390" w:rsidP="008E6390">
      <w:pPr>
        <w:spacing w:line="360" w:lineRule="auto"/>
        <w:ind w:left="-11"/>
        <w:jc w:val="both"/>
        <w:rPr>
          <w:sz w:val="20"/>
          <w:szCs w:val="20"/>
        </w:rPr>
      </w:pPr>
      <w:r w:rsidRPr="008E6390">
        <w:rPr>
          <w:sz w:val="20"/>
          <w:szCs w:val="20"/>
        </w:rPr>
        <w:t>El desarrollo económico y el mejoramiento de la calidad de vida de los habitantes del Estado requieren tomar acciones estratégicas en diversos frentes, tomando en cuenta la visión de largo plazo, las ventajas competitivas de la Entidad, las políticas que han funcionado apropiadamente, las deficiencias y limitantes en el patrón de desarrollo actual, así como las oportunidades y amenazas que generan los cambios en el entorno económico regional, nacional e internacional.</w:t>
      </w:r>
    </w:p>
    <w:p w:rsidR="008E6390" w:rsidRPr="008E6390" w:rsidRDefault="008E6390" w:rsidP="008E6390">
      <w:pPr>
        <w:spacing w:line="360" w:lineRule="auto"/>
        <w:ind w:left="-11"/>
        <w:jc w:val="both"/>
        <w:rPr>
          <w:sz w:val="20"/>
          <w:szCs w:val="20"/>
        </w:rPr>
      </w:pPr>
      <w:r w:rsidRPr="008E6390">
        <w:rPr>
          <w:sz w:val="20"/>
          <w:szCs w:val="20"/>
        </w:rPr>
        <w:t xml:space="preserve">La política de ingresos del Estado, contribuirá a mantener un Balance Presupuestario Sostenible con la aportación de una mayor recaudación que soporte el financiamiento del gasto público. En el ejercicio fiscal 2020 los esfuerzos de planeación, programación y </w:t>
      </w:r>
      <w:proofErr w:type="spellStart"/>
      <w:r w:rsidRPr="008E6390">
        <w:rPr>
          <w:sz w:val="20"/>
          <w:szCs w:val="20"/>
        </w:rPr>
        <w:t>presupuestación</w:t>
      </w:r>
      <w:proofErr w:type="spellEnd"/>
      <w:r w:rsidRPr="008E6390">
        <w:rPr>
          <w:sz w:val="20"/>
          <w:szCs w:val="20"/>
        </w:rPr>
        <w:t xml:space="preserve"> de los ingresos públicos se orientarán hacia los resultados siguientes:</w:t>
      </w:r>
    </w:p>
    <w:p w:rsidR="008E6390" w:rsidRPr="008E6390" w:rsidRDefault="008E6390" w:rsidP="008E6390">
      <w:pPr>
        <w:spacing w:line="360" w:lineRule="auto"/>
        <w:ind w:left="-11"/>
        <w:jc w:val="both"/>
        <w:rPr>
          <w:sz w:val="20"/>
          <w:szCs w:val="20"/>
        </w:rPr>
      </w:pPr>
    </w:p>
    <w:p w:rsidR="008E6390" w:rsidRPr="008E6390" w:rsidRDefault="008E6390" w:rsidP="008E6390">
      <w:pPr>
        <w:pStyle w:val="Prrafodelista"/>
        <w:numPr>
          <w:ilvl w:val="0"/>
          <w:numId w:val="28"/>
        </w:numPr>
        <w:spacing w:line="360" w:lineRule="auto"/>
        <w:ind w:left="426" w:hanging="426"/>
        <w:jc w:val="both"/>
        <w:rPr>
          <w:sz w:val="20"/>
          <w:szCs w:val="20"/>
        </w:rPr>
      </w:pPr>
      <w:r w:rsidRPr="008E6390">
        <w:rPr>
          <w:sz w:val="20"/>
          <w:szCs w:val="20"/>
        </w:rPr>
        <w:t>Ejercer una política fiscal responsable que fomente el desarrollo económico;</w:t>
      </w:r>
    </w:p>
    <w:p w:rsidR="008E6390" w:rsidRPr="008E6390" w:rsidRDefault="008E6390" w:rsidP="008E6390">
      <w:pPr>
        <w:pStyle w:val="Prrafodelista"/>
        <w:spacing w:line="360" w:lineRule="auto"/>
        <w:ind w:left="379"/>
        <w:jc w:val="both"/>
        <w:rPr>
          <w:sz w:val="20"/>
          <w:szCs w:val="20"/>
        </w:rPr>
      </w:pPr>
    </w:p>
    <w:p w:rsidR="008E6390" w:rsidRPr="008E6390" w:rsidRDefault="008E6390" w:rsidP="008E6390">
      <w:pPr>
        <w:pStyle w:val="Prrafodelista"/>
        <w:numPr>
          <w:ilvl w:val="0"/>
          <w:numId w:val="28"/>
        </w:numPr>
        <w:spacing w:line="360" w:lineRule="auto"/>
        <w:ind w:left="426"/>
        <w:jc w:val="both"/>
        <w:rPr>
          <w:sz w:val="20"/>
          <w:szCs w:val="20"/>
        </w:rPr>
      </w:pPr>
      <w:r w:rsidRPr="008E6390">
        <w:rPr>
          <w:sz w:val="20"/>
          <w:szCs w:val="20"/>
        </w:rPr>
        <w:t>Contar con un sistema hacendario que genere más recursos, sea simple, progresivo y que fomente la formalidad;</w:t>
      </w:r>
    </w:p>
    <w:p w:rsidR="008E6390" w:rsidRPr="008E6390" w:rsidRDefault="008E6390" w:rsidP="008E6390">
      <w:pPr>
        <w:pStyle w:val="Prrafodelista"/>
        <w:rPr>
          <w:sz w:val="20"/>
          <w:szCs w:val="20"/>
        </w:rPr>
      </w:pPr>
    </w:p>
    <w:p w:rsidR="008E6390" w:rsidRPr="008E6390" w:rsidRDefault="008E6390" w:rsidP="008E6390">
      <w:pPr>
        <w:pStyle w:val="Prrafodelista"/>
        <w:numPr>
          <w:ilvl w:val="0"/>
          <w:numId w:val="28"/>
        </w:numPr>
        <w:spacing w:line="360" w:lineRule="auto"/>
        <w:ind w:left="426"/>
        <w:jc w:val="both"/>
        <w:rPr>
          <w:sz w:val="20"/>
          <w:szCs w:val="20"/>
        </w:rPr>
      </w:pPr>
      <w:r w:rsidRPr="008E6390">
        <w:rPr>
          <w:sz w:val="20"/>
          <w:szCs w:val="20"/>
        </w:rPr>
        <w:t>Fomentar un gasto eficiente, que promueva el crecimiento, el desarrollo y la productividad dentro de un marco de rendición de cuentas, e</w:t>
      </w:r>
    </w:p>
    <w:p w:rsidR="008E6390" w:rsidRPr="008E6390" w:rsidRDefault="008E6390" w:rsidP="008E6390">
      <w:pPr>
        <w:pStyle w:val="Prrafodelista"/>
        <w:rPr>
          <w:sz w:val="20"/>
          <w:szCs w:val="20"/>
        </w:rPr>
      </w:pPr>
    </w:p>
    <w:p w:rsidR="008E6390" w:rsidRPr="008E6390" w:rsidRDefault="008E6390" w:rsidP="008E6390">
      <w:pPr>
        <w:pStyle w:val="Prrafodelista"/>
        <w:numPr>
          <w:ilvl w:val="0"/>
          <w:numId w:val="28"/>
        </w:numPr>
        <w:spacing w:line="360" w:lineRule="auto"/>
        <w:ind w:left="426"/>
        <w:jc w:val="both"/>
        <w:rPr>
          <w:sz w:val="20"/>
          <w:szCs w:val="20"/>
        </w:rPr>
      </w:pPr>
      <w:r w:rsidRPr="008E6390">
        <w:rPr>
          <w:sz w:val="20"/>
          <w:szCs w:val="20"/>
        </w:rPr>
        <w:t>Impulsar el fortalecimiento del federalismo fiscal para que las Entidades Federativas y Municipios puedan lograr preservar el equilibrio de sus finanzas públicas.</w:t>
      </w:r>
    </w:p>
    <w:p w:rsidR="008E6390" w:rsidRPr="008E6390" w:rsidRDefault="008E6390" w:rsidP="008E6390">
      <w:pPr>
        <w:spacing w:line="360" w:lineRule="auto"/>
        <w:ind w:left="-11"/>
        <w:jc w:val="both"/>
        <w:rPr>
          <w:sz w:val="20"/>
          <w:szCs w:val="20"/>
        </w:rPr>
      </w:pPr>
    </w:p>
    <w:p w:rsidR="008E6390" w:rsidRPr="008E6390" w:rsidRDefault="008E6390" w:rsidP="008E6390">
      <w:pPr>
        <w:spacing w:line="360" w:lineRule="auto"/>
        <w:ind w:left="-11"/>
        <w:jc w:val="both"/>
        <w:rPr>
          <w:sz w:val="20"/>
          <w:szCs w:val="20"/>
        </w:rPr>
      </w:pPr>
      <w:r w:rsidRPr="008E6390">
        <w:rPr>
          <w:sz w:val="20"/>
          <w:szCs w:val="20"/>
        </w:rPr>
        <w:t>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8E6390" w:rsidRPr="008E6390" w:rsidRDefault="008E6390" w:rsidP="008E6390">
      <w:pPr>
        <w:spacing w:line="360" w:lineRule="auto"/>
        <w:ind w:left="-11"/>
        <w:jc w:val="both"/>
        <w:rPr>
          <w:sz w:val="20"/>
          <w:szCs w:val="20"/>
        </w:rPr>
      </w:pPr>
    </w:p>
    <w:p w:rsidR="008E6390" w:rsidRPr="008E6390" w:rsidRDefault="008E6390" w:rsidP="008E6390">
      <w:pPr>
        <w:spacing w:line="360" w:lineRule="auto"/>
        <w:ind w:left="-11"/>
        <w:jc w:val="both"/>
        <w:rPr>
          <w:sz w:val="20"/>
          <w:szCs w:val="20"/>
        </w:rPr>
      </w:pPr>
      <w:r w:rsidRPr="008E6390">
        <w:rPr>
          <w:sz w:val="20"/>
          <w:szCs w:val="20"/>
        </w:rPr>
        <w:lastRenderedPageBreak/>
        <w:t>El Gobierno del Estado, mantendrá un papel activo en la coordinación y colaboración hacendaria, enfocándose en mantener el flujo de ingresos participables a favor del Estado y sus municipios, en el marco legal e institucional del Sistema Nacional de Coordinación Fiscal (SNCF) y del Sistema Estatal de Coordinación Hacendaria (SECH), así como en promover su fortalecimiento. Asimismo, reforzar los vínculos de coordinación entre los tres órdenes de gobierno, incluyendo a sus dependencias y entidades, para ejecutar las disposiciones fiscales y administrativas que favorezcan el incremento de la recaudación.</w:t>
      </w:r>
    </w:p>
    <w:p w:rsidR="008E6390" w:rsidRPr="008E6390" w:rsidRDefault="008E6390" w:rsidP="008E6390">
      <w:pPr>
        <w:spacing w:line="360" w:lineRule="auto"/>
        <w:ind w:left="-11"/>
        <w:jc w:val="both"/>
        <w:rPr>
          <w:sz w:val="20"/>
          <w:szCs w:val="20"/>
        </w:rPr>
      </w:pPr>
    </w:p>
    <w:p w:rsidR="008E6390" w:rsidRPr="008E6390" w:rsidRDefault="008E6390" w:rsidP="008E6390">
      <w:pPr>
        <w:spacing w:line="360" w:lineRule="auto"/>
        <w:ind w:left="-11"/>
        <w:jc w:val="both"/>
        <w:rPr>
          <w:sz w:val="20"/>
          <w:szCs w:val="20"/>
        </w:rPr>
      </w:pPr>
      <w:r w:rsidRPr="008E6390">
        <w:rPr>
          <w:sz w:val="20"/>
          <w:szCs w:val="20"/>
        </w:rPr>
        <w:t>Por otra parte, las relaciones intergubernamentales establecidas darán cumplimiento a las disposiciones establecidas en la Ley de Coordinación Fiscal, la Ley de Disciplina Financiera de las Entidades Federativas y los Municipios, la Ley General de Contabilidad Gubernamental y el Convenio de Colaboración Administrativa en Materia Fiscal Federal, así como a la normativa emanada del Consejo Nacional de Armonización Contable (CONAC).</w:t>
      </w:r>
    </w:p>
    <w:p w:rsidR="008E6390" w:rsidRPr="008E6390" w:rsidRDefault="008E6390" w:rsidP="008E6390">
      <w:pPr>
        <w:spacing w:line="360" w:lineRule="auto"/>
        <w:ind w:left="-11"/>
        <w:jc w:val="both"/>
        <w:rPr>
          <w:sz w:val="20"/>
          <w:szCs w:val="20"/>
        </w:rPr>
      </w:pPr>
    </w:p>
    <w:p w:rsidR="008E6390" w:rsidRPr="008E6390" w:rsidRDefault="008E6390" w:rsidP="008E6390">
      <w:pPr>
        <w:spacing w:line="360" w:lineRule="auto"/>
        <w:ind w:left="-11"/>
        <w:jc w:val="both"/>
        <w:rPr>
          <w:sz w:val="20"/>
          <w:szCs w:val="20"/>
        </w:rPr>
      </w:pPr>
      <w:r w:rsidRPr="008E6390">
        <w:rPr>
          <w:sz w:val="20"/>
          <w:szCs w:val="20"/>
        </w:rPr>
        <w:t>La Iniciativa de Ley de Ingresos del Estado de Tlaxcala para el Ejercicio Fiscal 2020, considera un pronóstico de ingresos prudente, observando la evolución de las finanzas estatales y de los posibles riesgos que pudieran modificar las metas planteadas, así como las medidas para contener dichos riesgos; es por ello, que esta administración en las consideraciones que sustentan la presente Iniciativa, da cumplimiento a las disposiciones en materia de contabilidad gubernamental, coordinación fiscal, disciplina financiera, fortalecimiento a la fiscalización, responsabilidad hacendaria, transparencia y rendición de cuentas, tomando en consideración los Criterios Generales de Política Económica para la Iniciativa de Ley de Ingresos y el Proyecto de Presupuesto de Egresos de la Federación correspondientes al Ejercicio Fiscal 2020, del Plan Estatal de Desarrollo 2017-2021 y del Código Financiero para el Estado de Tlaxcala y sus Municipios.</w:t>
      </w:r>
    </w:p>
    <w:p w:rsidR="008E6390" w:rsidRPr="008E6390" w:rsidRDefault="008E6390" w:rsidP="008E6390">
      <w:pPr>
        <w:spacing w:line="360" w:lineRule="auto"/>
        <w:ind w:left="-11"/>
        <w:jc w:val="both"/>
        <w:rPr>
          <w:sz w:val="20"/>
          <w:szCs w:val="20"/>
        </w:rPr>
      </w:pPr>
    </w:p>
    <w:p w:rsidR="008E6390" w:rsidRPr="008E6390" w:rsidRDefault="008E6390" w:rsidP="008E6390">
      <w:pPr>
        <w:spacing w:line="360" w:lineRule="auto"/>
        <w:ind w:left="-11"/>
        <w:jc w:val="both"/>
        <w:rPr>
          <w:sz w:val="20"/>
          <w:szCs w:val="20"/>
        </w:rPr>
      </w:pPr>
      <w:r w:rsidRPr="008E6390">
        <w:rPr>
          <w:sz w:val="20"/>
          <w:szCs w:val="20"/>
        </w:rPr>
        <w:t>Por lo que, las estrategias a seguir por el Gobierno del Estado son las siguientes:</w:t>
      </w:r>
    </w:p>
    <w:p w:rsidR="008E6390" w:rsidRPr="008E6390" w:rsidRDefault="008E6390" w:rsidP="008E6390">
      <w:pPr>
        <w:spacing w:line="360" w:lineRule="auto"/>
        <w:ind w:left="-11"/>
        <w:jc w:val="both"/>
        <w:rPr>
          <w:sz w:val="20"/>
          <w:szCs w:val="20"/>
        </w:rPr>
      </w:pPr>
    </w:p>
    <w:p w:rsidR="008E6390" w:rsidRPr="008E6390" w:rsidRDefault="008E6390" w:rsidP="008E6390">
      <w:pPr>
        <w:pStyle w:val="Prrafodelista"/>
        <w:numPr>
          <w:ilvl w:val="0"/>
          <w:numId w:val="4"/>
        </w:numPr>
        <w:spacing w:line="360" w:lineRule="auto"/>
        <w:jc w:val="both"/>
        <w:rPr>
          <w:sz w:val="20"/>
          <w:szCs w:val="20"/>
        </w:rPr>
      </w:pPr>
      <w:r w:rsidRPr="008E6390">
        <w:rPr>
          <w:sz w:val="20"/>
          <w:szCs w:val="20"/>
        </w:rPr>
        <w:t>Endeudamiento Cero</w:t>
      </w:r>
    </w:p>
    <w:p w:rsidR="008E6390" w:rsidRPr="008E6390" w:rsidRDefault="008E6390" w:rsidP="008E6390">
      <w:pPr>
        <w:pStyle w:val="Prrafodelista"/>
        <w:numPr>
          <w:ilvl w:val="0"/>
          <w:numId w:val="4"/>
        </w:numPr>
        <w:spacing w:line="360" w:lineRule="auto"/>
        <w:jc w:val="both"/>
        <w:rPr>
          <w:sz w:val="20"/>
          <w:szCs w:val="20"/>
        </w:rPr>
      </w:pPr>
      <w:r w:rsidRPr="008E6390">
        <w:rPr>
          <w:sz w:val="20"/>
          <w:szCs w:val="20"/>
        </w:rPr>
        <w:lastRenderedPageBreak/>
        <w:t>No creación de nuevos impuestos</w:t>
      </w:r>
    </w:p>
    <w:p w:rsidR="008E6390" w:rsidRPr="008E6390" w:rsidRDefault="008E6390" w:rsidP="008E6390">
      <w:pPr>
        <w:pStyle w:val="Prrafodelista"/>
        <w:numPr>
          <w:ilvl w:val="0"/>
          <w:numId w:val="4"/>
        </w:numPr>
        <w:spacing w:line="360" w:lineRule="auto"/>
        <w:jc w:val="both"/>
        <w:rPr>
          <w:sz w:val="20"/>
          <w:szCs w:val="20"/>
        </w:rPr>
      </w:pPr>
      <w:r w:rsidRPr="008E6390">
        <w:rPr>
          <w:sz w:val="20"/>
          <w:szCs w:val="20"/>
        </w:rPr>
        <w:t>Finanzas Estatales sanas</w:t>
      </w:r>
    </w:p>
    <w:p w:rsidR="008E6390" w:rsidRPr="008E6390" w:rsidRDefault="008E6390" w:rsidP="008E6390">
      <w:pPr>
        <w:pStyle w:val="Prrafodelista"/>
        <w:numPr>
          <w:ilvl w:val="0"/>
          <w:numId w:val="4"/>
        </w:numPr>
        <w:spacing w:line="360" w:lineRule="auto"/>
        <w:jc w:val="both"/>
        <w:rPr>
          <w:sz w:val="20"/>
          <w:szCs w:val="20"/>
        </w:rPr>
      </w:pPr>
      <w:r w:rsidRPr="008E6390">
        <w:rPr>
          <w:sz w:val="20"/>
          <w:szCs w:val="20"/>
        </w:rPr>
        <w:t>Establecer beneficios fiscales a sectores de la población</w:t>
      </w:r>
    </w:p>
    <w:p w:rsidR="008E6390" w:rsidRPr="008E6390" w:rsidRDefault="008E6390" w:rsidP="008E6390">
      <w:pPr>
        <w:pStyle w:val="Prrafodelista"/>
        <w:numPr>
          <w:ilvl w:val="0"/>
          <w:numId w:val="4"/>
        </w:numPr>
        <w:spacing w:line="360" w:lineRule="auto"/>
        <w:jc w:val="both"/>
        <w:rPr>
          <w:sz w:val="20"/>
          <w:szCs w:val="20"/>
        </w:rPr>
      </w:pPr>
      <w:r w:rsidRPr="008E6390">
        <w:rPr>
          <w:sz w:val="20"/>
          <w:szCs w:val="20"/>
        </w:rPr>
        <w:t>Cumplimiento de la normatividad emitida por el CONAC</w:t>
      </w:r>
    </w:p>
    <w:p w:rsidR="008E6390" w:rsidRPr="008E6390" w:rsidRDefault="008E6390" w:rsidP="008E6390">
      <w:pPr>
        <w:pStyle w:val="Prrafodelista"/>
        <w:numPr>
          <w:ilvl w:val="0"/>
          <w:numId w:val="4"/>
        </w:numPr>
        <w:spacing w:line="360" w:lineRule="auto"/>
        <w:jc w:val="both"/>
        <w:rPr>
          <w:sz w:val="20"/>
          <w:szCs w:val="20"/>
        </w:rPr>
      </w:pPr>
      <w:r w:rsidRPr="008E6390">
        <w:rPr>
          <w:sz w:val="20"/>
          <w:szCs w:val="20"/>
        </w:rPr>
        <w:t>Cumplimiento de los criterios del IMCO</w:t>
      </w:r>
    </w:p>
    <w:p w:rsidR="008E6390" w:rsidRPr="008E6390" w:rsidRDefault="008E6390" w:rsidP="008E6390">
      <w:pPr>
        <w:pStyle w:val="Prrafodelista"/>
        <w:numPr>
          <w:ilvl w:val="0"/>
          <w:numId w:val="4"/>
        </w:numPr>
        <w:spacing w:line="360" w:lineRule="auto"/>
        <w:jc w:val="both"/>
        <w:rPr>
          <w:sz w:val="20"/>
          <w:szCs w:val="20"/>
        </w:rPr>
      </w:pPr>
      <w:r w:rsidRPr="008E6390">
        <w:rPr>
          <w:sz w:val="20"/>
          <w:szCs w:val="20"/>
        </w:rPr>
        <w:t>Transparencia y Rendición de Cuentas</w:t>
      </w:r>
    </w:p>
    <w:p w:rsidR="008E6390" w:rsidRPr="008E6390" w:rsidRDefault="008E6390" w:rsidP="008E6390">
      <w:pPr>
        <w:pStyle w:val="Prrafodelista"/>
        <w:numPr>
          <w:ilvl w:val="0"/>
          <w:numId w:val="4"/>
        </w:numPr>
        <w:spacing w:line="360" w:lineRule="auto"/>
        <w:jc w:val="both"/>
        <w:rPr>
          <w:sz w:val="20"/>
          <w:szCs w:val="20"/>
        </w:rPr>
      </w:pPr>
      <w:r w:rsidRPr="008E6390">
        <w:rPr>
          <w:sz w:val="20"/>
          <w:szCs w:val="20"/>
        </w:rPr>
        <w:t>Simplificación de procesos y gobierno digital</w:t>
      </w:r>
    </w:p>
    <w:p w:rsidR="008E6390" w:rsidRPr="008E6390" w:rsidRDefault="008E6390" w:rsidP="008E6390">
      <w:pPr>
        <w:pStyle w:val="Prrafodelista"/>
        <w:numPr>
          <w:ilvl w:val="0"/>
          <w:numId w:val="4"/>
        </w:numPr>
        <w:spacing w:line="360" w:lineRule="auto"/>
        <w:jc w:val="both"/>
        <w:rPr>
          <w:sz w:val="20"/>
          <w:szCs w:val="20"/>
        </w:rPr>
      </w:pPr>
      <w:r w:rsidRPr="008E6390">
        <w:rPr>
          <w:sz w:val="20"/>
          <w:szCs w:val="20"/>
        </w:rPr>
        <w:t>Integración del Paquete Económico conforme a lo establecido en la Ley de Disciplina Financiera</w:t>
      </w:r>
    </w:p>
    <w:p w:rsidR="008E6390" w:rsidRPr="008E6390" w:rsidRDefault="008E6390" w:rsidP="008E6390">
      <w:pPr>
        <w:pStyle w:val="Prrafodelista"/>
        <w:numPr>
          <w:ilvl w:val="0"/>
          <w:numId w:val="4"/>
        </w:numPr>
        <w:spacing w:line="360" w:lineRule="auto"/>
        <w:jc w:val="both"/>
        <w:rPr>
          <w:sz w:val="20"/>
          <w:szCs w:val="20"/>
        </w:rPr>
      </w:pPr>
      <w:r w:rsidRPr="008E6390">
        <w:rPr>
          <w:sz w:val="20"/>
          <w:szCs w:val="20"/>
        </w:rPr>
        <w:t>Congruencia en los pronósticos de recaudación federal y estatal</w:t>
      </w:r>
    </w:p>
    <w:p w:rsidR="008E6390" w:rsidRPr="008E6390" w:rsidRDefault="008E6390" w:rsidP="008E6390">
      <w:pPr>
        <w:pStyle w:val="Prrafodelista"/>
        <w:numPr>
          <w:ilvl w:val="0"/>
          <w:numId w:val="4"/>
        </w:numPr>
        <w:spacing w:line="360" w:lineRule="auto"/>
        <w:jc w:val="both"/>
        <w:rPr>
          <w:sz w:val="20"/>
          <w:szCs w:val="20"/>
        </w:rPr>
      </w:pPr>
      <w:r w:rsidRPr="008E6390">
        <w:rPr>
          <w:sz w:val="20"/>
          <w:szCs w:val="20"/>
        </w:rPr>
        <w:t>Riesgos fiscales, evolución y perspectivas económicas.</w:t>
      </w:r>
    </w:p>
    <w:p w:rsidR="008E6390" w:rsidRPr="008E6390" w:rsidRDefault="008E6390" w:rsidP="008E6390">
      <w:pPr>
        <w:spacing w:line="360" w:lineRule="auto"/>
        <w:ind w:left="-11"/>
        <w:jc w:val="both"/>
        <w:rPr>
          <w:sz w:val="20"/>
          <w:szCs w:val="20"/>
        </w:rPr>
      </w:pPr>
    </w:p>
    <w:p w:rsidR="008E6390" w:rsidRPr="008E6390" w:rsidRDefault="008E6390" w:rsidP="008E6390">
      <w:pPr>
        <w:spacing w:line="360" w:lineRule="auto"/>
        <w:ind w:left="-11"/>
        <w:jc w:val="both"/>
        <w:rPr>
          <w:sz w:val="20"/>
          <w:szCs w:val="20"/>
        </w:rPr>
      </w:pPr>
      <w:r w:rsidRPr="008E6390">
        <w:rPr>
          <w:sz w:val="20"/>
          <w:szCs w:val="20"/>
        </w:rPr>
        <w:t xml:space="preserve">Con estas medidas, la presente Iniciativa garantiza que la hacienda estatal cuente con finanzas sanas; observando los principios de eficiencia, eficacia, economía, austeridad, honradez y transparencia. </w:t>
      </w:r>
    </w:p>
    <w:p w:rsidR="002160EB" w:rsidRPr="008E6390" w:rsidRDefault="008E6390" w:rsidP="008E6390">
      <w:pPr>
        <w:spacing w:line="360" w:lineRule="auto"/>
        <w:jc w:val="both"/>
        <w:rPr>
          <w:sz w:val="20"/>
          <w:szCs w:val="20"/>
        </w:rPr>
      </w:pPr>
      <w:r w:rsidRPr="008E6390">
        <w:rPr>
          <w:sz w:val="20"/>
          <w:szCs w:val="20"/>
        </w:rPr>
        <w:t xml:space="preserve">Por lo antes expuesto y dando cumplimiento a lo establecido en la Constitución Política del Estado Libre y Soberano de Tlaxcala, me permito someter a consideración de ese Congreso la Iniciativa de Ley de Ingresos del Estado de Tlaxcala para el Ejercicio Fiscal 2020, que prevé un monto total de ingresos por </w:t>
      </w:r>
      <w:r w:rsidRPr="008E6390">
        <w:rPr>
          <w:b/>
          <w:sz w:val="20"/>
          <w:szCs w:val="20"/>
        </w:rPr>
        <w:t>$ 20,779,041,842.00.</w:t>
      </w:r>
    </w:p>
    <w:p w:rsidR="002160EB" w:rsidRDefault="002160EB" w:rsidP="00A64D2A">
      <w:pPr>
        <w:spacing w:line="360" w:lineRule="auto"/>
        <w:jc w:val="center"/>
        <w:rPr>
          <w:b/>
          <w:sz w:val="20"/>
          <w:szCs w:val="20"/>
        </w:rPr>
      </w:pPr>
    </w:p>
    <w:p w:rsidR="00835F7D" w:rsidRDefault="00835F7D" w:rsidP="00A64D2A">
      <w:pPr>
        <w:spacing w:line="360" w:lineRule="auto"/>
        <w:jc w:val="center"/>
        <w:rPr>
          <w:b/>
          <w:sz w:val="20"/>
          <w:szCs w:val="20"/>
        </w:rPr>
      </w:pPr>
    </w:p>
    <w:p w:rsidR="008E6390" w:rsidRDefault="008E6390" w:rsidP="00A64D2A">
      <w:pPr>
        <w:spacing w:line="360" w:lineRule="auto"/>
        <w:jc w:val="center"/>
        <w:rPr>
          <w:b/>
          <w:sz w:val="20"/>
          <w:szCs w:val="20"/>
        </w:rPr>
      </w:pPr>
    </w:p>
    <w:p w:rsidR="008E6390" w:rsidRDefault="008E6390" w:rsidP="00A64D2A">
      <w:pPr>
        <w:spacing w:line="360" w:lineRule="auto"/>
        <w:jc w:val="center"/>
        <w:rPr>
          <w:b/>
          <w:sz w:val="20"/>
          <w:szCs w:val="20"/>
        </w:rPr>
      </w:pPr>
    </w:p>
    <w:p w:rsidR="008E6390" w:rsidRDefault="008E6390" w:rsidP="00A64D2A">
      <w:pPr>
        <w:spacing w:line="360" w:lineRule="auto"/>
        <w:jc w:val="center"/>
        <w:rPr>
          <w:b/>
          <w:sz w:val="20"/>
          <w:szCs w:val="20"/>
        </w:rPr>
      </w:pPr>
    </w:p>
    <w:p w:rsidR="008E6390" w:rsidRDefault="008E6390" w:rsidP="00A64D2A">
      <w:pPr>
        <w:spacing w:line="360" w:lineRule="auto"/>
        <w:jc w:val="center"/>
        <w:rPr>
          <w:b/>
          <w:sz w:val="20"/>
          <w:szCs w:val="20"/>
        </w:rPr>
      </w:pPr>
    </w:p>
    <w:p w:rsidR="008E6390" w:rsidRDefault="008E6390" w:rsidP="00A64D2A">
      <w:pPr>
        <w:spacing w:line="360" w:lineRule="auto"/>
        <w:jc w:val="center"/>
        <w:rPr>
          <w:b/>
          <w:sz w:val="20"/>
          <w:szCs w:val="20"/>
        </w:rPr>
      </w:pPr>
    </w:p>
    <w:p w:rsidR="008E6390" w:rsidRDefault="008E6390" w:rsidP="00A64D2A">
      <w:pPr>
        <w:spacing w:line="360" w:lineRule="auto"/>
        <w:jc w:val="center"/>
        <w:rPr>
          <w:b/>
          <w:sz w:val="20"/>
          <w:szCs w:val="20"/>
        </w:rPr>
      </w:pPr>
    </w:p>
    <w:p w:rsidR="008E6390" w:rsidRDefault="008E6390" w:rsidP="00A64D2A">
      <w:pPr>
        <w:spacing w:line="360" w:lineRule="auto"/>
        <w:jc w:val="center"/>
        <w:rPr>
          <w:b/>
          <w:sz w:val="20"/>
          <w:szCs w:val="20"/>
        </w:rPr>
      </w:pPr>
    </w:p>
    <w:p w:rsidR="008E6390" w:rsidRDefault="008E6390" w:rsidP="00A64D2A">
      <w:pPr>
        <w:spacing w:line="360" w:lineRule="auto"/>
        <w:jc w:val="center"/>
        <w:rPr>
          <w:b/>
          <w:sz w:val="20"/>
          <w:szCs w:val="20"/>
        </w:rPr>
      </w:pPr>
    </w:p>
    <w:p w:rsidR="008E6390" w:rsidRDefault="008E6390" w:rsidP="00A64D2A">
      <w:pPr>
        <w:spacing w:line="360" w:lineRule="auto"/>
        <w:jc w:val="center"/>
        <w:rPr>
          <w:b/>
          <w:sz w:val="20"/>
          <w:szCs w:val="20"/>
        </w:rPr>
      </w:pPr>
    </w:p>
    <w:p w:rsidR="00404E4A" w:rsidRPr="00955A4C" w:rsidRDefault="0037578E" w:rsidP="00A64D2A">
      <w:pPr>
        <w:spacing w:line="360" w:lineRule="auto"/>
        <w:jc w:val="center"/>
        <w:rPr>
          <w:color w:val="FF0000"/>
          <w:sz w:val="20"/>
          <w:szCs w:val="20"/>
        </w:rPr>
      </w:pPr>
      <w:r w:rsidRPr="00955A4C">
        <w:rPr>
          <w:b/>
          <w:sz w:val="20"/>
          <w:szCs w:val="20"/>
        </w:rPr>
        <w:lastRenderedPageBreak/>
        <w:t>CRITERIOS DE POLÍTICA ECONÓMICA DEL ESTADO DE TLAXCALA</w:t>
      </w:r>
    </w:p>
    <w:p w:rsidR="00B8501C" w:rsidRPr="00955A4C" w:rsidRDefault="00B8501C" w:rsidP="00765750">
      <w:pPr>
        <w:spacing w:line="360" w:lineRule="auto"/>
        <w:ind w:left="-11"/>
        <w:jc w:val="both"/>
        <w:rPr>
          <w:sz w:val="20"/>
          <w:szCs w:val="20"/>
        </w:rPr>
      </w:pPr>
    </w:p>
    <w:p w:rsidR="007A5775" w:rsidRPr="00955A4C" w:rsidRDefault="007A5775" w:rsidP="00765750">
      <w:pPr>
        <w:spacing w:line="360" w:lineRule="auto"/>
        <w:ind w:left="-11"/>
        <w:jc w:val="both"/>
        <w:rPr>
          <w:sz w:val="20"/>
          <w:szCs w:val="20"/>
        </w:rPr>
      </w:pPr>
    </w:p>
    <w:p w:rsidR="00B8501C" w:rsidRPr="00955A4C" w:rsidRDefault="00B8501C" w:rsidP="00F67B87">
      <w:pPr>
        <w:pStyle w:val="Prrafodelista"/>
        <w:numPr>
          <w:ilvl w:val="0"/>
          <w:numId w:val="6"/>
        </w:numPr>
        <w:spacing w:line="360" w:lineRule="auto"/>
        <w:ind w:left="567" w:hanging="578"/>
        <w:jc w:val="both"/>
        <w:rPr>
          <w:b/>
          <w:color w:val="000000" w:themeColor="text1"/>
          <w:sz w:val="20"/>
          <w:szCs w:val="20"/>
        </w:rPr>
      </w:pPr>
      <w:r w:rsidRPr="00955A4C">
        <w:rPr>
          <w:b/>
          <w:color w:val="000000" w:themeColor="text1"/>
          <w:sz w:val="20"/>
          <w:szCs w:val="20"/>
        </w:rPr>
        <w:t>EN MATERIA DE EGRESOS</w:t>
      </w:r>
    </w:p>
    <w:p w:rsidR="00B8501C" w:rsidRPr="00955A4C" w:rsidRDefault="00B8501C" w:rsidP="00765750">
      <w:pPr>
        <w:spacing w:line="360" w:lineRule="auto"/>
        <w:ind w:left="-11"/>
        <w:jc w:val="both"/>
        <w:rPr>
          <w:color w:val="000000" w:themeColor="text1"/>
          <w:sz w:val="20"/>
          <w:szCs w:val="20"/>
        </w:rPr>
      </w:pPr>
    </w:p>
    <w:p w:rsidR="008E6390" w:rsidRPr="00955A4C" w:rsidRDefault="008E6390" w:rsidP="008E6390">
      <w:pPr>
        <w:spacing w:line="360" w:lineRule="auto"/>
        <w:jc w:val="both"/>
        <w:rPr>
          <w:rFonts w:eastAsia="Calibri"/>
          <w:b/>
          <w:color w:val="000000" w:themeColor="text1"/>
          <w:sz w:val="20"/>
          <w:szCs w:val="20"/>
        </w:rPr>
      </w:pPr>
      <w:r w:rsidRPr="00955A4C">
        <w:rPr>
          <w:rFonts w:eastAsia="Calibri"/>
          <w:b/>
          <w:color w:val="000000" w:themeColor="text1"/>
          <w:sz w:val="20"/>
          <w:szCs w:val="20"/>
        </w:rPr>
        <w:t>CONSIDERACIONES GENERALES</w:t>
      </w:r>
    </w:p>
    <w:p w:rsidR="008E6390" w:rsidRPr="00955A4C" w:rsidRDefault="008E6390" w:rsidP="008E6390">
      <w:pPr>
        <w:spacing w:line="360" w:lineRule="auto"/>
        <w:jc w:val="both"/>
        <w:rPr>
          <w:rFonts w:eastAsia="Calibri"/>
          <w:color w:val="000000" w:themeColor="text1"/>
          <w:sz w:val="20"/>
          <w:szCs w:val="20"/>
        </w:rPr>
      </w:pPr>
    </w:p>
    <w:p w:rsidR="008E6390" w:rsidRPr="00955A4C" w:rsidRDefault="008E6390" w:rsidP="008E6390">
      <w:pPr>
        <w:spacing w:line="360" w:lineRule="auto"/>
        <w:jc w:val="both"/>
        <w:rPr>
          <w:rFonts w:eastAsia="Calibri"/>
          <w:color w:val="000000" w:themeColor="text1"/>
          <w:sz w:val="20"/>
          <w:szCs w:val="20"/>
        </w:rPr>
      </w:pPr>
      <w:r w:rsidRPr="00955A4C">
        <w:rPr>
          <w:rFonts w:eastAsia="Calibri"/>
          <w:color w:val="000000" w:themeColor="text1"/>
          <w:sz w:val="20"/>
          <w:szCs w:val="20"/>
        </w:rPr>
        <w:t>El Paquete Económico para el Ejercicio Fiscal 2020 enfatiza el compromiso del Gobierno del Estado de mantener la disciplina y prudencia de la política fiscal, con apego al Acuerdo que Establece los Lineamientos y Políticas Generales del Ejercicio del Presupuesto, las Medidas de Mejora y Modernización, así como de Austeridad del Gasto Público de la Gestión Administrativa, con el fin de contar co</w:t>
      </w:r>
      <w:r>
        <w:rPr>
          <w:rFonts w:eastAsia="Calibri"/>
          <w:color w:val="000000" w:themeColor="text1"/>
          <w:sz w:val="20"/>
          <w:szCs w:val="20"/>
        </w:rPr>
        <w:t>n fundamentos macroeconómicos só</w:t>
      </w:r>
      <w:r w:rsidRPr="00955A4C">
        <w:rPr>
          <w:rFonts w:eastAsia="Calibri"/>
          <w:color w:val="000000" w:themeColor="text1"/>
          <w:sz w:val="20"/>
          <w:szCs w:val="20"/>
        </w:rPr>
        <w:t>lidos ante un entorno económico internacional en el que prevalece la incertidumbre ante las Políticas del Gobierno Federal, en apego al compromiso del Gobierno Estatal de continuar con finanzas públicas sanas.</w:t>
      </w:r>
    </w:p>
    <w:p w:rsidR="008E6390" w:rsidRPr="00955A4C" w:rsidRDefault="008E6390" w:rsidP="008E6390">
      <w:pPr>
        <w:spacing w:line="360" w:lineRule="auto"/>
        <w:jc w:val="both"/>
        <w:rPr>
          <w:rFonts w:eastAsia="Calibri"/>
          <w:color w:val="000000" w:themeColor="text1"/>
          <w:sz w:val="20"/>
          <w:szCs w:val="20"/>
        </w:rPr>
      </w:pPr>
    </w:p>
    <w:p w:rsidR="008E6390" w:rsidRDefault="008E6390" w:rsidP="008E6390">
      <w:pPr>
        <w:spacing w:line="360" w:lineRule="auto"/>
        <w:jc w:val="both"/>
        <w:rPr>
          <w:rFonts w:eastAsia="Calibri"/>
          <w:color w:val="000000" w:themeColor="text1"/>
          <w:sz w:val="20"/>
          <w:szCs w:val="20"/>
        </w:rPr>
      </w:pPr>
      <w:r w:rsidRPr="00955A4C">
        <w:rPr>
          <w:rFonts w:eastAsia="Calibri"/>
          <w:color w:val="000000" w:themeColor="text1"/>
          <w:sz w:val="20"/>
          <w:szCs w:val="20"/>
        </w:rPr>
        <w:t>En tal contexto, el Gobierno Federal con el fin de contar con fundamentos macroeconómicos sólidos ante un entorno económico internacional en el que prevalece la incertidumbre</w:t>
      </w:r>
      <w:r>
        <w:rPr>
          <w:rFonts w:eastAsia="Calibri"/>
          <w:color w:val="000000" w:themeColor="text1"/>
          <w:sz w:val="20"/>
          <w:szCs w:val="20"/>
        </w:rPr>
        <w:t xml:space="preserve"> por la persistencia del lento crecimiento mundial de la economía</w:t>
      </w:r>
      <w:r w:rsidRPr="00955A4C">
        <w:rPr>
          <w:rFonts w:eastAsia="Calibri"/>
          <w:color w:val="000000" w:themeColor="text1"/>
          <w:sz w:val="20"/>
          <w:szCs w:val="20"/>
        </w:rPr>
        <w:t xml:space="preserve">. Mantener la estabilidad macroeconómica del país permitirá seguir creando las condiciones para promover un crecimiento incluyente que genere un mayor bienestar a toda la población. En este sentido, los </w:t>
      </w:r>
      <w:r w:rsidRPr="007256C0">
        <w:rPr>
          <w:rFonts w:eastAsia="Calibri"/>
          <w:color w:val="000000" w:themeColor="text1"/>
          <w:sz w:val="20"/>
          <w:szCs w:val="20"/>
        </w:rPr>
        <w:t xml:space="preserve">Criterios Generales </w:t>
      </w:r>
      <w:r>
        <w:rPr>
          <w:rFonts w:eastAsia="Calibri"/>
          <w:color w:val="000000" w:themeColor="text1"/>
          <w:sz w:val="20"/>
          <w:szCs w:val="20"/>
        </w:rPr>
        <w:t>d</w:t>
      </w:r>
      <w:r w:rsidRPr="007256C0">
        <w:rPr>
          <w:rFonts w:eastAsia="Calibri"/>
          <w:color w:val="000000" w:themeColor="text1"/>
          <w:sz w:val="20"/>
          <w:szCs w:val="20"/>
        </w:rPr>
        <w:t xml:space="preserve">e Política Económica </w:t>
      </w:r>
      <w:r>
        <w:rPr>
          <w:rFonts w:eastAsia="Calibri"/>
          <w:color w:val="000000" w:themeColor="text1"/>
          <w:sz w:val="20"/>
          <w:szCs w:val="20"/>
        </w:rPr>
        <w:t>p</w:t>
      </w:r>
      <w:r w:rsidRPr="007256C0">
        <w:rPr>
          <w:rFonts w:eastAsia="Calibri"/>
          <w:color w:val="000000" w:themeColor="text1"/>
          <w:sz w:val="20"/>
          <w:szCs w:val="20"/>
        </w:rPr>
        <w:t xml:space="preserve">ara </w:t>
      </w:r>
      <w:r>
        <w:rPr>
          <w:rFonts w:eastAsia="Calibri"/>
          <w:color w:val="000000" w:themeColor="text1"/>
          <w:sz w:val="20"/>
          <w:szCs w:val="20"/>
        </w:rPr>
        <w:t>l</w:t>
      </w:r>
      <w:r w:rsidRPr="007256C0">
        <w:rPr>
          <w:rFonts w:eastAsia="Calibri"/>
          <w:color w:val="000000" w:themeColor="text1"/>
          <w:sz w:val="20"/>
          <w:szCs w:val="20"/>
        </w:rPr>
        <w:t xml:space="preserve">a Iniciativa </w:t>
      </w:r>
      <w:r>
        <w:rPr>
          <w:rFonts w:eastAsia="Calibri"/>
          <w:color w:val="000000" w:themeColor="text1"/>
          <w:sz w:val="20"/>
          <w:szCs w:val="20"/>
        </w:rPr>
        <w:t>d</w:t>
      </w:r>
      <w:r w:rsidRPr="007256C0">
        <w:rPr>
          <w:rFonts w:eastAsia="Calibri"/>
          <w:color w:val="000000" w:themeColor="text1"/>
          <w:sz w:val="20"/>
          <w:szCs w:val="20"/>
        </w:rPr>
        <w:t xml:space="preserve">e Ley </w:t>
      </w:r>
      <w:r>
        <w:rPr>
          <w:rFonts w:eastAsia="Calibri"/>
          <w:color w:val="000000" w:themeColor="text1"/>
          <w:sz w:val="20"/>
          <w:szCs w:val="20"/>
        </w:rPr>
        <w:t>d</w:t>
      </w:r>
      <w:r w:rsidRPr="007256C0">
        <w:rPr>
          <w:rFonts w:eastAsia="Calibri"/>
          <w:color w:val="000000" w:themeColor="text1"/>
          <w:sz w:val="20"/>
          <w:szCs w:val="20"/>
        </w:rPr>
        <w:t xml:space="preserve">e Ingresos </w:t>
      </w:r>
      <w:r>
        <w:rPr>
          <w:rFonts w:eastAsia="Calibri"/>
          <w:color w:val="000000" w:themeColor="text1"/>
          <w:sz w:val="20"/>
          <w:szCs w:val="20"/>
        </w:rPr>
        <w:t>y</w:t>
      </w:r>
      <w:r w:rsidRPr="007256C0">
        <w:rPr>
          <w:rFonts w:eastAsia="Calibri"/>
          <w:color w:val="000000" w:themeColor="text1"/>
          <w:sz w:val="20"/>
          <w:szCs w:val="20"/>
        </w:rPr>
        <w:t xml:space="preserve"> </w:t>
      </w:r>
      <w:r>
        <w:rPr>
          <w:rFonts w:eastAsia="Calibri"/>
          <w:color w:val="000000" w:themeColor="text1"/>
          <w:sz w:val="20"/>
          <w:szCs w:val="20"/>
        </w:rPr>
        <w:t>e</w:t>
      </w:r>
      <w:r w:rsidRPr="007256C0">
        <w:rPr>
          <w:rFonts w:eastAsia="Calibri"/>
          <w:color w:val="000000" w:themeColor="text1"/>
          <w:sz w:val="20"/>
          <w:szCs w:val="20"/>
        </w:rPr>
        <w:t xml:space="preserve">l Proyecto </w:t>
      </w:r>
      <w:r>
        <w:rPr>
          <w:rFonts w:eastAsia="Calibri"/>
          <w:color w:val="000000" w:themeColor="text1"/>
          <w:sz w:val="20"/>
          <w:szCs w:val="20"/>
        </w:rPr>
        <w:t>d</w:t>
      </w:r>
      <w:r w:rsidRPr="007256C0">
        <w:rPr>
          <w:rFonts w:eastAsia="Calibri"/>
          <w:color w:val="000000" w:themeColor="text1"/>
          <w:sz w:val="20"/>
          <w:szCs w:val="20"/>
        </w:rPr>
        <w:t xml:space="preserve">e Presupuesto </w:t>
      </w:r>
      <w:r>
        <w:rPr>
          <w:rFonts w:eastAsia="Calibri"/>
          <w:color w:val="000000" w:themeColor="text1"/>
          <w:sz w:val="20"/>
          <w:szCs w:val="20"/>
        </w:rPr>
        <w:t>d</w:t>
      </w:r>
      <w:r w:rsidRPr="007256C0">
        <w:rPr>
          <w:rFonts w:eastAsia="Calibri"/>
          <w:color w:val="000000" w:themeColor="text1"/>
          <w:sz w:val="20"/>
          <w:szCs w:val="20"/>
        </w:rPr>
        <w:t xml:space="preserve">e Egresos </w:t>
      </w:r>
      <w:r>
        <w:rPr>
          <w:rFonts w:eastAsia="Calibri"/>
          <w:color w:val="000000" w:themeColor="text1"/>
          <w:sz w:val="20"/>
          <w:szCs w:val="20"/>
        </w:rPr>
        <w:t>d</w:t>
      </w:r>
      <w:r w:rsidRPr="007256C0">
        <w:rPr>
          <w:rFonts w:eastAsia="Calibri"/>
          <w:color w:val="000000" w:themeColor="text1"/>
          <w:sz w:val="20"/>
          <w:szCs w:val="20"/>
        </w:rPr>
        <w:t xml:space="preserve">e </w:t>
      </w:r>
      <w:r>
        <w:rPr>
          <w:rFonts w:eastAsia="Calibri"/>
          <w:color w:val="000000" w:themeColor="text1"/>
          <w:sz w:val="20"/>
          <w:szCs w:val="20"/>
        </w:rPr>
        <w:t>l</w:t>
      </w:r>
      <w:r w:rsidRPr="007256C0">
        <w:rPr>
          <w:rFonts w:eastAsia="Calibri"/>
          <w:color w:val="000000" w:themeColor="text1"/>
          <w:sz w:val="20"/>
          <w:szCs w:val="20"/>
        </w:rPr>
        <w:t xml:space="preserve">a Federación </w:t>
      </w:r>
      <w:r>
        <w:rPr>
          <w:rFonts w:eastAsia="Calibri"/>
          <w:color w:val="000000" w:themeColor="text1"/>
          <w:sz w:val="20"/>
          <w:szCs w:val="20"/>
        </w:rPr>
        <w:t>c</w:t>
      </w:r>
      <w:r w:rsidRPr="007256C0">
        <w:rPr>
          <w:rFonts w:eastAsia="Calibri"/>
          <w:color w:val="000000" w:themeColor="text1"/>
          <w:sz w:val="20"/>
          <w:szCs w:val="20"/>
        </w:rPr>
        <w:t xml:space="preserve">orrespondientes </w:t>
      </w:r>
      <w:r>
        <w:rPr>
          <w:rFonts w:eastAsia="Calibri"/>
          <w:color w:val="000000" w:themeColor="text1"/>
          <w:sz w:val="20"/>
          <w:szCs w:val="20"/>
        </w:rPr>
        <w:t>a</w:t>
      </w:r>
      <w:r w:rsidRPr="007256C0">
        <w:rPr>
          <w:rFonts w:eastAsia="Calibri"/>
          <w:color w:val="000000" w:themeColor="text1"/>
          <w:sz w:val="20"/>
          <w:szCs w:val="20"/>
        </w:rPr>
        <w:t>l Ejercicio Fiscal 2020</w:t>
      </w:r>
      <w:r w:rsidRPr="00955A4C">
        <w:rPr>
          <w:rFonts w:eastAsia="Calibri"/>
          <w:color w:val="000000" w:themeColor="text1"/>
          <w:sz w:val="20"/>
          <w:szCs w:val="20"/>
        </w:rPr>
        <w:t xml:space="preserve"> (CGPE) contienen la propuesta del Ejecutivo Federal de los lineamientos de política económica y fiscal para 2020.</w:t>
      </w:r>
    </w:p>
    <w:p w:rsidR="008E6390" w:rsidRDefault="008E6390" w:rsidP="008E6390">
      <w:pPr>
        <w:spacing w:line="360" w:lineRule="auto"/>
        <w:jc w:val="both"/>
        <w:rPr>
          <w:rFonts w:eastAsia="Calibri"/>
          <w:color w:val="000000" w:themeColor="text1"/>
          <w:sz w:val="20"/>
          <w:szCs w:val="20"/>
        </w:rPr>
      </w:pPr>
    </w:p>
    <w:p w:rsidR="008E6390" w:rsidRPr="00955A4C" w:rsidRDefault="008E6390" w:rsidP="008E6390">
      <w:pPr>
        <w:spacing w:line="360" w:lineRule="auto"/>
        <w:jc w:val="both"/>
        <w:rPr>
          <w:rFonts w:eastAsia="Calibri"/>
          <w:color w:val="000000" w:themeColor="text1"/>
          <w:sz w:val="20"/>
          <w:szCs w:val="20"/>
        </w:rPr>
      </w:pPr>
      <w:r>
        <w:rPr>
          <w:rFonts w:eastAsia="Calibri"/>
          <w:color w:val="000000" w:themeColor="text1"/>
          <w:sz w:val="20"/>
          <w:szCs w:val="20"/>
        </w:rPr>
        <w:t>Con lo anterior</w:t>
      </w:r>
      <w:r w:rsidRPr="00955A4C">
        <w:rPr>
          <w:rFonts w:eastAsia="Calibri"/>
          <w:color w:val="000000" w:themeColor="text1"/>
          <w:sz w:val="20"/>
          <w:szCs w:val="20"/>
        </w:rPr>
        <w:t>, se estima que el fortalecimiento del mercado interno, la creación de empleos, el repunte del crédito y la inversión en infraestructura pública y privada generen un mayor dinamismo durante el año</w:t>
      </w:r>
      <w:r>
        <w:rPr>
          <w:rFonts w:eastAsia="Calibri"/>
          <w:color w:val="000000" w:themeColor="text1"/>
          <w:sz w:val="20"/>
          <w:szCs w:val="20"/>
        </w:rPr>
        <w:t xml:space="preserve"> 2020</w:t>
      </w:r>
      <w:r w:rsidRPr="00955A4C">
        <w:rPr>
          <w:rFonts w:eastAsia="Calibri"/>
          <w:color w:val="000000" w:themeColor="text1"/>
          <w:sz w:val="20"/>
          <w:szCs w:val="20"/>
        </w:rPr>
        <w:t xml:space="preserve">. Este último también se encontraría impulsado por factores externos como mejores condiciones comerciales por la probable ratificación del </w:t>
      </w:r>
      <w:r w:rsidRPr="00102586">
        <w:rPr>
          <w:rFonts w:eastAsia="Calibri"/>
          <w:color w:val="000000" w:themeColor="text1"/>
          <w:sz w:val="20"/>
          <w:szCs w:val="20"/>
        </w:rPr>
        <w:t xml:space="preserve">Tratado entre México, Estados Unidos y </w:t>
      </w:r>
      <w:r w:rsidRPr="00102586">
        <w:rPr>
          <w:rFonts w:eastAsia="Calibri"/>
          <w:color w:val="000000" w:themeColor="text1"/>
          <w:sz w:val="20"/>
          <w:szCs w:val="20"/>
        </w:rPr>
        <w:lastRenderedPageBreak/>
        <w:t>Canadá</w:t>
      </w:r>
      <w:r>
        <w:rPr>
          <w:rFonts w:eastAsia="Calibri"/>
          <w:color w:val="000000" w:themeColor="text1"/>
          <w:sz w:val="20"/>
          <w:szCs w:val="20"/>
        </w:rPr>
        <w:t xml:space="preserve"> (T</w:t>
      </w:r>
      <w:r w:rsidRPr="00955A4C">
        <w:rPr>
          <w:rFonts w:eastAsia="Calibri"/>
          <w:color w:val="000000" w:themeColor="text1"/>
          <w:sz w:val="20"/>
          <w:szCs w:val="20"/>
        </w:rPr>
        <w:t>-MEC</w:t>
      </w:r>
      <w:r>
        <w:rPr>
          <w:rFonts w:eastAsia="Calibri"/>
          <w:color w:val="000000" w:themeColor="text1"/>
          <w:sz w:val="20"/>
          <w:szCs w:val="20"/>
        </w:rPr>
        <w:t>)</w:t>
      </w:r>
      <w:r w:rsidRPr="00955A4C">
        <w:rPr>
          <w:rFonts w:eastAsia="Calibri"/>
          <w:color w:val="000000" w:themeColor="text1"/>
          <w:sz w:val="20"/>
          <w:szCs w:val="20"/>
        </w:rPr>
        <w:t xml:space="preserve">, y factores internos como la disipación de la incertidumbre ante nuevas políticas gubernamentales y de presiones inflacionarias. </w:t>
      </w:r>
    </w:p>
    <w:p w:rsidR="008E6390" w:rsidRPr="00955A4C" w:rsidRDefault="008E6390" w:rsidP="008E6390">
      <w:pPr>
        <w:spacing w:line="360" w:lineRule="auto"/>
        <w:jc w:val="both"/>
        <w:rPr>
          <w:rFonts w:eastAsia="Calibri"/>
          <w:color w:val="000000" w:themeColor="text1"/>
          <w:sz w:val="20"/>
          <w:szCs w:val="20"/>
        </w:rPr>
      </w:pPr>
    </w:p>
    <w:p w:rsidR="008E6390" w:rsidRPr="00955A4C" w:rsidRDefault="008E6390" w:rsidP="008E6390">
      <w:pPr>
        <w:spacing w:line="360" w:lineRule="auto"/>
        <w:ind w:left="-11"/>
        <w:jc w:val="both"/>
        <w:rPr>
          <w:sz w:val="20"/>
          <w:szCs w:val="20"/>
        </w:rPr>
      </w:pPr>
      <w:r w:rsidRPr="00955A4C">
        <w:rPr>
          <w:sz w:val="20"/>
          <w:szCs w:val="20"/>
        </w:rPr>
        <w:t>Por ello, el Proyecto de</w:t>
      </w:r>
      <w:r>
        <w:rPr>
          <w:sz w:val="20"/>
          <w:szCs w:val="20"/>
        </w:rPr>
        <w:t xml:space="preserve"> Decreto de</w:t>
      </w:r>
      <w:r w:rsidRPr="00955A4C">
        <w:rPr>
          <w:sz w:val="20"/>
          <w:szCs w:val="20"/>
        </w:rPr>
        <w:t xml:space="preserve"> Presupuesto de Egresos de la Federación 2020 considera diversas acciones que permitan continuar con la transformación social del país,  fortaleciendo la nueva visión de</w:t>
      </w:r>
      <w:r>
        <w:rPr>
          <w:sz w:val="20"/>
          <w:szCs w:val="20"/>
        </w:rPr>
        <w:t xml:space="preserve"> </w:t>
      </w:r>
      <w:r w:rsidRPr="00955A4C">
        <w:rPr>
          <w:sz w:val="20"/>
          <w:szCs w:val="20"/>
        </w:rPr>
        <w:t>l</w:t>
      </w:r>
      <w:r>
        <w:rPr>
          <w:sz w:val="20"/>
          <w:szCs w:val="20"/>
        </w:rPr>
        <w:t>a nación</w:t>
      </w:r>
      <w:r w:rsidRPr="00955A4C">
        <w:rPr>
          <w:sz w:val="20"/>
          <w:szCs w:val="20"/>
        </w:rPr>
        <w:t xml:space="preserve"> de todos, donde las acciones de gobierno para la provisión de bienes y servicios públicos se dirigen esencialmente a apoyar a la población en menores condiciones de bienestar, mediante programas y proyectos que faciliten las condiciones de igualdad económica, social y cultural; y que, además, sumen esfuerzos con la iniciativa privada para estimular el desarrollo económico del país en un marco de certeza, justicia y paz social.</w:t>
      </w:r>
    </w:p>
    <w:p w:rsidR="008E6390" w:rsidRPr="00955A4C" w:rsidRDefault="008E6390" w:rsidP="008E6390">
      <w:pPr>
        <w:spacing w:line="360" w:lineRule="auto"/>
        <w:ind w:left="-11"/>
        <w:jc w:val="both"/>
        <w:rPr>
          <w:sz w:val="20"/>
          <w:szCs w:val="20"/>
        </w:rPr>
      </w:pPr>
    </w:p>
    <w:p w:rsidR="008E6390" w:rsidRPr="00955A4C" w:rsidRDefault="008E6390" w:rsidP="008E6390">
      <w:pPr>
        <w:spacing w:line="360" w:lineRule="auto"/>
        <w:ind w:left="-11"/>
        <w:jc w:val="both"/>
        <w:rPr>
          <w:sz w:val="20"/>
          <w:szCs w:val="20"/>
        </w:rPr>
      </w:pPr>
      <w:r w:rsidRPr="00955A4C">
        <w:rPr>
          <w:sz w:val="20"/>
          <w:szCs w:val="20"/>
        </w:rPr>
        <w:t xml:space="preserve">La integración del </w:t>
      </w:r>
      <w:r w:rsidRPr="00096094">
        <w:rPr>
          <w:rFonts w:eastAsia="Calibri"/>
          <w:sz w:val="20"/>
          <w:szCs w:val="20"/>
        </w:rPr>
        <w:t xml:space="preserve">Proyecto de Decreto de Presupuesto de Egresos del Estado de Tlaxcala para el Ejercicio Fiscal 2020 </w:t>
      </w:r>
      <w:r w:rsidRPr="00955A4C">
        <w:rPr>
          <w:sz w:val="20"/>
          <w:szCs w:val="20"/>
        </w:rPr>
        <w:t xml:space="preserve">atiende el principio de equilibrio presupuestal entre los ingresos y egresos, tomando en cuenta los </w:t>
      </w:r>
      <w:r w:rsidRPr="007256C0">
        <w:rPr>
          <w:rFonts w:eastAsia="Calibri"/>
          <w:color w:val="000000" w:themeColor="text1"/>
          <w:sz w:val="20"/>
          <w:szCs w:val="20"/>
        </w:rPr>
        <w:t xml:space="preserve">Criterios Generales </w:t>
      </w:r>
      <w:r>
        <w:rPr>
          <w:rFonts w:eastAsia="Calibri"/>
          <w:color w:val="000000" w:themeColor="text1"/>
          <w:sz w:val="20"/>
          <w:szCs w:val="20"/>
        </w:rPr>
        <w:t>d</w:t>
      </w:r>
      <w:r w:rsidRPr="007256C0">
        <w:rPr>
          <w:rFonts w:eastAsia="Calibri"/>
          <w:color w:val="000000" w:themeColor="text1"/>
          <w:sz w:val="20"/>
          <w:szCs w:val="20"/>
        </w:rPr>
        <w:t xml:space="preserve">e Política Económica </w:t>
      </w:r>
      <w:r>
        <w:rPr>
          <w:rFonts w:eastAsia="Calibri"/>
          <w:color w:val="000000" w:themeColor="text1"/>
          <w:sz w:val="20"/>
          <w:szCs w:val="20"/>
        </w:rPr>
        <w:t>p</w:t>
      </w:r>
      <w:r w:rsidRPr="007256C0">
        <w:rPr>
          <w:rFonts w:eastAsia="Calibri"/>
          <w:color w:val="000000" w:themeColor="text1"/>
          <w:sz w:val="20"/>
          <w:szCs w:val="20"/>
        </w:rPr>
        <w:t xml:space="preserve">ara </w:t>
      </w:r>
      <w:r>
        <w:rPr>
          <w:rFonts w:eastAsia="Calibri"/>
          <w:color w:val="000000" w:themeColor="text1"/>
          <w:sz w:val="20"/>
          <w:szCs w:val="20"/>
        </w:rPr>
        <w:t>l</w:t>
      </w:r>
      <w:r w:rsidRPr="007256C0">
        <w:rPr>
          <w:rFonts w:eastAsia="Calibri"/>
          <w:color w:val="000000" w:themeColor="text1"/>
          <w:sz w:val="20"/>
          <w:szCs w:val="20"/>
        </w:rPr>
        <w:t xml:space="preserve">a Iniciativa </w:t>
      </w:r>
      <w:r>
        <w:rPr>
          <w:rFonts w:eastAsia="Calibri"/>
          <w:color w:val="000000" w:themeColor="text1"/>
          <w:sz w:val="20"/>
          <w:szCs w:val="20"/>
        </w:rPr>
        <w:t>d</w:t>
      </w:r>
      <w:r w:rsidRPr="007256C0">
        <w:rPr>
          <w:rFonts w:eastAsia="Calibri"/>
          <w:color w:val="000000" w:themeColor="text1"/>
          <w:sz w:val="20"/>
          <w:szCs w:val="20"/>
        </w:rPr>
        <w:t xml:space="preserve">e Ley </w:t>
      </w:r>
      <w:r>
        <w:rPr>
          <w:rFonts w:eastAsia="Calibri"/>
          <w:color w:val="000000" w:themeColor="text1"/>
          <w:sz w:val="20"/>
          <w:szCs w:val="20"/>
        </w:rPr>
        <w:t>d</w:t>
      </w:r>
      <w:r w:rsidRPr="007256C0">
        <w:rPr>
          <w:rFonts w:eastAsia="Calibri"/>
          <w:color w:val="000000" w:themeColor="text1"/>
          <w:sz w:val="20"/>
          <w:szCs w:val="20"/>
        </w:rPr>
        <w:t xml:space="preserve">e Ingresos </w:t>
      </w:r>
      <w:r>
        <w:rPr>
          <w:rFonts w:eastAsia="Calibri"/>
          <w:color w:val="000000" w:themeColor="text1"/>
          <w:sz w:val="20"/>
          <w:szCs w:val="20"/>
        </w:rPr>
        <w:t>y</w:t>
      </w:r>
      <w:r w:rsidRPr="007256C0">
        <w:rPr>
          <w:rFonts w:eastAsia="Calibri"/>
          <w:color w:val="000000" w:themeColor="text1"/>
          <w:sz w:val="20"/>
          <w:szCs w:val="20"/>
        </w:rPr>
        <w:t xml:space="preserve"> </w:t>
      </w:r>
      <w:r>
        <w:rPr>
          <w:rFonts w:eastAsia="Calibri"/>
          <w:color w:val="000000" w:themeColor="text1"/>
          <w:sz w:val="20"/>
          <w:szCs w:val="20"/>
        </w:rPr>
        <w:t>e</w:t>
      </w:r>
      <w:r w:rsidRPr="007256C0">
        <w:rPr>
          <w:rFonts w:eastAsia="Calibri"/>
          <w:color w:val="000000" w:themeColor="text1"/>
          <w:sz w:val="20"/>
          <w:szCs w:val="20"/>
        </w:rPr>
        <w:t xml:space="preserve">l Proyecto </w:t>
      </w:r>
      <w:r>
        <w:rPr>
          <w:rFonts w:eastAsia="Calibri"/>
          <w:color w:val="000000" w:themeColor="text1"/>
          <w:sz w:val="20"/>
          <w:szCs w:val="20"/>
        </w:rPr>
        <w:t>d</w:t>
      </w:r>
      <w:r w:rsidRPr="007256C0">
        <w:rPr>
          <w:rFonts w:eastAsia="Calibri"/>
          <w:color w:val="000000" w:themeColor="text1"/>
          <w:sz w:val="20"/>
          <w:szCs w:val="20"/>
        </w:rPr>
        <w:t xml:space="preserve">e Presupuesto </w:t>
      </w:r>
      <w:r>
        <w:rPr>
          <w:rFonts w:eastAsia="Calibri"/>
          <w:color w:val="000000" w:themeColor="text1"/>
          <w:sz w:val="20"/>
          <w:szCs w:val="20"/>
        </w:rPr>
        <w:t>d</w:t>
      </w:r>
      <w:r w:rsidRPr="007256C0">
        <w:rPr>
          <w:rFonts w:eastAsia="Calibri"/>
          <w:color w:val="000000" w:themeColor="text1"/>
          <w:sz w:val="20"/>
          <w:szCs w:val="20"/>
        </w:rPr>
        <w:t xml:space="preserve">e Egresos </w:t>
      </w:r>
      <w:r>
        <w:rPr>
          <w:rFonts w:eastAsia="Calibri"/>
          <w:color w:val="000000" w:themeColor="text1"/>
          <w:sz w:val="20"/>
          <w:szCs w:val="20"/>
        </w:rPr>
        <w:t>d</w:t>
      </w:r>
      <w:r w:rsidRPr="007256C0">
        <w:rPr>
          <w:rFonts w:eastAsia="Calibri"/>
          <w:color w:val="000000" w:themeColor="text1"/>
          <w:sz w:val="20"/>
          <w:szCs w:val="20"/>
        </w:rPr>
        <w:t xml:space="preserve">e </w:t>
      </w:r>
      <w:r>
        <w:rPr>
          <w:rFonts w:eastAsia="Calibri"/>
          <w:color w:val="000000" w:themeColor="text1"/>
          <w:sz w:val="20"/>
          <w:szCs w:val="20"/>
        </w:rPr>
        <w:t>l</w:t>
      </w:r>
      <w:r w:rsidRPr="007256C0">
        <w:rPr>
          <w:rFonts w:eastAsia="Calibri"/>
          <w:color w:val="000000" w:themeColor="text1"/>
          <w:sz w:val="20"/>
          <w:szCs w:val="20"/>
        </w:rPr>
        <w:t xml:space="preserve">a Federación </w:t>
      </w:r>
      <w:r>
        <w:rPr>
          <w:rFonts w:eastAsia="Calibri"/>
          <w:color w:val="000000" w:themeColor="text1"/>
          <w:sz w:val="20"/>
          <w:szCs w:val="20"/>
        </w:rPr>
        <w:t>c</w:t>
      </w:r>
      <w:r w:rsidRPr="007256C0">
        <w:rPr>
          <w:rFonts w:eastAsia="Calibri"/>
          <w:color w:val="000000" w:themeColor="text1"/>
          <w:sz w:val="20"/>
          <w:szCs w:val="20"/>
        </w:rPr>
        <w:t xml:space="preserve">orrespondientes </w:t>
      </w:r>
      <w:r>
        <w:rPr>
          <w:rFonts w:eastAsia="Calibri"/>
          <w:color w:val="000000" w:themeColor="text1"/>
          <w:sz w:val="20"/>
          <w:szCs w:val="20"/>
        </w:rPr>
        <w:t>a</w:t>
      </w:r>
      <w:r w:rsidRPr="007256C0">
        <w:rPr>
          <w:rFonts w:eastAsia="Calibri"/>
          <w:color w:val="000000" w:themeColor="text1"/>
          <w:sz w:val="20"/>
          <w:szCs w:val="20"/>
        </w:rPr>
        <w:t>l Ejercicio Fiscal 2020</w:t>
      </w:r>
      <w:r w:rsidRPr="00955A4C">
        <w:rPr>
          <w:rFonts w:eastAsia="Calibri"/>
          <w:color w:val="000000" w:themeColor="text1"/>
          <w:sz w:val="20"/>
          <w:szCs w:val="20"/>
        </w:rPr>
        <w:t xml:space="preserve"> (CGPE)</w:t>
      </w:r>
      <w:r w:rsidRPr="00955A4C">
        <w:rPr>
          <w:sz w:val="20"/>
          <w:szCs w:val="20"/>
        </w:rPr>
        <w:t xml:space="preserve"> presentados por el Gobierno </w:t>
      </w:r>
      <w:r>
        <w:rPr>
          <w:sz w:val="20"/>
          <w:szCs w:val="20"/>
        </w:rPr>
        <w:t>Federal</w:t>
      </w:r>
      <w:r w:rsidRPr="00955A4C">
        <w:rPr>
          <w:sz w:val="20"/>
          <w:szCs w:val="20"/>
        </w:rPr>
        <w:t xml:space="preserve">, los cuales prevén un crecimiento real </w:t>
      </w:r>
      <w:r w:rsidRPr="00955A4C">
        <w:rPr>
          <w:rFonts w:eastAsia="Calibri"/>
          <w:color w:val="000000" w:themeColor="text1"/>
          <w:sz w:val="20"/>
          <w:szCs w:val="20"/>
        </w:rPr>
        <w:t>anual del PIB en 2020 de entre 1.5% y 2.5%. En particular, para las estimaciones de finanzas públicas se considera un crecimiento puntual de 2.0% real anual</w:t>
      </w:r>
      <w:r w:rsidRPr="00955A4C">
        <w:rPr>
          <w:sz w:val="20"/>
          <w:szCs w:val="20"/>
        </w:rPr>
        <w:t>; una inflación esperada de 3.0%; un tipo de cambio nominal de 20.00 pesos por dólar y un precio del petróleo de la mezcla mexicana de exportación de 49.0 dólares por barril (dpb), para efectos de estimación de la Ley de Ingresos de la Federación para el ejercicio fiscal 2020.</w:t>
      </w:r>
    </w:p>
    <w:p w:rsidR="008E6390" w:rsidRPr="00955A4C" w:rsidRDefault="008E6390" w:rsidP="008E6390">
      <w:pPr>
        <w:spacing w:line="360" w:lineRule="auto"/>
        <w:ind w:left="-11"/>
        <w:jc w:val="both"/>
        <w:rPr>
          <w:sz w:val="20"/>
          <w:szCs w:val="20"/>
        </w:rPr>
      </w:pPr>
    </w:p>
    <w:p w:rsidR="008E6390" w:rsidRPr="00955A4C" w:rsidRDefault="008E6390" w:rsidP="008E6390">
      <w:pPr>
        <w:spacing w:line="360" w:lineRule="auto"/>
        <w:ind w:left="-11"/>
        <w:jc w:val="both"/>
        <w:rPr>
          <w:sz w:val="20"/>
          <w:szCs w:val="20"/>
        </w:rPr>
      </w:pPr>
      <w:r w:rsidRPr="00955A4C">
        <w:rPr>
          <w:sz w:val="20"/>
          <w:szCs w:val="20"/>
        </w:rPr>
        <w:t xml:space="preserve">En apego a lo que establece la Ley General de Contabilidad Gubernamental, la Ley Federal de Presupuesto y Responsabilidad Hacendaria, la Ley de Coordinación Fiscal, </w:t>
      </w:r>
      <w:r>
        <w:rPr>
          <w:sz w:val="20"/>
          <w:szCs w:val="20"/>
        </w:rPr>
        <w:t xml:space="preserve">la </w:t>
      </w:r>
      <w:r w:rsidRPr="007E2244">
        <w:rPr>
          <w:sz w:val="20"/>
          <w:szCs w:val="20"/>
        </w:rPr>
        <w:t>Ley Federal de Transparencia y Acceso a la Información Pública</w:t>
      </w:r>
      <w:r w:rsidRPr="00955A4C">
        <w:rPr>
          <w:sz w:val="20"/>
          <w:szCs w:val="20"/>
        </w:rPr>
        <w:t>, la Ley de Disciplina Financiera de las Entidades Federativas y los Municipios, así como las políticas públicas establecidas</w:t>
      </w:r>
      <w:r>
        <w:rPr>
          <w:sz w:val="20"/>
          <w:szCs w:val="20"/>
        </w:rPr>
        <w:t xml:space="preserve">, </w:t>
      </w:r>
      <w:r w:rsidRPr="00955A4C">
        <w:rPr>
          <w:sz w:val="20"/>
          <w:szCs w:val="20"/>
        </w:rPr>
        <w:t xml:space="preserve">se elaboró el Proyecto </w:t>
      </w:r>
      <w:r>
        <w:rPr>
          <w:sz w:val="20"/>
          <w:szCs w:val="20"/>
        </w:rPr>
        <w:t xml:space="preserve">de Decreto </w:t>
      </w:r>
      <w:r w:rsidRPr="00955A4C">
        <w:rPr>
          <w:sz w:val="20"/>
          <w:szCs w:val="20"/>
        </w:rPr>
        <w:t>de Presupuesto de Egresos</w:t>
      </w:r>
      <w:r>
        <w:rPr>
          <w:sz w:val="20"/>
          <w:szCs w:val="20"/>
        </w:rPr>
        <w:t xml:space="preserve"> de Estado de Tlaxcala</w:t>
      </w:r>
      <w:r w:rsidRPr="00955A4C">
        <w:rPr>
          <w:sz w:val="20"/>
          <w:szCs w:val="20"/>
        </w:rPr>
        <w:t xml:space="preserve"> 2020, mediante el modelo de Presupuesto basado en Resultados (PbR) y el Sistema de Evaluación del Desempeño (SED)</w:t>
      </w:r>
      <w:r>
        <w:rPr>
          <w:sz w:val="20"/>
          <w:szCs w:val="20"/>
        </w:rPr>
        <w:t xml:space="preserve">, </w:t>
      </w:r>
      <w:r w:rsidRPr="00955A4C">
        <w:rPr>
          <w:sz w:val="20"/>
          <w:szCs w:val="20"/>
        </w:rPr>
        <w:t xml:space="preserve">que permitirá en el </w:t>
      </w:r>
      <w:r w:rsidRPr="00955A4C">
        <w:rPr>
          <w:sz w:val="20"/>
          <w:szCs w:val="20"/>
        </w:rPr>
        <w:lastRenderedPageBreak/>
        <w:t>corto y mediano plazo mejorar la ejecución de los programas y proyectos, a fin de mejorar los productos y servicios públicos en beneficio de la población.</w:t>
      </w:r>
    </w:p>
    <w:p w:rsidR="008E6390" w:rsidRPr="00955A4C" w:rsidRDefault="008E6390" w:rsidP="008E6390">
      <w:pPr>
        <w:spacing w:line="360" w:lineRule="auto"/>
        <w:ind w:left="-11"/>
        <w:jc w:val="both"/>
        <w:rPr>
          <w:sz w:val="20"/>
          <w:szCs w:val="20"/>
        </w:rPr>
      </w:pPr>
    </w:p>
    <w:p w:rsidR="008E6390" w:rsidRPr="00955A4C" w:rsidRDefault="008E6390" w:rsidP="008E6390">
      <w:pPr>
        <w:spacing w:line="360" w:lineRule="auto"/>
        <w:ind w:left="-11"/>
        <w:jc w:val="both"/>
        <w:rPr>
          <w:sz w:val="20"/>
          <w:szCs w:val="20"/>
        </w:rPr>
      </w:pPr>
      <w:r w:rsidRPr="00955A4C">
        <w:rPr>
          <w:sz w:val="20"/>
          <w:szCs w:val="20"/>
        </w:rPr>
        <w:t xml:space="preserve">El Proyecto </w:t>
      </w:r>
      <w:r>
        <w:rPr>
          <w:sz w:val="20"/>
          <w:szCs w:val="20"/>
        </w:rPr>
        <w:t xml:space="preserve">de Decreto </w:t>
      </w:r>
      <w:r w:rsidRPr="00955A4C">
        <w:rPr>
          <w:sz w:val="20"/>
          <w:szCs w:val="20"/>
        </w:rPr>
        <w:t>de Presupuesto de Egresos</w:t>
      </w:r>
      <w:r>
        <w:rPr>
          <w:sz w:val="20"/>
          <w:szCs w:val="20"/>
        </w:rPr>
        <w:t xml:space="preserve"> de Estado de Tlaxcala</w:t>
      </w:r>
      <w:r w:rsidRPr="00955A4C">
        <w:rPr>
          <w:sz w:val="20"/>
          <w:szCs w:val="20"/>
        </w:rPr>
        <w:t xml:space="preserve"> 2</w:t>
      </w:r>
      <w:r>
        <w:rPr>
          <w:sz w:val="20"/>
          <w:szCs w:val="20"/>
        </w:rPr>
        <w:t xml:space="preserve">020 </w:t>
      </w:r>
      <w:r w:rsidRPr="00955A4C">
        <w:rPr>
          <w:sz w:val="20"/>
          <w:szCs w:val="20"/>
        </w:rPr>
        <w:t>que se somete a la consideración de esta Legislatu</w:t>
      </w:r>
      <w:r>
        <w:rPr>
          <w:sz w:val="20"/>
          <w:szCs w:val="20"/>
        </w:rPr>
        <w:t xml:space="preserve">ra, se estructura de acuerdo a la Clasificación Administrativa, Clasificación Funcional del Gasto, Clasificación Programática, Clasificador por Tipo de Gasto, </w:t>
      </w:r>
      <w:r w:rsidRPr="00955A4C">
        <w:rPr>
          <w:sz w:val="20"/>
          <w:szCs w:val="20"/>
        </w:rPr>
        <w:t>Clasificador por Objeto del Gasto</w:t>
      </w:r>
      <w:r>
        <w:rPr>
          <w:sz w:val="20"/>
          <w:szCs w:val="20"/>
        </w:rPr>
        <w:t xml:space="preserve"> y Clasificador por Fuentes de Financiamiento, </w:t>
      </w:r>
      <w:r w:rsidRPr="00955A4C">
        <w:rPr>
          <w:sz w:val="20"/>
          <w:szCs w:val="20"/>
        </w:rPr>
        <w:t xml:space="preserve"> y en la norma para armonizar la presentación de la información adicional del Proyecto del Presupuesto de Egresos, aprobados por el Consejo Nacional de Armonización Contable (CONAC); por otra parte, y a efecto de dar cumplimiento a lo preceptuado en la Ley de Disciplina Financiera de las Entidades Federativas y los Municipios, se incluyen como anexos los formatos de información presupuestal, pensiones y de personal establecidos en el artículo 5 de esa Ley.</w:t>
      </w:r>
    </w:p>
    <w:p w:rsidR="008E6390" w:rsidRPr="00955A4C" w:rsidRDefault="008E6390" w:rsidP="008E6390">
      <w:pPr>
        <w:spacing w:line="360" w:lineRule="auto"/>
        <w:ind w:left="-11"/>
        <w:jc w:val="both"/>
        <w:rPr>
          <w:sz w:val="20"/>
          <w:szCs w:val="20"/>
        </w:rPr>
      </w:pPr>
    </w:p>
    <w:p w:rsidR="008E6390" w:rsidRPr="00955A4C" w:rsidRDefault="008E6390" w:rsidP="008E6390">
      <w:pPr>
        <w:spacing w:line="360" w:lineRule="auto"/>
        <w:ind w:left="-11"/>
        <w:jc w:val="both"/>
        <w:rPr>
          <w:sz w:val="20"/>
          <w:szCs w:val="20"/>
        </w:rPr>
      </w:pPr>
      <w:r w:rsidRPr="00955A4C">
        <w:rPr>
          <w:sz w:val="20"/>
          <w:szCs w:val="20"/>
        </w:rPr>
        <w:t xml:space="preserve">Con ello, se seguirá una estrategia basada en un gasto racional y austero en las dependencias y entidades de la Administración Pública Estatal, que propicie en sus estructuras la eficiente y eficaz prestación de los servicios proporcionados a la sociedad. Estas acciones, se complementan con la eliminación de duplicidades y automatización de procesos que permitan hacer más ágil la operación, y con ello eficientar el uso del gasto corriente. </w:t>
      </w:r>
    </w:p>
    <w:p w:rsidR="008E6390" w:rsidRPr="00955A4C" w:rsidRDefault="008E6390" w:rsidP="008E6390">
      <w:pPr>
        <w:spacing w:line="360" w:lineRule="auto"/>
        <w:ind w:left="-11"/>
        <w:jc w:val="both"/>
        <w:rPr>
          <w:sz w:val="20"/>
          <w:szCs w:val="20"/>
        </w:rPr>
      </w:pPr>
    </w:p>
    <w:p w:rsidR="008E6390" w:rsidRPr="00267C93" w:rsidRDefault="00267C93" w:rsidP="008E6390">
      <w:pPr>
        <w:spacing w:line="360" w:lineRule="auto"/>
        <w:ind w:left="-11"/>
        <w:jc w:val="both"/>
        <w:rPr>
          <w:sz w:val="20"/>
          <w:szCs w:val="20"/>
        </w:rPr>
      </w:pPr>
      <w:r w:rsidRPr="00267C93">
        <w:rPr>
          <w:sz w:val="20"/>
          <w:szCs w:val="20"/>
        </w:rPr>
        <w:t>E</w:t>
      </w:r>
      <w:r w:rsidR="008E6390" w:rsidRPr="00267C93">
        <w:rPr>
          <w:sz w:val="20"/>
          <w:szCs w:val="20"/>
        </w:rPr>
        <w:t xml:space="preserve">sta iniciativa considera los </w:t>
      </w:r>
      <w:r>
        <w:rPr>
          <w:sz w:val="20"/>
          <w:szCs w:val="20"/>
        </w:rPr>
        <w:t xml:space="preserve">siguientes </w:t>
      </w:r>
      <w:r w:rsidR="008E6390" w:rsidRPr="00267C93">
        <w:rPr>
          <w:sz w:val="20"/>
          <w:szCs w:val="20"/>
        </w:rPr>
        <w:t>riesgos:</w:t>
      </w:r>
    </w:p>
    <w:p w:rsidR="008E6390" w:rsidRPr="002E798F" w:rsidRDefault="008E6390" w:rsidP="008E6390">
      <w:pPr>
        <w:pStyle w:val="Prrafodelista"/>
        <w:numPr>
          <w:ilvl w:val="1"/>
          <w:numId w:val="16"/>
        </w:numPr>
        <w:spacing w:line="360" w:lineRule="auto"/>
        <w:jc w:val="both"/>
        <w:rPr>
          <w:sz w:val="20"/>
          <w:szCs w:val="20"/>
        </w:rPr>
      </w:pPr>
      <w:r w:rsidRPr="002E798F">
        <w:rPr>
          <w:sz w:val="20"/>
          <w:szCs w:val="20"/>
        </w:rPr>
        <w:t>Un cambio en los programas y políticas de gasto del Gobierno Federal.</w:t>
      </w:r>
    </w:p>
    <w:p w:rsidR="008E6390" w:rsidRPr="002E798F" w:rsidRDefault="008E6390" w:rsidP="008E6390">
      <w:pPr>
        <w:pStyle w:val="Prrafodelista"/>
        <w:numPr>
          <w:ilvl w:val="1"/>
          <w:numId w:val="16"/>
        </w:numPr>
        <w:spacing w:line="360" w:lineRule="auto"/>
        <w:jc w:val="both"/>
        <w:rPr>
          <w:sz w:val="20"/>
          <w:szCs w:val="20"/>
        </w:rPr>
      </w:pPr>
      <w:r w:rsidRPr="002E798F">
        <w:rPr>
          <w:sz w:val="20"/>
          <w:szCs w:val="20"/>
        </w:rPr>
        <w:t>Una disminución en el ritmo de crecimiento económico.</w:t>
      </w:r>
    </w:p>
    <w:p w:rsidR="008E6390" w:rsidRPr="00955A4C" w:rsidRDefault="008E6390" w:rsidP="008E6390">
      <w:pPr>
        <w:pStyle w:val="Prrafodelista"/>
        <w:numPr>
          <w:ilvl w:val="1"/>
          <w:numId w:val="16"/>
        </w:numPr>
        <w:spacing w:line="360" w:lineRule="auto"/>
        <w:jc w:val="both"/>
        <w:rPr>
          <w:sz w:val="20"/>
          <w:szCs w:val="20"/>
        </w:rPr>
      </w:pPr>
      <w:r w:rsidRPr="00955A4C">
        <w:rPr>
          <w:sz w:val="20"/>
          <w:szCs w:val="20"/>
        </w:rPr>
        <w:t xml:space="preserve">Cambios en el Sistema Financiero Nacional y la Tasa de Interés Interbancaria de Equilibrio. </w:t>
      </w:r>
    </w:p>
    <w:p w:rsidR="008E6390" w:rsidRPr="00955A4C" w:rsidRDefault="008E6390" w:rsidP="008E6390">
      <w:pPr>
        <w:rPr>
          <w:sz w:val="20"/>
          <w:szCs w:val="20"/>
        </w:rPr>
      </w:pPr>
    </w:p>
    <w:p w:rsidR="008E6390" w:rsidRPr="00955A4C" w:rsidRDefault="008E6390" w:rsidP="008E6390">
      <w:pPr>
        <w:spacing w:line="360" w:lineRule="auto"/>
        <w:jc w:val="both"/>
        <w:rPr>
          <w:sz w:val="20"/>
          <w:szCs w:val="20"/>
        </w:rPr>
      </w:pPr>
      <w:r w:rsidRPr="00955A4C">
        <w:rPr>
          <w:sz w:val="20"/>
          <w:szCs w:val="20"/>
        </w:rPr>
        <w:t>Es por ello, que se prevén medidas de reducción en los capítulos relacionados con el gasto de operación; asimismo, se están asigna</w:t>
      </w:r>
      <w:r>
        <w:rPr>
          <w:sz w:val="20"/>
          <w:szCs w:val="20"/>
        </w:rPr>
        <w:t>n</w:t>
      </w:r>
      <w:r w:rsidRPr="00955A4C">
        <w:rPr>
          <w:sz w:val="20"/>
          <w:szCs w:val="20"/>
        </w:rPr>
        <w:t>do mayores recursos a la promoción económica del Estado que conlleven más inversiones productivas en la Entidad.</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t xml:space="preserve">El presente </w:t>
      </w:r>
      <w:r w:rsidRPr="00096094">
        <w:rPr>
          <w:rFonts w:eastAsia="Calibri"/>
          <w:sz w:val="20"/>
          <w:szCs w:val="20"/>
        </w:rPr>
        <w:t>Proyecto de Decreto de Presupuesto de Egresos del Estado de Tlaxcala para el Ejercicio Fiscal 2020</w:t>
      </w:r>
      <w:r>
        <w:rPr>
          <w:sz w:val="20"/>
          <w:szCs w:val="20"/>
        </w:rPr>
        <w:t xml:space="preserve">, </w:t>
      </w:r>
      <w:r w:rsidRPr="00955A4C">
        <w:rPr>
          <w:sz w:val="20"/>
          <w:szCs w:val="20"/>
        </w:rPr>
        <w:t xml:space="preserve">busca con acciones concretas multiplicar y sumar esfuerzos para </w:t>
      </w:r>
      <w:r>
        <w:rPr>
          <w:sz w:val="20"/>
          <w:szCs w:val="20"/>
        </w:rPr>
        <w:t>disminuir</w:t>
      </w:r>
      <w:r w:rsidRPr="00955A4C">
        <w:rPr>
          <w:sz w:val="20"/>
          <w:szCs w:val="20"/>
        </w:rPr>
        <w:t xml:space="preserve"> la pobreza y desigualdad, al proporcionar mejores productos y servicios públicos de salud, educación y vivienda, seguridad social, alimentación y seguridad pública, para elevar la calidad de vida de la población.</w:t>
      </w:r>
    </w:p>
    <w:p w:rsidR="008E6390" w:rsidRPr="00955A4C" w:rsidRDefault="008E6390" w:rsidP="008E6390">
      <w:pPr>
        <w:spacing w:line="360" w:lineRule="auto"/>
        <w:jc w:val="both"/>
        <w:rPr>
          <w:rFonts w:eastAsia="Calibri"/>
          <w:color w:val="000000" w:themeColor="text1"/>
          <w:sz w:val="20"/>
          <w:szCs w:val="20"/>
        </w:rPr>
      </w:pPr>
    </w:p>
    <w:p w:rsidR="008E6390" w:rsidRPr="00955A4C" w:rsidRDefault="008E6390" w:rsidP="008E6390">
      <w:pPr>
        <w:spacing w:line="360" w:lineRule="auto"/>
        <w:jc w:val="both"/>
        <w:rPr>
          <w:rFonts w:eastAsia="Calibri"/>
          <w:b/>
          <w:color w:val="000000" w:themeColor="text1"/>
          <w:sz w:val="20"/>
          <w:szCs w:val="20"/>
        </w:rPr>
      </w:pPr>
      <w:r w:rsidRPr="00955A4C">
        <w:rPr>
          <w:rFonts w:eastAsia="Calibri"/>
          <w:b/>
          <w:color w:val="000000" w:themeColor="text1"/>
          <w:sz w:val="20"/>
          <w:szCs w:val="20"/>
        </w:rPr>
        <w:t>ENTORNO INTERNACIONAL</w:t>
      </w:r>
    </w:p>
    <w:p w:rsidR="008E6390" w:rsidRPr="00955A4C" w:rsidRDefault="008E6390" w:rsidP="008E6390">
      <w:pPr>
        <w:spacing w:line="360" w:lineRule="auto"/>
        <w:jc w:val="both"/>
        <w:rPr>
          <w:iCs/>
          <w:color w:val="000000" w:themeColor="text1"/>
          <w:sz w:val="20"/>
          <w:szCs w:val="20"/>
        </w:rPr>
      </w:pPr>
    </w:p>
    <w:p w:rsidR="008E6390" w:rsidRPr="00955A4C" w:rsidRDefault="008E6390" w:rsidP="008E6390">
      <w:pPr>
        <w:spacing w:line="360" w:lineRule="auto"/>
        <w:jc w:val="both"/>
        <w:rPr>
          <w:iCs/>
          <w:color w:val="000000" w:themeColor="text1"/>
          <w:sz w:val="20"/>
          <w:szCs w:val="20"/>
        </w:rPr>
      </w:pPr>
      <w:r w:rsidRPr="00955A4C">
        <w:rPr>
          <w:iCs/>
          <w:color w:val="000000" w:themeColor="text1"/>
          <w:sz w:val="20"/>
          <w:szCs w:val="20"/>
        </w:rPr>
        <w:t>De acuerdo con el Fondo Monetario Internacional (FMI), el crecimiento mundial sigue siendo moderado. En particular, se anticipa que la economía global tenga un repunte de crecimiento del 3.5</w:t>
      </w:r>
      <w:r>
        <w:rPr>
          <w:iCs/>
          <w:color w:val="000000" w:themeColor="text1"/>
          <w:sz w:val="20"/>
          <w:szCs w:val="20"/>
        </w:rPr>
        <w:t>%</w:t>
      </w:r>
      <w:r w:rsidRPr="00955A4C">
        <w:rPr>
          <w:iCs/>
          <w:color w:val="000000" w:themeColor="text1"/>
          <w:sz w:val="20"/>
          <w:szCs w:val="20"/>
        </w:rPr>
        <w:t xml:space="preserve">. En su actualización de julio a los pronósticos de crecimiento de la economía mundial, el FMI  en este contexto nos enuncia que los datos sobre el PIB en lo que va del año, sumados a una moderación general de la inflación, apuntan a una actividad mundial más débil de lo previsto. La inversión y la demanda de bienes de consumo duraderos han sido moderadas en las economías avanzadas y de mercados emergentes, dado que las empresas y los hogares continúan postergando el gasto a largo plazo. Por consiguiente, el comercio mundial, que es intensivo en cuanto a maquinaria y bienes de consumo duraderos, sigue siendo flojo. El repunte del crecimiento proyectado para 2020 es precario, y supone la estabilización de las economías de mercados emergentes y en desarrollo que están atravesando tensiones y avances hacia la resolución de las diferencias en torno a políticas comerciales. </w:t>
      </w:r>
    </w:p>
    <w:p w:rsidR="008E6390" w:rsidRPr="00955A4C" w:rsidRDefault="008E6390" w:rsidP="008E6390">
      <w:pPr>
        <w:spacing w:line="360" w:lineRule="auto"/>
        <w:jc w:val="both"/>
        <w:rPr>
          <w:iCs/>
          <w:color w:val="000000" w:themeColor="text1"/>
          <w:sz w:val="20"/>
          <w:szCs w:val="20"/>
        </w:rPr>
      </w:pPr>
    </w:p>
    <w:p w:rsidR="008E6390" w:rsidRPr="00955A4C" w:rsidRDefault="008E6390" w:rsidP="008E6390">
      <w:pPr>
        <w:spacing w:line="360" w:lineRule="auto"/>
        <w:jc w:val="both"/>
        <w:rPr>
          <w:iCs/>
          <w:color w:val="000000" w:themeColor="text1"/>
          <w:sz w:val="20"/>
          <w:szCs w:val="20"/>
        </w:rPr>
      </w:pPr>
      <w:r w:rsidRPr="00955A4C">
        <w:rPr>
          <w:iCs/>
          <w:color w:val="000000" w:themeColor="text1"/>
          <w:sz w:val="20"/>
          <w:szCs w:val="20"/>
        </w:rPr>
        <w:t>Para 2020 se espera que las economías avanzadas bajen su ritmo de crecimiento respecto a 2019. La expectativa de crecimiento en 2019 y 2020 para Estados Unidos se prevé q</w:t>
      </w:r>
      <w:r>
        <w:rPr>
          <w:iCs/>
          <w:color w:val="000000" w:themeColor="text1"/>
          <w:sz w:val="20"/>
          <w:szCs w:val="20"/>
        </w:rPr>
        <w:t>ue</w:t>
      </w:r>
      <w:r w:rsidRPr="00955A4C">
        <w:rPr>
          <w:iCs/>
          <w:color w:val="000000" w:themeColor="text1"/>
          <w:sz w:val="20"/>
          <w:szCs w:val="20"/>
        </w:rPr>
        <w:t xml:space="preserve"> se modere a 1.9% conforme se repliegue el estímulo fiscal. Por otro lado, la actividad de crecimiento de Reino Unido en el primer trimestre del 2018 creció 1.4 %, la revisión al alza refleja resultados más sólidos de lo previsto durante el primer trimestre, impulsados por la acumulación y el almacenam</w:t>
      </w:r>
      <w:r>
        <w:rPr>
          <w:iCs/>
          <w:color w:val="000000" w:themeColor="text1"/>
          <w:sz w:val="20"/>
          <w:szCs w:val="20"/>
        </w:rPr>
        <w:t xml:space="preserve">iento de existencias antes del </w:t>
      </w:r>
      <w:proofErr w:type="spellStart"/>
      <w:r>
        <w:rPr>
          <w:iCs/>
          <w:color w:val="000000" w:themeColor="text1"/>
          <w:sz w:val="20"/>
          <w:szCs w:val="20"/>
        </w:rPr>
        <w:t>B</w:t>
      </w:r>
      <w:r w:rsidRPr="00955A4C">
        <w:rPr>
          <w:iCs/>
          <w:color w:val="000000" w:themeColor="text1"/>
          <w:sz w:val="20"/>
          <w:szCs w:val="20"/>
        </w:rPr>
        <w:t>rexit</w:t>
      </w:r>
      <w:proofErr w:type="spellEnd"/>
      <w:r w:rsidRPr="00955A4C">
        <w:rPr>
          <w:iCs/>
          <w:color w:val="000000" w:themeColor="text1"/>
          <w:sz w:val="20"/>
          <w:szCs w:val="20"/>
        </w:rPr>
        <w:t xml:space="preserve">. </w:t>
      </w:r>
      <w:r>
        <w:rPr>
          <w:iCs/>
          <w:color w:val="000000" w:themeColor="text1"/>
          <w:sz w:val="20"/>
          <w:szCs w:val="20"/>
        </w:rPr>
        <w:t>Se</w:t>
      </w:r>
      <w:r w:rsidRPr="00955A4C">
        <w:rPr>
          <w:iCs/>
          <w:color w:val="000000" w:themeColor="text1"/>
          <w:sz w:val="20"/>
          <w:szCs w:val="20"/>
        </w:rPr>
        <w:t xml:space="preserve"> prevé un repunte del crecimiento en la zona del euro en lo que queda de este año y hasta 2020, ya que se proyecta que la demanda externa se recuperará y que seguirán </w:t>
      </w:r>
      <w:r w:rsidRPr="00955A4C">
        <w:rPr>
          <w:iCs/>
          <w:color w:val="000000" w:themeColor="text1"/>
          <w:sz w:val="20"/>
          <w:szCs w:val="20"/>
        </w:rPr>
        <w:lastRenderedPageBreak/>
        <w:t xml:space="preserve">disipándose los factores temporales (como la disminución del número de matriculaciones de vehículos en Alemania y las protestas callejeras en Francia). </w:t>
      </w:r>
    </w:p>
    <w:p w:rsidR="008E6390" w:rsidRPr="00955A4C" w:rsidRDefault="008E6390" w:rsidP="008E6390">
      <w:pPr>
        <w:spacing w:line="360" w:lineRule="auto"/>
        <w:jc w:val="both"/>
        <w:rPr>
          <w:iCs/>
          <w:color w:val="000000" w:themeColor="text1"/>
          <w:sz w:val="20"/>
          <w:szCs w:val="20"/>
        </w:rPr>
      </w:pPr>
    </w:p>
    <w:p w:rsidR="008E6390" w:rsidRPr="00955A4C" w:rsidRDefault="008E6390" w:rsidP="008E6390">
      <w:pPr>
        <w:spacing w:line="360" w:lineRule="auto"/>
        <w:jc w:val="both"/>
        <w:rPr>
          <w:iCs/>
          <w:color w:val="000000" w:themeColor="text1"/>
          <w:sz w:val="20"/>
          <w:szCs w:val="20"/>
        </w:rPr>
      </w:pPr>
      <w:r w:rsidRPr="00955A4C">
        <w:rPr>
          <w:iCs/>
          <w:color w:val="000000" w:themeColor="text1"/>
          <w:sz w:val="20"/>
          <w:szCs w:val="20"/>
        </w:rPr>
        <w:t>En este contexto, el pronóstico de crecimiento de las economías emergentes se mantiene en su crecimiento para ambos años. En China, los efectos negativos del aumento de los aranceles y el debilitamiento de la demanda externa han exacerbado la presión sobre una economía que ya está experimentando una desaceleración estructural y llevando a cabo un necesario fortalecimiento regulatorio para contener la fuerte dependencia de la deuda.</w:t>
      </w:r>
      <w:r>
        <w:rPr>
          <w:iCs/>
          <w:color w:val="000000" w:themeColor="text1"/>
          <w:sz w:val="20"/>
          <w:szCs w:val="20"/>
        </w:rPr>
        <w:t xml:space="preserve"> En su perspectiva del FMI,</w:t>
      </w:r>
      <w:r w:rsidRPr="00955A4C">
        <w:rPr>
          <w:iCs/>
          <w:color w:val="000000" w:themeColor="text1"/>
          <w:sz w:val="20"/>
          <w:szCs w:val="20"/>
        </w:rPr>
        <w:t xml:space="preserve"> </w:t>
      </w:r>
      <w:r>
        <w:rPr>
          <w:iCs/>
          <w:color w:val="000000" w:themeColor="text1"/>
          <w:sz w:val="20"/>
          <w:szCs w:val="20"/>
        </w:rPr>
        <w:t>e</w:t>
      </w:r>
      <w:r w:rsidRPr="0031580A">
        <w:rPr>
          <w:iCs/>
          <w:sz w:val="20"/>
          <w:szCs w:val="20"/>
        </w:rPr>
        <w:t xml:space="preserve">n Latinoamérica, </w:t>
      </w:r>
      <w:r w:rsidRPr="0031580A">
        <w:rPr>
          <w:sz w:val="20"/>
          <w:szCs w:val="20"/>
          <w:shd w:val="clear" w:color="auto" w:fill="FFFFFF"/>
        </w:rPr>
        <w:t>la actividad se desaceleró notablemente al comienzo del año en varias economías, debido princ</w:t>
      </w:r>
      <w:r>
        <w:rPr>
          <w:sz w:val="20"/>
          <w:szCs w:val="20"/>
          <w:shd w:val="clear" w:color="auto" w:fill="FFFFFF"/>
        </w:rPr>
        <w:t>ipalmente a factores idiosincráti</w:t>
      </w:r>
      <w:r w:rsidRPr="0031580A">
        <w:rPr>
          <w:sz w:val="20"/>
          <w:szCs w:val="20"/>
          <w:shd w:val="clear" w:color="auto" w:fill="FFFFFF"/>
        </w:rPr>
        <w:t>cos</w:t>
      </w:r>
      <w:r w:rsidRPr="0031580A">
        <w:rPr>
          <w:rFonts w:ascii="Helvetica" w:hAnsi="Helvetica"/>
          <w:shd w:val="clear" w:color="auto" w:fill="FFFFFF"/>
        </w:rPr>
        <w:t xml:space="preserve">. </w:t>
      </w:r>
      <w:r w:rsidRPr="0031580A">
        <w:rPr>
          <w:sz w:val="20"/>
          <w:szCs w:val="20"/>
          <w:shd w:val="clear" w:color="auto" w:fill="FFFFFF"/>
        </w:rPr>
        <w:t>Se prevé que la región crezca a un ritmo de 0,6% en 2019 (0,8 puntos porcentuales menos que en el informe WEO “</w:t>
      </w:r>
      <w:proofErr w:type="spellStart"/>
      <w:r w:rsidRPr="0031580A">
        <w:rPr>
          <w:bCs/>
          <w:sz w:val="20"/>
          <w:szCs w:val="20"/>
          <w:shd w:val="clear" w:color="auto" w:fill="FFFFFF"/>
        </w:rPr>
        <w:t>World</w:t>
      </w:r>
      <w:proofErr w:type="spellEnd"/>
      <w:r w:rsidRPr="0031580A">
        <w:rPr>
          <w:bCs/>
          <w:sz w:val="20"/>
          <w:szCs w:val="20"/>
          <w:shd w:val="clear" w:color="auto" w:fill="FFFFFF"/>
        </w:rPr>
        <w:t xml:space="preserve"> </w:t>
      </w:r>
      <w:proofErr w:type="spellStart"/>
      <w:r w:rsidRPr="0031580A">
        <w:rPr>
          <w:bCs/>
          <w:sz w:val="20"/>
          <w:szCs w:val="20"/>
          <w:shd w:val="clear" w:color="auto" w:fill="FFFFFF"/>
        </w:rPr>
        <w:t>Economic</w:t>
      </w:r>
      <w:proofErr w:type="spellEnd"/>
      <w:r w:rsidRPr="0031580A">
        <w:rPr>
          <w:bCs/>
          <w:sz w:val="20"/>
          <w:szCs w:val="20"/>
          <w:shd w:val="clear" w:color="auto" w:fill="FFFFFF"/>
        </w:rPr>
        <w:t xml:space="preserve"> Outlook”</w:t>
      </w:r>
      <w:r w:rsidRPr="0031580A">
        <w:rPr>
          <w:sz w:val="20"/>
          <w:szCs w:val="20"/>
          <w:shd w:val="clear" w:color="auto" w:fill="FFFFFF"/>
        </w:rPr>
        <w:t xml:space="preserve"> de abril), y que repunte a 2,3% en 2020.</w:t>
      </w:r>
      <w:r w:rsidRPr="0031580A">
        <w:rPr>
          <w:iCs/>
          <w:sz w:val="20"/>
          <w:szCs w:val="20"/>
        </w:rPr>
        <w:t xml:space="preserve"> L</w:t>
      </w:r>
      <w:r w:rsidRPr="0031580A">
        <w:rPr>
          <w:sz w:val="20"/>
          <w:szCs w:val="20"/>
          <w:shd w:val="clear" w:color="auto" w:fill="FFFFFF"/>
        </w:rPr>
        <w:t>a considerable revisión a la baja para 2019 refleja las rebajas de las calificaciones crediticias de </w:t>
      </w:r>
      <w:r w:rsidRPr="0031580A">
        <w:rPr>
          <w:rStyle w:val="nfasis"/>
          <w:sz w:val="20"/>
          <w:szCs w:val="20"/>
          <w:shd w:val="clear" w:color="auto" w:fill="FFFFFF"/>
        </w:rPr>
        <w:t>Brasil</w:t>
      </w:r>
      <w:r w:rsidRPr="0031580A">
        <w:rPr>
          <w:sz w:val="20"/>
          <w:szCs w:val="20"/>
          <w:shd w:val="clear" w:color="auto" w:fill="FFFFFF"/>
        </w:rPr>
        <w:t> (donde el ánimo se ha deteriorado notablemente dada la persistente incertidumbre acerca de la aprobación de la reforma de las pensiones y otras reformas estructurales) y </w:t>
      </w:r>
      <w:r w:rsidRPr="0031580A">
        <w:rPr>
          <w:rStyle w:val="nfasis"/>
          <w:sz w:val="20"/>
          <w:szCs w:val="20"/>
          <w:shd w:val="clear" w:color="auto" w:fill="FFFFFF"/>
        </w:rPr>
        <w:t>México</w:t>
      </w:r>
      <w:r w:rsidRPr="0031580A">
        <w:rPr>
          <w:sz w:val="20"/>
          <w:szCs w:val="20"/>
          <w:shd w:val="clear" w:color="auto" w:fill="FFFFFF"/>
        </w:rPr>
        <w:t> (donde la inversión sigue siendo débil y el consumo privado se ha desacelerado, como resultado de la incertidumbre en torno a las políticas, el deterioro de la confianza y el aumento de los costos de endeudamiento, que podrían seguir aumentando tras la reciente rebaja de la calificación soberana)</w:t>
      </w:r>
      <w:r>
        <w:rPr>
          <w:iCs/>
          <w:sz w:val="20"/>
          <w:szCs w:val="20"/>
        </w:rPr>
        <w:t>.</w:t>
      </w:r>
    </w:p>
    <w:p w:rsidR="008E6390" w:rsidRPr="00955A4C" w:rsidRDefault="008E6390" w:rsidP="008E6390">
      <w:pPr>
        <w:spacing w:line="360" w:lineRule="auto"/>
        <w:jc w:val="both"/>
        <w:rPr>
          <w:iCs/>
          <w:color w:val="000000" w:themeColor="text1"/>
          <w:sz w:val="20"/>
          <w:szCs w:val="20"/>
        </w:rPr>
      </w:pPr>
    </w:p>
    <w:p w:rsidR="008E6390" w:rsidRPr="00955A4C" w:rsidRDefault="008E6390" w:rsidP="008E6390">
      <w:pPr>
        <w:spacing w:line="360" w:lineRule="auto"/>
        <w:jc w:val="both"/>
        <w:rPr>
          <w:color w:val="000000" w:themeColor="text1"/>
          <w:sz w:val="20"/>
          <w:szCs w:val="20"/>
        </w:rPr>
      </w:pPr>
      <w:r w:rsidRPr="00955A4C">
        <w:rPr>
          <w:color w:val="000000" w:themeColor="text1"/>
          <w:sz w:val="20"/>
          <w:szCs w:val="20"/>
        </w:rPr>
        <w:t>El entorno macroeconómico previsto para 2020 se encuentra sujeto a diversos riesgos. Destacan como riesgos a la baja:</w:t>
      </w:r>
    </w:p>
    <w:p w:rsidR="008E6390" w:rsidRPr="00955A4C" w:rsidRDefault="008E6390" w:rsidP="008E6390">
      <w:pPr>
        <w:spacing w:line="360" w:lineRule="auto"/>
        <w:jc w:val="both"/>
        <w:rPr>
          <w:color w:val="000000" w:themeColor="text1"/>
          <w:sz w:val="20"/>
          <w:szCs w:val="20"/>
        </w:rPr>
      </w:pPr>
    </w:p>
    <w:p w:rsidR="008E6390" w:rsidRPr="00955A4C" w:rsidRDefault="008E6390" w:rsidP="008E6390">
      <w:pPr>
        <w:pStyle w:val="Prrafodelista"/>
        <w:numPr>
          <w:ilvl w:val="1"/>
          <w:numId w:val="7"/>
        </w:numPr>
        <w:spacing w:line="360" w:lineRule="auto"/>
        <w:jc w:val="both"/>
        <w:rPr>
          <w:color w:val="000000" w:themeColor="text1"/>
          <w:sz w:val="20"/>
          <w:szCs w:val="20"/>
        </w:rPr>
      </w:pPr>
      <w:r>
        <w:rPr>
          <w:color w:val="000000" w:themeColor="text1"/>
          <w:sz w:val="20"/>
          <w:szCs w:val="20"/>
        </w:rPr>
        <w:t>E</w:t>
      </w:r>
      <w:r w:rsidRPr="00955A4C">
        <w:rPr>
          <w:color w:val="000000" w:themeColor="text1"/>
          <w:sz w:val="20"/>
          <w:szCs w:val="20"/>
        </w:rPr>
        <w:t>l mayor retraso en la aprobación del T-MEC;</w:t>
      </w:r>
    </w:p>
    <w:p w:rsidR="008E6390" w:rsidRPr="00955A4C" w:rsidRDefault="008E6390" w:rsidP="008E6390">
      <w:pPr>
        <w:pStyle w:val="Prrafodelista"/>
        <w:numPr>
          <w:ilvl w:val="1"/>
          <w:numId w:val="7"/>
        </w:numPr>
        <w:spacing w:line="360" w:lineRule="auto"/>
        <w:jc w:val="both"/>
        <w:rPr>
          <w:color w:val="000000" w:themeColor="text1"/>
          <w:sz w:val="20"/>
          <w:szCs w:val="20"/>
        </w:rPr>
      </w:pPr>
      <w:r>
        <w:rPr>
          <w:color w:val="000000" w:themeColor="text1"/>
          <w:sz w:val="20"/>
          <w:szCs w:val="20"/>
        </w:rPr>
        <w:t>U</w:t>
      </w:r>
      <w:r w:rsidRPr="00955A4C">
        <w:rPr>
          <w:color w:val="000000" w:themeColor="text1"/>
          <w:sz w:val="20"/>
          <w:szCs w:val="20"/>
        </w:rPr>
        <w:t>n escalamiento de los conflictos geopolíticos y comerciales a nivel mundial, que a su vez podrían afectar el comercio, el flujo de capitales, la productividad y el crecimiento global;</w:t>
      </w:r>
    </w:p>
    <w:p w:rsidR="008E6390" w:rsidRDefault="008E6390" w:rsidP="008E6390">
      <w:pPr>
        <w:pStyle w:val="Prrafodelista"/>
        <w:numPr>
          <w:ilvl w:val="1"/>
          <w:numId w:val="7"/>
        </w:numPr>
        <w:spacing w:line="360" w:lineRule="auto"/>
        <w:jc w:val="both"/>
        <w:rPr>
          <w:color w:val="000000" w:themeColor="text1"/>
          <w:sz w:val="20"/>
          <w:szCs w:val="20"/>
        </w:rPr>
      </w:pPr>
      <w:r>
        <w:rPr>
          <w:color w:val="000000" w:themeColor="text1"/>
          <w:sz w:val="20"/>
          <w:szCs w:val="20"/>
        </w:rPr>
        <w:t>M</w:t>
      </w:r>
      <w:r w:rsidRPr="00955A4C">
        <w:rPr>
          <w:color w:val="000000" w:themeColor="text1"/>
          <w:sz w:val="20"/>
          <w:szCs w:val="20"/>
        </w:rPr>
        <w:t>ayor desaceleración de la economía mundial y, en particular, en la producción industrial de Estados Unidos;</w:t>
      </w:r>
    </w:p>
    <w:p w:rsidR="008E6390" w:rsidRPr="00AE2619" w:rsidRDefault="008E6390" w:rsidP="008E6390">
      <w:pPr>
        <w:spacing w:line="360" w:lineRule="auto"/>
        <w:jc w:val="both"/>
        <w:rPr>
          <w:color w:val="000000" w:themeColor="text1"/>
          <w:sz w:val="20"/>
          <w:szCs w:val="20"/>
        </w:rPr>
      </w:pPr>
      <w:r>
        <w:rPr>
          <w:color w:val="000000" w:themeColor="text1"/>
          <w:sz w:val="20"/>
          <w:szCs w:val="20"/>
        </w:rPr>
        <w:t>Y como riegos en la microeconomía:</w:t>
      </w:r>
    </w:p>
    <w:p w:rsidR="008E6390" w:rsidRPr="00955A4C" w:rsidRDefault="008E6390" w:rsidP="008E6390">
      <w:pPr>
        <w:pStyle w:val="Prrafodelista"/>
        <w:numPr>
          <w:ilvl w:val="1"/>
          <w:numId w:val="17"/>
        </w:numPr>
        <w:spacing w:line="360" w:lineRule="auto"/>
        <w:jc w:val="both"/>
        <w:rPr>
          <w:color w:val="000000" w:themeColor="text1"/>
          <w:sz w:val="20"/>
          <w:szCs w:val="20"/>
        </w:rPr>
      </w:pPr>
      <w:r w:rsidRPr="00955A4C">
        <w:rPr>
          <w:color w:val="000000" w:themeColor="text1"/>
          <w:sz w:val="20"/>
          <w:szCs w:val="20"/>
        </w:rPr>
        <w:lastRenderedPageBreak/>
        <w:t xml:space="preserve">un mayor deterioro en la calificación crediticia de </w:t>
      </w:r>
      <w:r>
        <w:rPr>
          <w:color w:val="000000" w:themeColor="text1"/>
          <w:sz w:val="20"/>
          <w:szCs w:val="20"/>
        </w:rPr>
        <w:t>Petróleos Mexicanos (PEMEX)</w:t>
      </w:r>
      <w:r w:rsidRPr="00955A4C">
        <w:rPr>
          <w:color w:val="000000" w:themeColor="text1"/>
          <w:sz w:val="20"/>
          <w:szCs w:val="20"/>
        </w:rPr>
        <w:t xml:space="preserve"> con su posible contagio a la deuda soberana; y </w:t>
      </w:r>
    </w:p>
    <w:p w:rsidR="008E6390" w:rsidRPr="00955A4C" w:rsidRDefault="008E6390" w:rsidP="008E6390">
      <w:pPr>
        <w:pStyle w:val="Prrafodelista"/>
        <w:numPr>
          <w:ilvl w:val="1"/>
          <w:numId w:val="17"/>
        </w:numPr>
        <w:spacing w:line="360" w:lineRule="auto"/>
        <w:jc w:val="both"/>
        <w:rPr>
          <w:color w:val="000000" w:themeColor="text1"/>
          <w:sz w:val="20"/>
          <w:szCs w:val="20"/>
        </w:rPr>
      </w:pPr>
      <w:r w:rsidRPr="00955A4C">
        <w:rPr>
          <w:color w:val="000000" w:themeColor="text1"/>
          <w:sz w:val="20"/>
          <w:szCs w:val="20"/>
        </w:rPr>
        <w:t>una mayor debilidad de la inversión privada.</w:t>
      </w:r>
    </w:p>
    <w:p w:rsidR="008E6390" w:rsidRPr="00955A4C" w:rsidRDefault="008E6390" w:rsidP="008E6390">
      <w:pPr>
        <w:spacing w:line="360" w:lineRule="auto"/>
        <w:jc w:val="both"/>
        <w:rPr>
          <w:color w:val="000000" w:themeColor="text1"/>
          <w:sz w:val="20"/>
          <w:szCs w:val="20"/>
        </w:rPr>
      </w:pPr>
    </w:p>
    <w:p w:rsidR="008E6390" w:rsidRPr="00955A4C" w:rsidRDefault="008E6390" w:rsidP="008E6390">
      <w:pPr>
        <w:spacing w:line="360" w:lineRule="auto"/>
        <w:jc w:val="both"/>
        <w:rPr>
          <w:rFonts w:eastAsia="Calibri"/>
          <w:b/>
          <w:color w:val="000000" w:themeColor="text1"/>
          <w:sz w:val="20"/>
          <w:szCs w:val="20"/>
        </w:rPr>
      </w:pPr>
      <w:r w:rsidRPr="00955A4C">
        <w:rPr>
          <w:rFonts w:eastAsia="Calibri"/>
          <w:b/>
          <w:color w:val="000000" w:themeColor="text1"/>
          <w:sz w:val="20"/>
          <w:szCs w:val="20"/>
        </w:rPr>
        <w:t>PANORAMA NACIONAL</w:t>
      </w:r>
    </w:p>
    <w:p w:rsidR="008E6390" w:rsidRPr="00955A4C" w:rsidRDefault="008E6390" w:rsidP="008E6390">
      <w:pPr>
        <w:spacing w:line="360" w:lineRule="auto"/>
        <w:jc w:val="both"/>
        <w:rPr>
          <w:color w:val="000000" w:themeColor="text1"/>
          <w:sz w:val="20"/>
          <w:szCs w:val="20"/>
        </w:rPr>
      </w:pPr>
    </w:p>
    <w:p w:rsidR="008E6390" w:rsidRDefault="008E6390" w:rsidP="008E6390">
      <w:pPr>
        <w:spacing w:line="360" w:lineRule="auto"/>
        <w:jc w:val="both"/>
        <w:rPr>
          <w:color w:val="000000" w:themeColor="text1"/>
          <w:sz w:val="20"/>
          <w:szCs w:val="20"/>
        </w:rPr>
      </w:pPr>
      <w:r>
        <w:rPr>
          <w:color w:val="000000" w:themeColor="text1"/>
          <w:sz w:val="20"/>
          <w:szCs w:val="20"/>
        </w:rPr>
        <w:t xml:space="preserve">Al mes de </w:t>
      </w:r>
      <w:r w:rsidRPr="00955A4C">
        <w:rPr>
          <w:color w:val="000000" w:themeColor="text1"/>
          <w:sz w:val="20"/>
          <w:szCs w:val="20"/>
        </w:rPr>
        <w:t>agosto de</w:t>
      </w:r>
      <w:r>
        <w:rPr>
          <w:color w:val="000000" w:themeColor="text1"/>
          <w:sz w:val="20"/>
          <w:szCs w:val="20"/>
        </w:rPr>
        <w:t>l presente año</w:t>
      </w:r>
      <w:r w:rsidRPr="00955A4C">
        <w:rPr>
          <w:color w:val="000000" w:themeColor="text1"/>
          <w:sz w:val="20"/>
          <w:szCs w:val="20"/>
        </w:rPr>
        <w:t>, el gasto neto pagado se ubicó en 3 billones 648.6 mil millones de pesos, monto menor al previsto en el programa en 232.1 mil millones de pesos. A su interior, el gasto programable fue menor al programa en 164.6 mil millones de pesos, lo que obedece principalmente a un menor gasto en 106.5 mil millones de pesos de la Administración Pública Centralizada y en 88.7 mil millones de pesos en el</w:t>
      </w:r>
      <w:r>
        <w:rPr>
          <w:color w:val="000000" w:themeColor="text1"/>
          <w:sz w:val="20"/>
          <w:szCs w:val="20"/>
        </w:rPr>
        <w:t xml:space="preserve"> Instituto Mexicano del Seguro Social (</w:t>
      </w:r>
      <w:r w:rsidRPr="00955A4C">
        <w:rPr>
          <w:color w:val="000000" w:themeColor="text1"/>
          <w:sz w:val="20"/>
          <w:szCs w:val="20"/>
        </w:rPr>
        <w:t>IMSS</w:t>
      </w:r>
      <w:r>
        <w:rPr>
          <w:color w:val="000000" w:themeColor="text1"/>
          <w:sz w:val="20"/>
          <w:szCs w:val="20"/>
        </w:rPr>
        <w:t>)</w:t>
      </w:r>
      <w:r w:rsidRPr="00955A4C">
        <w:rPr>
          <w:color w:val="000000" w:themeColor="text1"/>
          <w:sz w:val="20"/>
          <w:szCs w:val="20"/>
        </w:rPr>
        <w:t xml:space="preserve">, el </w:t>
      </w:r>
      <w:r>
        <w:rPr>
          <w:color w:val="000000" w:themeColor="text1"/>
          <w:sz w:val="20"/>
          <w:szCs w:val="20"/>
        </w:rPr>
        <w:t>Instituto de Seguridad y Servicios Sociales de los Trabajadores del Estado (</w:t>
      </w:r>
      <w:r w:rsidRPr="00955A4C">
        <w:rPr>
          <w:color w:val="000000" w:themeColor="text1"/>
          <w:sz w:val="20"/>
          <w:szCs w:val="20"/>
        </w:rPr>
        <w:t>ISSSTE</w:t>
      </w:r>
      <w:r>
        <w:rPr>
          <w:color w:val="000000" w:themeColor="text1"/>
          <w:sz w:val="20"/>
          <w:szCs w:val="20"/>
        </w:rPr>
        <w:t>)</w:t>
      </w:r>
      <w:r w:rsidRPr="00955A4C">
        <w:rPr>
          <w:color w:val="000000" w:themeColor="text1"/>
          <w:sz w:val="20"/>
          <w:szCs w:val="20"/>
        </w:rPr>
        <w:t xml:space="preserve"> y </w:t>
      </w:r>
      <w:r>
        <w:rPr>
          <w:color w:val="000000" w:themeColor="text1"/>
          <w:sz w:val="20"/>
          <w:szCs w:val="20"/>
        </w:rPr>
        <w:t>Petróleos Mexicanos (</w:t>
      </w:r>
      <w:r w:rsidRPr="00955A4C">
        <w:rPr>
          <w:color w:val="000000" w:themeColor="text1"/>
          <w:sz w:val="20"/>
          <w:szCs w:val="20"/>
        </w:rPr>
        <w:t>P</w:t>
      </w:r>
      <w:r>
        <w:rPr>
          <w:color w:val="000000" w:themeColor="text1"/>
          <w:sz w:val="20"/>
          <w:szCs w:val="20"/>
        </w:rPr>
        <w:t>EMEX)</w:t>
      </w:r>
      <w:r w:rsidRPr="00955A4C">
        <w:rPr>
          <w:color w:val="000000" w:themeColor="text1"/>
          <w:sz w:val="20"/>
          <w:szCs w:val="20"/>
        </w:rPr>
        <w:t>, conjuntamente, que se compensan parcialmente por el mayor gasto de la</w:t>
      </w:r>
      <w:r>
        <w:rPr>
          <w:color w:val="000000" w:themeColor="text1"/>
          <w:sz w:val="20"/>
          <w:szCs w:val="20"/>
        </w:rPr>
        <w:t xml:space="preserve"> Comisión Federal de Electricidad</w:t>
      </w:r>
      <w:r w:rsidRPr="00955A4C">
        <w:rPr>
          <w:color w:val="000000" w:themeColor="text1"/>
          <w:sz w:val="20"/>
          <w:szCs w:val="20"/>
        </w:rPr>
        <w:t xml:space="preserve"> </w:t>
      </w:r>
      <w:r>
        <w:rPr>
          <w:color w:val="000000" w:themeColor="text1"/>
          <w:sz w:val="20"/>
          <w:szCs w:val="20"/>
        </w:rPr>
        <w:t>(</w:t>
      </w:r>
      <w:r w:rsidRPr="00955A4C">
        <w:rPr>
          <w:color w:val="000000" w:themeColor="text1"/>
          <w:sz w:val="20"/>
          <w:szCs w:val="20"/>
        </w:rPr>
        <w:t>CFE</w:t>
      </w:r>
      <w:r>
        <w:rPr>
          <w:color w:val="000000" w:themeColor="text1"/>
          <w:sz w:val="20"/>
          <w:szCs w:val="20"/>
        </w:rPr>
        <w:t>)</w:t>
      </w:r>
      <w:r w:rsidRPr="00955A4C">
        <w:rPr>
          <w:color w:val="000000" w:themeColor="text1"/>
          <w:sz w:val="20"/>
          <w:szCs w:val="20"/>
        </w:rPr>
        <w:t xml:space="preserve"> respecto a lo originalmente previsto por 30.7 mil millones de pesos.</w:t>
      </w:r>
    </w:p>
    <w:p w:rsidR="008E6390" w:rsidRPr="00955A4C" w:rsidRDefault="008E6390" w:rsidP="008E6390">
      <w:pPr>
        <w:spacing w:line="360" w:lineRule="auto"/>
        <w:jc w:val="both"/>
        <w:rPr>
          <w:color w:val="000000" w:themeColor="text1"/>
          <w:sz w:val="20"/>
          <w:szCs w:val="20"/>
        </w:rPr>
      </w:pPr>
    </w:p>
    <w:p w:rsidR="008E6390" w:rsidRPr="00955A4C" w:rsidRDefault="008E6390" w:rsidP="008E6390">
      <w:pPr>
        <w:spacing w:line="360" w:lineRule="auto"/>
        <w:jc w:val="both"/>
        <w:rPr>
          <w:color w:val="000000" w:themeColor="text1"/>
          <w:sz w:val="20"/>
          <w:szCs w:val="20"/>
        </w:rPr>
      </w:pPr>
      <w:r w:rsidRPr="00955A4C">
        <w:rPr>
          <w:color w:val="000000" w:themeColor="text1"/>
          <w:sz w:val="20"/>
          <w:szCs w:val="20"/>
        </w:rPr>
        <w:t xml:space="preserve">El gasto no programable fue inferior en 67.5 mil millones de pesos a lo previsto, debido al menor costo financiero por 37.5 mil millones de pesos; menores participaciones por 17.9 mil millones de pesos y menor pago de </w:t>
      </w:r>
      <w:r>
        <w:rPr>
          <w:color w:val="000000" w:themeColor="text1"/>
          <w:sz w:val="20"/>
          <w:szCs w:val="20"/>
        </w:rPr>
        <w:t>Adeudos de Ejercicios Fiscales Anteriores (</w:t>
      </w:r>
      <w:r w:rsidRPr="00955A4C">
        <w:rPr>
          <w:color w:val="000000" w:themeColor="text1"/>
          <w:sz w:val="20"/>
          <w:szCs w:val="20"/>
        </w:rPr>
        <w:t>A</w:t>
      </w:r>
      <w:r>
        <w:rPr>
          <w:color w:val="000000" w:themeColor="text1"/>
          <w:sz w:val="20"/>
          <w:szCs w:val="20"/>
        </w:rPr>
        <w:t>DEFAS)</w:t>
      </w:r>
      <w:r w:rsidRPr="00955A4C">
        <w:rPr>
          <w:color w:val="000000" w:themeColor="text1"/>
          <w:sz w:val="20"/>
          <w:szCs w:val="20"/>
        </w:rPr>
        <w:t xml:space="preserve"> y otros por 12.1 mil millones de pesos.</w:t>
      </w:r>
    </w:p>
    <w:p w:rsidR="008E6390" w:rsidRPr="00955A4C" w:rsidRDefault="008E6390" w:rsidP="008E6390">
      <w:pPr>
        <w:spacing w:line="360" w:lineRule="auto"/>
        <w:jc w:val="both"/>
        <w:rPr>
          <w:color w:val="000000" w:themeColor="text1"/>
          <w:sz w:val="20"/>
          <w:szCs w:val="20"/>
        </w:rPr>
      </w:pPr>
    </w:p>
    <w:p w:rsidR="008E6390" w:rsidRPr="00955A4C" w:rsidRDefault="008E6390" w:rsidP="008E6390">
      <w:pPr>
        <w:spacing w:line="360" w:lineRule="auto"/>
        <w:jc w:val="both"/>
        <w:rPr>
          <w:color w:val="000000" w:themeColor="text1"/>
          <w:sz w:val="20"/>
          <w:szCs w:val="20"/>
        </w:rPr>
      </w:pPr>
      <w:r w:rsidRPr="00955A4C">
        <w:rPr>
          <w:color w:val="000000" w:themeColor="text1"/>
          <w:sz w:val="20"/>
          <w:szCs w:val="20"/>
        </w:rPr>
        <w:t>Respecto a enero-agosto de 2018, el gasto neto pagado fue menor en 4.</w:t>
      </w:r>
      <w:r>
        <w:rPr>
          <w:color w:val="000000" w:themeColor="text1"/>
          <w:sz w:val="20"/>
          <w:szCs w:val="20"/>
        </w:rPr>
        <w:t>0%</w:t>
      </w:r>
      <w:r w:rsidRPr="00955A4C">
        <w:rPr>
          <w:color w:val="000000" w:themeColor="text1"/>
          <w:sz w:val="20"/>
          <w:szCs w:val="20"/>
        </w:rPr>
        <w:t xml:space="preserve"> en términos reales, el gasto no programable fue inferior en 2.7</w:t>
      </w:r>
      <w:r>
        <w:rPr>
          <w:color w:val="000000" w:themeColor="text1"/>
          <w:sz w:val="20"/>
          <w:szCs w:val="20"/>
        </w:rPr>
        <w:t>%</w:t>
      </w:r>
      <w:r w:rsidRPr="00955A4C">
        <w:rPr>
          <w:color w:val="000000" w:themeColor="text1"/>
          <w:sz w:val="20"/>
          <w:szCs w:val="20"/>
        </w:rPr>
        <w:t xml:space="preserve"> y el gasto programable en 4.6</w:t>
      </w:r>
      <w:r>
        <w:rPr>
          <w:color w:val="000000" w:themeColor="text1"/>
          <w:sz w:val="20"/>
          <w:szCs w:val="20"/>
        </w:rPr>
        <w:t>%</w:t>
      </w:r>
      <w:r w:rsidRPr="00955A4C">
        <w:rPr>
          <w:color w:val="000000" w:themeColor="text1"/>
          <w:sz w:val="20"/>
          <w:szCs w:val="20"/>
        </w:rPr>
        <w:t>. Respecto a la evolución por rubro de gasto destaca lo siguiente:</w:t>
      </w:r>
    </w:p>
    <w:p w:rsidR="008E6390" w:rsidRPr="00955A4C" w:rsidRDefault="008E6390" w:rsidP="008E6390">
      <w:pPr>
        <w:spacing w:line="360" w:lineRule="auto"/>
        <w:jc w:val="both"/>
        <w:rPr>
          <w:color w:val="000000" w:themeColor="text1"/>
          <w:sz w:val="20"/>
          <w:szCs w:val="20"/>
        </w:rPr>
      </w:pPr>
    </w:p>
    <w:p w:rsidR="008E6390" w:rsidRPr="00955A4C" w:rsidRDefault="008E6390" w:rsidP="008E6390">
      <w:pPr>
        <w:pStyle w:val="Prrafodelista"/>
        <w:numPr>
          <w:ilvl w:val="0"/>
          <w:numId w:val="8"/>
        </w:numPr>
        <w:spacing w:line="360" w:lineRule="auto"/>
        <w:jc w:val="both"/>
        <w:rPr>
          <w:color w:val="000000" w:themeColor="text1"/>
          <w:sz w:val="20"/>
          <w:szCs w:val="20"/>
        </w:rPr>
      </w:pPr>
      <w:r w:rsidRPr="00955A4C">
        <w:rPr>
          <w:color w:val="000000" w:themeColor="text1"/>
          <w:sz w:val="20"/>
          <w:szCs w:val="20"/>
        </w:rPr>
        <w:t xml:space="preserve">La </w:t>
      </w:r>
      <w:r>
        <w:rPr>
          <w:color w:val="000000" w:themeColor="text1"/>
          <w:sz w:val="20"/>
          <w:szCs w:val="20"/>
        </w:rPr>
        <w:t xml:space="preserve">inversión física fue menor 15.2% </w:t>
      </w:r>
      <w:r w:rsidRPr="00955A4C">
        <w:rPr>
          <w:color w:val="000000" w:themeColor="text1"/>
          <w:sz w:val="20"/>
          <w:szCs w:val="20"/>
        </w:rPr>
        <w:t>real.</w:t>
      </w:r>
    </w:p>
    <w:p w:rsidR="008E6390" w:rsidRPr="00955A4C" w:rsidRDefault="008E6390" w:rsidP="008E6390">
      <w:pPr>
        <w:pStyle w:val="Prrafodelista"/>
        <w:numPr>
          <w:ilvl w:val="0"/>
          <w:numId w:val="8"/>
        </w:numPr>
        <w:spacing w:line="360" w:lineRule="auto"/>
        <w:jc w:val="both"/>
        <w:rPr>
          <w:color w:val="000000" w:themeColor="text1"/>
          <w:sz w:val="20"/>
          <w:szCs w:val="20"/>
        </w:rPr>
      </w:pPr>
      <w:r w:rsidRPr="00955A4C">
        <w:rPr>
          <w:color w:val="000000" w:themeColor="text1"/>
          <w:sz w:val="20"/>
          <w:szCs w:val="20"/>
        </w:rPr>
        <w:t>Los subsidios, transferencias y aportaciones, distintas de servicios personales, fueron inferiores en 7.7</w:t>
      </w:r>
      <w:r>
        <w:rPr>
          <w:color w:val="000000" w:themeColor="text1"/>
          <w:sz w:val="20"/>
          <w:szCs w:val="20"/>
        </w:rPr>
        <w:t>%</w:t>
      </w:r>
      <w:r w:rsidRPr="00955A4C">
        <w:rPr>
          <w:color w:val="000000" w:themeColor="text1"/>
          <w:sz w:val="20"/>
          <w:szCs w:val="20"/>
        </w:rPr>
        <w:t xml:space="preserve"> real.</w:t>
      </w:r>
    </w:p>
    <w:p w:rsidR="008E6390" w:rsidRPr="00955A4C" w:rsidRDefault="008E6390" w:rsidP="008E6390">
      <w:pPr>
        <w:pStyle w:val="Prrafodelista"/>
        <w:numPr>
          <w:ilvl w:val="0"/>
          <w:numId w:val="8"/>
        </w:numPr>
        <w:spacing w:line="360" w:lineRule="auto"/>
        <w:jc w:val="both"/>
        <w:rPr>
          <w:color w:val="000000" w:themeColor="text1"/>
          <w:sz w:val="20"/>
          <w:szCs w:val="20"/>
        </w:rPr>
      </w:pPr>
      <w:r w:rsidRPr="00955A4C">
        <w:rPr>
          <w:color w:val="000000" w:themeColor="text1"/>
          <w:sz w:val="20"/>
          <w:szCs w:val="20"/>
        </w:rPr>
        <w:lastRenderedPageBreak/>
        <w:t>El gasto de operación disminuyó 5.6</w:t>
      </w:r>
      <w:r>
        <w:rPr>
          <w:color w:val="000000" w:themeColor="text1"/>
          <w:sz w:val="20"/>
          <w:szCs w:val="20"/>
        </w:rPr>
        <w:t>%</w:t>
      </w:r>
      <w:r w:rsidRPr="00955A4C">
        <w:rPr>
          <w:color w:val="000000" w:themeColor="text1"/>
          <w:sz w:val="20"/>
          <w:szCs w:val="20"/>
        </w:rPr>
        <w:t xml:space="preserve"> real, dentro de este rubro los servicios personales disminuyeron 4.6</w:t>
      </w:r>
      <w:r>
        <w:rPr>
          <w:color w:val="000000" w:themeColor="text1"/>
          <w:sz w:val="20"/>
          <w:szCs w:val="20"/>
        </w:rPr>
        <w:t>%</w:t>
      </w:r>
      <w:r w:rsidRPr="00955A4C">
        <w:rPr>
          <w:color w:val="000000" w:themeColor="text1"/>
          <w:sz w:val="20"/>
          <w:szCs w:val="20"/>
        </w:rPr>
        <w:t xml:space="preserve"> en términos reales.</w:t>
      </w:r>
    </w:p>
    <w:p w:rsidR="008E6390" w:rsidRPr="00955A4C" w:rsidRDefault="008E6390" w:rsidP="008E6390">
      <w:pPr>
        <w:pStyle w:val="Prrafodelista"/>
        <w:numPr>
          <w:ilvl w:val="0"/>
          <w:numId w:val="8"/>
        </w:numPr>
        <w:spacing w:line="360" w:lineRule="auto"/>
        <w:jc w:val="both"/>
        <w:rPr>
          <w:color w:val="000000" w:themeColor="text1"/>
          <w:sz w:val="20"/>
          <w:szCs w:val="20"/>
        </w:rPr>
      </w:pPr>
      <w:r w:rsidRPr="00955A4C">
        <w:rPr>
          <w:color w:val="000000" w:themeColor="text1"/>
          <w:sz w:val="20"/>
          <w:szCs w:val="20"/>
        </w:rPr>
        <w:t>Las participaciones a las entidades federativas aumentaron 2.5</w:t>
      </w:r>
      <w:r>
        <w:rPr>
          <w:color w:val="000000" w:themeColor="text1"/>
          <w:sz w:val="20"/>
          <w:szCs w:val="20"/>
        </w:rPr>
        <w:t>%</w:t>
      </w:r>
      <w:r w:rsidRPr="00955A4C">
        <w:rPr>
          <w:color w:val="000000" w:themeColor="text1"/>
          <w:sz w:val="20"/>
          <w:szCs w:val="20"/>
        </w:rPr>
        <w:t xml:space="preserve"> en términos reales.</w:t>
      </w:r>
    </w:p>
    <w:p w:rsidR="008E6390" w:rsidRPr="00955A4C" w:rsidRDefault="008E6390" w:rsidP="008E6390">
      <w:pPr>
        <w:pStyle w:val="Prrafodelista"/>
        <w:numPr>
          <w:ilvl w:val="0"/>
          <w:numId w:val="8"/>
        </w:numPr>
        <w:spacing w:line="360" w:lineRule="auto"/>
        <w:jc w:val="both"/>
        <w:rPr>
          <w:color w:val="000000" w:themeColor="text1"/>
          <w:sz w:val="20"/>
          <w:szCs w:val="20"/>
        </w:rPr>
      </w:pPr>
      <w:r w:rsidRPr="00955A4C">
        <w:rPr>
          <w:color w:val="000000" w:themeColor="text1"/>
          <w:sz w:val="20"/>
          <w:szCs w:val="20"/>
        </w:rPr>
        <w:t>Las pensiones y jubilaciones se incrementaron 4.4</w:t>
      </w:r>
      <w:r>
        <w:rPr>
          <w:color w:val="000000" w:themeColor="text1"/>
          <w:sz w:val="20"/>
          <w:szCs w:val="20"/>
        </w:rPr>
        <w:t>%</w:t>
      </w:r>
      <w:r w:rsidRPr="00955A4C">
        <w:rPr>
          <w:color w:val="000000" w:themeColor="text1"/>
          <w:sz w:val="20"/>
          <w:szCs w:val="20"/>
        </w:rPr>
        <w:t xml:space="preserve"> real. </w:t>
      </w:r>
    </w:p>
    <w:p w:rsidR="008E6390" w:rsidRPr="00955A4C" w:rsidRDefault="008E6390" w:rsidP="008E6390">
      <w:pPr>
        <w:pStyle w:val="Prrafodelista"/>
        <w:numPr>
          <w:ilvl w:val="0"/>
          <w:numId w:val="8"/>
        </w:numPr>
        <w:spacing w:line="360" w:lineRule="auto"/>
        <w:jc w:val="both"/>
        <w:rPr>
          <w:color w:val="000000" w:themeColor="text1"/>
          <w:sz w:val="20"/>
          <w:szCs w:val="20"/>
        </w:rPr>
      </w:pPr>
      <w:r w:rsidRPr="00955A4C">
        <w:rPr>
          <w:color w:val="000000" w:themeColor="text1"/>
          <w:sz w:val="20"/>
          <w:szCs w:val="20"/>
        </w:rPr>
        <w:t>El costo financiero de la deuda aumentó 4.9</w:t>
      </w:r>
      <w:r>
        <w:rPr>
          <w:color w:val="000000" w:themeColor="text1"/>
          <w:sz w:val="20"/>
          <w:szCs w:val="20"/>
        </w:rPr>
        <w:t>% r</w:t>
      </w:r>
      <w:r w:rsidRPr="00955A4C">
        <w:rPr>
          <w:color w:val="000000" w:themeColor="text1"/>
          <w:sz w:val="20"/>
          <w:szCs w:val="20"/>
        </w:rPr>
        <w:t>eal, por un mayor pago de intereses de la deuda y por mayores recursos para los programas de apoyo a ahorradores y deudores de la banca.</w:t>
      </w:r>
    </w:p>
    <w:p w:rsidR="008E6390" w:rsidRPr="00955A4C" w:rsidRDefault="008E6390" w:rsidP="008E6390">
      <w:pPr>
        <w:spacing w:line="360" w:lineRule="auto"/>
        <w:jc w:val="both"/>
        <w:rPr>
          <w:color w:val="000000" w:themeColor="text1"/>
          <w:sz w:val="20"/>
          <w:szCs w:val="20"/>
        </w:rPr>
      </w:pPr>
    </w:p>
    <w:p w:rsidR="008E6390" w:rsidRPr="00955A4C" w:rsidRDefault="008E6390" w:rsidP="008E6390">
      <w:pPr>
        <w:spacing w:line="360" w:lineRule="auto"/>
        <w:jc w:val="both"/>
        <w:rPr>
          <w:color w:val="000000" w:themeColor="text1"/>
          <w:sz w:val="20"/>
          <w:szCs w:val="20"/>
        </w:rPr>
      </w:pPr>
      <w:r w:rsidRPr="00955A4C">
        <w:rPr>
          <w:color w:val="000000" w:themeColor="text1"/>
          <w:sz w:val="20"/>
          <w:szCs w:val="20"/>
        </w:rPr>
        <w:t xml:space="preserve">Por otra parte, </w:t>
      </w:r>
      <w:r>
        <w:rPr>
          <w:color w:val="000000" w:themeColor="text1"/>
          <w:sz w:val="20"/>
          <w:szCs w:val="20"/>
        </w:rPr>
        <w:t>a</w:t>
      </w:r>
      <w:r w:rsidRPr="00955A4C">
        <w:rPr>
          <w:color w:val="000000" w:themeColor="text1"/>
          <w:sz w:val="20"/>
          <w:szCs w:val="20"/>
        </w:rPr>
        <w:t>l cierre de agosto de 2019, el Saldo Histórico de los Requerimientos Financieros del Sector Público (SHRFSP) ascendió a 10 billones 767.2 mil millones de pesos. El componente interno del SHRFSP se ubicó en 6 billones 797.6 mil millones de pesos, mientras que el externo fue de 198.2 mil millones de dólares (equivalente a 3 billones 969.6 mil millones de pesos). La deuda neta del sector público federal (Gobierno Federal, Empres</w:t>
      </w:r>
      <w:r>
        <w:rPr>
          <w:color w:val="000000" w:themeColor="text1"/>
          <w:sz w:val="20"/>
          <w:szCs w:val="20"/>
        </w:rPr>
        <w:t>as Productivas del Estado y la Banca de D</w:t>
      </w:r>
      <w:r w:rsidRPr="00955A4C">
        <w:rPr>
          <w:color w:val="000000" w:themeColor="text1"/>
          <w:sz w:val="20"/>
          <w:szCs w:val="20"/>
        </w:rPr>
        <w:t>esarrollo) al finalizar agosto de 2019 se ubicó en 11 billones 108.5 mil millones de pesos. La deuda interna neta del sector público federal fue de 7 billones 36.2 mil millones de pesos, mientras que la deuda externa neta del sector público federal se ubicó en 203.3 mil millones de dólares (equivalente a 4 billones 72.4 mil millones de pesos).</w:t>
      </w:r>
    </w:p>
    <w:p w:rsidR="008E6390" w:rsidRPr="00955A4C" w:rsidRDefault="008E6390" w:rsidP="008E6390">
      <w:pPr>
        <w:spacing w:line="360" w:lineRule="auto"/>
        <w:jc w:val="both"/>
        <w:rPr>
          <w:color w:val="000000" w:themeColor="text1"/>
          <w:sz w:val="20"/>
          <w:szCs w:val="20"/>
        </w:rPr>
      </w:pPr>
    </w:p>
    <w:p w:rsidR="008E6390" w:rsidRPr="00955A4C" w:rsidRDefault="008E6390" w:rsidP="008E6390">
      <w:pPr>
        <w:spacing w:line="360" w:lineRule="auto"/>
        <w:jc w:val="both"/>
        <w:rPr>
          <w:rFonts w:eastAsia="Calibri"/>
          <w:b/>
          <w:i/>
          <w:color w:val="000000" w:themeColor="text1"/>
          <w:sz w:val="20"/>
          <w:szCs w:val="20"/>
        </w:rPr>
      </w:pPr>
      <w:r w:rsidRPr="00955A4C">
        <w:rPr>
          <w:color w:val="000000" w:themeColor="text1"/>
          <w:sz w:val="20"/>
          <w:szCs w:val="20"/>
        </w:rPr>
        <w:t>Finalmente, el saldo de la deuda neta del Gobierno Federal se situó en 8 billones 310.2 mil millones de pesos en agosto de 2019. En cuanto a su composición, la deuda interna neta del Gobierno Federal fue de 6 billones 375.4 mil millones de pesos, mientras que la deuda externa neta del Gobierno Federal se ubicó en 96.6 mil millones de dólares (equivalente a 1 billón 934.7 mil millones de pesos).</w:t>
      </w:r>
    </w:p>
    <w:p w:rsidR="008E6390" w:rsidRPr="00955A4C" w:rsidRDefault="008E6390" w:rsidP="008E6390">
      <w:pPr>
        <w:spacing w:line="360" w:lineRule="auto"/>
        <w:jc w:val="both"/>
        <w:rPr>
          <w:rFonts w:eastAsia="Calibri"/>
          <w:b/>
          <w:color w:val="000000" w:themeColor="text1"/>
          <w:sz w:val="20"/>
          <w:szCs w:val="20"/>
        </w:rPr>
      </w:pPr>
    </w:p>
    <w:p w:rsidR="008E6390" w:rsidRPr="00955A4C" w:rsidRDefault="008E6390" w:rsidP="008E6390">
      <w:pPr>
        <w:spacing w:line="360" w:lineRule="auto"/>
        <w:jc w:val="both"/>
        <w:rPr>
          <w:rFonts w:eastAsia="Calibri"/>
          <w:b/>
          <w:color w:val="000000" w:themeColor="text1"/>
          <w:sz w:val="20"/>
          <w:szCs w:val="20"/>
        </w:rPr>
      </w:pPr>
      <w:r>
        <w:rPr>
          <w:rFonts w:eastAsia="Calibri"/>
          <w:b/>
          <w:color w:val="000000" w:themeColor="text1"/>
          <w:sz w:val="20"/>
          <w:szCs w:val="20"/>
        </w:rPr>
        <w:t>DISCIPLINA FINANCIERA</w:t>
      </w:r>
    </w:p>
    <w:p w:rsidR="008E6390" w:rsidRPr="00955A4C" w:rsidRDefault="008E6390" w:rsidP="008E6390">
      <w:pPr>
        <w:spacing w:line="360" w:lineRule="auto"/>
        <w:jc w:val="both"/>
        <w:rPr>
          <w:rFonts w:eastAsia="Calibri"/>
          <w:b/>
          <w:color w:val="000000" w:themeColor="text1"/>
          <w:sz w:val="20"/>
          <w:szCs w:val="20"/>
        </w:rPr>
      </w:pPr>
    </w:p>
    <w:p w:rsidR="008E6390" w:rsidRPr="00955A4C" w:rsidRDefault="008E6390" w:rsidP="008E6390">
      <w:pPr>
        <w:spacing w:line="360" w:lineRule="auto"/>
        <w:jc w:val="both"/>
        <w:rPr>
          <w:rFonts w:eastAsia="Calibri"/>
          <w:color w:val="000000" w:themeColor="text1"/>
          <w:sz w:val="20"/>
          <w:szCs w:val="20"/>
        </w:rPr>
      </w:pPr>
      <w:r w:rsidRPr="00955A4C">
        <w:rPr>
          <w:rFonts w:eastAsia="Calibri"/>
          <w:color w:val="000000" w:themeColor="text1"/>
          <w:sz w:val="20"/>
          <w:szCs w:val="20"/>
        </w:rPr>
        <w:t xml:space="preserve">El objetivo de la Ley de Disciplina Financiera de las Entidades Federativas y los Municipios, es promover finanzas públicas locales sostenibles, a través de reglas de disciplina financiera, el uso </w:t>
      </w:r>
      <w:r w:rsidRPr="00955A4C">
        <w:rPr>
          <w:rFonts w:eastAsia="Calibri"/>
          <w:color w:val="000000" w:themeColor="text1"/>
          <w:sz w:val="20"/>
          <w:szCs w:val="20"/>
        </w:rPr>
        <w:lastRenderedPageBreak/>
        <w:t>responsable de la deuda pública, así como el fortalecimiento de la transparencia y rendición de cuentas, entre otras medidas.</w:t>
      </w:r>
    </w:p>
    <w:p w:rsidR="008E6390" w:rsidRPr="00955A4C" w:rsidRDefault="008E6390" w:rsidP="008E6390">
      <w:pPr>
        <w:spacing w:line="360" w:lineRule="auto"/>
        <w:jc w:val="both"/>
        <w:rPr>
          <w:rFonts w:eastAsia="Calibri"/>
          <w:color w:val="000000" w:themeColor="text1"/>
          <w:sz w:val="20"/>
          <w:szCs w:val="20"/>
        </w:rPr>
      </w:pPr>
    </w:p>
    <w:p w:rsidR="008E6390" w:rsidRPr="00955A4C" w:rsidRDefault="008E6390" w:rsidP="008E6390">
      <w:pPr>
        <w:spacing w:line="360" w:lineRule="auto"/>
        <w:jc w:val="both"/>
        <w:rPr>
          <w:rFonts w:eastAsia="Calibri"/>
          <w:color w:val="000000" w:themeColor="text1"/>
          <w:sz w:val="20"/>
          <w:szCs w:val="20"/>
        </w:rPr>
      </w:pPr>
      <w:r w:rsidRPr="00955A4C">
        <w:rPr>
          <w:rFonts w:eastAsia="Calibri"/>
          <w:color w:val="000000" w:themeColor="text1"/>
          <w:sz w:val="20"/>
          <w:szCs w:val="20"/>
        </w:rPr>
        <w:t xml:space="preserve">El </w:t>
      </w:r>
      <w:r w:rsidRPr="00096094">
        <w:rPr>
          <w:rFonts w:eastAsia="Calibri"/>
          <w:sz w:val="20"/>
          <w:szCs w:val="20"/>
        </w:rPr>
        <w:t xml:space="preserve">Proyecto de Decreto de Presupuesto de Egresos del Estado de Tlaxcala para el Ejercicio Fiscal 2020 </w:t>
      </w:r>
      <w:r w:rsidRPr="00955A4C">
        <w:rPr>
          <w:rFonts w:eastAsia="Calibri"/>
          <w:color w:val="000000" w:themeColor="text1"/>
          <w:sz w:val="20"/>
          <w:szCs w:val="20"/>
        </w:rPr>
        <w:t>contiene en su estructura las diversas disposiciones establecidas en dicha Ley de Disciplina Financiera de las Entidades Federativas y los Municipios.</w:t>
      </w:r>
    </w:p>
    <w:p w:rsidR="008E6390" w:rsidRPr="00955A4C" w:rsidRDefault="008E6390" w:rsidP="008E6390">
      <w:pPr>
        <w:spacing w:line="360" w:lineRule="auto"/>
        <w:jc w:val="both"/>
        <w:rPr>
          <w:rFonts w:eastAsia="Calibri"/>
          <w:color w:val="000000" w:themeColor="text1"/>
          <w:sz w:val="20"/>
          <w:szCs w:val="20"/>
        </w:rPr>
      </w:pPr>
    </w:p>
    <w:p w:rsidR="008E6390" w:rsidRPr="00955A4C" w:rsidRDefault="008E6390" w:rsidP="008E6390">
      <w:pPr>
        <w:spacing w:line="360" w:lineRule="auto"/>
        <w:jc w:val="both"/>
        <w:rPr>
          <w:rFonts w:eastAsia="Calibri"/>
          <w:color w:val="000000" w:themeColor="text1"/>
          <w:sz w:val="20"/>
          <w:szCs w:val="20"/>
        </w:rPr>
      </w:pPr>
      <w:r w:rsidRPr="00955A4C">
        <w:rPr>
          <w:rFonts w:eastAsia="Calibri"/>
          <w:color w:val="000000" w:themeColor="text1"/>
          <w:sz w:val="20"/>
          <w:szCs w:val="20"/>
        </w:rPr>
        <w:t>En prim</w:t>
      </w:r>
      <w:r>
        <w:rPr>
          <w:rFonts w:eastAsia="Calibri"/>
          <w:color w:val="000000" w:themeColor="text1"/>
          <w:sz w:val="20"/>
          <w:szCs w:val="20"/>
        </w:rPr>
        <w:t>er lugar, tiene sustento en el P</w:t>
      </w:r>
      <w:r w:rsidRPr="00955A4C">
        <w:rPr>
          <w:rFonts w:eastAsia="Calibri"/>
          <w:color w:val="000000" w:themeColor="text1"/>
          <w:sz w:val="20"/>
          <w:szCs w:val="20"/>
        </w:rPr>
        <w:t xml:space="preserve">lan </w:t>
      </w:r>
      <w:r>
        <w:rPr>
          <w:rFonts w:eastAsia="Calibri"/>
          <w:color w:val="000000" w:themeColor="text1"/>
          <w:sz w:val="20"/>
          <w:szCs w:val="20"/>
        </w:rPr>
        <w:t>N</w:t>
      </w:r>
      <w:r w:rsidRPr="00955A4C">
        <w:rPr>
          <w:rFonts w:eastAsia="Calibri"/>
          <w:color w:val="000000" w:themeColor="text1"/>
          <w:sz w:val="20"/>
          <w:szCs w:val="20"/>
        </w:rPr>
        <w:t xml:space="preserve">acional de </w:t>
      </w:r>
      <w:r>
        <w:rPr>
          <w:rFonts w:eastAsia="Calibri"/>
          <w:color w:val="000000" w:themeColor="text1"/>
          <w:sz w:val="20"/>
          <w:szCs w:val="20"/>
        </w:rPr>
        <w:t>D</w:t>
      </w:r>
      <w:r w:rsidRPr="00955A4C">
        <w:rPr>
          <w:rFonts w:eastAsia="Calibri"/>
          <w:color w:val="000000" w:themeColor="text1"/>
          <w:sz w:val="20"/>
          <w:szCs w:val="20"/>
        </w:rPr>
        <w:t>esarrollo y en las políticas estatales fijando objetivos, estrategias e indicadores de desempeño cuantificables y o</w:t>
      </w:r>
      <w:r>
        <w:rPr>
          <w:rFonts w:eastAsia="Calibri"/>
          <w:color w:val="000000" w:themeColor="text1"/>
          <w:sz w:val="20"/>
          <w:szCs w:val="20"/>
        </w:rPr>
        <w:t xml:space="preserve">bservando en su elaboración los </w:t>
      </w:r>
      <w:r w:rsidRPr="007256C0">
        <w:rPr>
          <w:rFonts w:eastAsia="Calibri"/>
          <w:color w:val="000000" w:themeColor="text1"/>
          <w:sz w:val="20"/>
          <w:szCs w:val="20"/>
        </w:rPr>
        <w:t xml:space="preserve">Criterios Generales </w:t>
      </w:r>
      <w:r>
        <w:rPr>
          <w:rFonts w:eastAsia="Calibri"/>
          <w:color w:val="000000" w:themeColor="text1"/>
          <w:sz w:val="20"/>
          <w:szCs w:val="20"/>
        </w:rPr>
        <w:t>d</w:t>
      </w:r>
      <w:r w:rsidRPr="007256C0">
        <w:rPr>
          <w:rFonts w:eastAsia="Calibri"/>
          <w:color w:val="000000" w:themeColor="text1"/>
          <w:sz w:val="20"/>
          <w:szCs w:val="20"/>
        </w:rPr>
        <w:t xml:space="preserve">e Política Económica </w:t>
      </w:r>
      <w:r>
        <w:rPr>
          <w:rFonts w:eastAsia="Calibri"/>
          <w:color w:val="000000" w:themeColor="text1"/>
          <w:sz w:val="20"/>
          <w:szCs w:val="20"/>
        </w:rPr>
        <w:t>p</w:t>
      </w:r>
      <w:r w:rsidRPr="007256C0">
        <w:rPr>
          <w:rFonts w:eastAsia="Calibri"/>
          <w:color w:val="000000" w:themeColor="text1"/>
          <w:sz w:val="20"/>
          <w:szCs w:val="20"/>
        </w:rPr>
        <w:t xml:space="preserve">ara </w:t>
      </w:r>
      <w:r>
        <w:rPr>
          <w:rFonts w:eastAsia="Calibri"/>
          <w:color w:val="000000" w:themeColor="text1"/>
          <w:sz w:val="20"/>
          <w:szCs w:val="20"/>
        </w:rPr>
        <w:t>l</w:t>
      </w:r>
      <w:r w:rsidRPr="007256C0">
        <w:rPr>
          <w:rFonts w:eastAsia="Calibri"/>
          <w:color w:val="000000" w:themeColor="text1"/>
          <w:sz w:val="20"/>
          <w:szCs w:val="20"/>
        </w:rPr>
        <w:t xml:space="preserve">a Iniciativa </w:t>
      </w:r>
      <w:r>
        <w:rPr>
          <w:rFonts w:eastAsia="Calibri"/>
          <w:color w:val="000000" w:themeColor="text1"/>
          <w:sz w:val="20"/>
          <w:szCs w:val="20"/>
        </w:rPr>
        <w:t>d</w:t>
      </w:r>
      <w:r w:rsidRPr="007256C0">
        <w:rPr>
          <w:rFonts w:eastAsia="Calibri"/>
          <w:color w:val="000000" w:themeColor="text1"/>
          <w:sz w:val="20"/>
          <w:szCs w:val="20"/>
        </w:rPr>
        <w:t xml:space="preserve">e Ley </w:t>
      </w:r>
      <w:r>
        <w:rPr>
          <w:rFonts w:eastAsia="Calibri"/>
          <w:color w:val="000000" w:themeColor="text1"/>
          <w:sz w:val="20"/>
          <w:szCs w:val="20"/>
        </w:rPr>
        <w:t>d</w:t>
      </w:r>
      <w:r w:rsidRPr="007256C0">
        <w:rPr>
          <w:rFonts w:eastAsia="Calibri"/>
          <w:color w:val="000000" w:themeColor="text1"/>
          <w:sz w:val="20"/>
          <w:szCs w:val="20"/>
        </w:rPr>
        <w:t xml:space="preserve">e Ingresos </w:t>
      </w:r>
      <w:r>
        <w:rPr>
          <w:rFonts w:eastAsia="Calibri"/>
          <w:color w:val="000000" w:themeColor="text1"/>
          <w:sz w:val="20"/>
          <w:szCs w:val="20"/>
        </w:rPr>
        <w:t>y</w:t>
      </w:r>
      <w:r w:rsidRPr="007256C0">
        <w:rPr>
          <w:rFonts w:eastAsia="Calibri"/>
          <w:color w:val="000000" w:themeColor="text1"/>
          <w:sz w:val="20"/>
          <w:szCs w:val="20"/>
        </w:rPr>
        <w:t xml:space="preserve"> </w:t>
      </w:r>
      <w:r>
        <w:rPr>
          <w:rFonts w:eastAsia="Calibri"/>
          <w:color w:val="000000" w:themeColor="text1"/>
          <w:sz w:val="20"/>
          <w:szCs w:val="20"/>
        </w:rPr>
        <w:t>e</w:t>
      </w:r>
      <w:r w:rsidRPr="007256C0">
        <w:rPr>
          <w:rFonts w:eastAsia="Calibri"/>
          <w:color w:val="000000" w:themeColor="text1"/>
          <w:sz w:val="20"/>
          <w:szCs w:val="20"/>
        </w:rPr>
        <w:t xml:space="preserve">l Proyecto </w:t>
      </w:r>
      <w:r>
        <w:rPr>
          <w:rFonts w:eastAsia="Calibri"/>
          <w:color w:val="000000" w:themeColor="text1"/>
          <w:sz w:val="20"/>
          <w:szCs w:val="20"/>
        </w:rPr>
        <w:t>d</w:t>
      </w:r>
      <w:r w:rsidRPr="007256C0">
        <w:rPr>
          <w:rFonts w:eastAsia="Calibri"/>
          <w:color w:val="000000" w:themeColor="text1"/>
          <w:sz w:val="20"/>
          <w:szCs w:val="20"/>
        </w:rPr>
        <w:t xml:space="preserve">e Presupuesto </w:t>
      </w:r>
      <w:r>
        <w:rPr>
          <w:rFonts w:eastAsia="Calibri"/>
          <w:color w:val="000000" w:themeColor="text1"/>
          <w:sz w:val="20"/>
          <w:szCs w:val="20"/>
        </w:rPr>
        <w:t>d</w:t>
      </w:r>
      <w:r w:rsidRPr="007256C0">
        <w:rPr>
          <w:rFonts w:eastAsia="Calibri"/>
          <w:color w:val="000000" w:themeColor="text1"/>
          <w:sz w:val="20"/>
          <w:szCs w:val="20"/>
        </w:rPr>
        <w:t xml:space="preserve">e Egresos </w:t>
      </w:r>
      <w:r>
        <w:rPr>
          <w:rFonts w:eastAsia="Calibri"/>
          <w:color w:val="000000" w:themeColor="text1"/>
          <w:sz w:val="20"/>
          <w:szCs w:val="20"/>
        </w:rPr>
        <w:t>d</w:t>
      </w:r>
      <w:r w:rsidRPr="007256C0">
        <w:rPr>
          <w:rFonts w:eastAsia="Calibri"/>
          <w:color w:val="000000" w:themeColor="text1"/>
          <w:sz w:val="20"/>
          <w:szCs w:val="20"/>
        </w:rPr>
        <w:t xml:space="preserve">e </w:t>
      </w:r>
      <w:r>
        <w:rPr>
          <w:rFonts w:eastAsia="Calibri"/>
          <w:color w:val="000000" w:themeColor="text1"/>
          <w:sz w:val="20"/>
          <w:szCs w:val="20"/>
        </w:rPr>
        <w:t xml:space="preserve">la Federación </w:t>
      </w:r>
      <w:r w:rsidRPr="00955A4C">
        <w:rPr>
          <w:rFonts w:eastAsia="Calibri"/>
          <w:color w:val="000000" w:themeColor="text1"/>
          <w:sz w:val="20"/>
          <w:szCs w:val="20"/>
        </w:rPr>
        <w:t>(CGPE) que presentó la Secretaría de Hacienda y Crédito Público (SHCP) para el ejercicio 2020.</w:t>
      </w:r>
    </w:p>
    <w:p w:rsidR="008E6390" w:rsidRPr="00955A4C" w:rsidRDefault="008E6390" w:rsidP="008E6390">
      <w:pPr>
        <w:spacing w:line="360" w:lineRule="auto"/>
        <w:jc w:val="both"/>
        <w:rPr>
          <w:rFonts w:eastAsia="Calibri"/>
          <w:color w:val="000000" w:themeColor="text1"/>
          <w:sz w:val="20"/>
          <w:szCs w:val="20"/>
        </w:rPr>
      </w:pPr>
    </w:p>
    <w:p w:rsidR="008E6390" w:rsidRPr="00955A4C" w:rsidRDefault="008E6390" w:rsidP="008E6390">
      <w:pPr>
        <w:spacing w:line="360" w:lineRule="auto"/>
        <w:jc w:val="both"/>
        <w:rPr>
          <w:rFonts w:eastAsia="Calibri"/>
          <w:color w:val="000000" w:themeColor="text1"/>
          <w:sz w:val="20"/>
          <w:szCs w:val="20"/>
        </w:rPr>
      </w:pPr>
      <w:r w:rsidRPr="00955A4C">
        <w:rPr>
          <w:rFonts w:eastAsia="Calibri"/>
          <w:color w:val="000000" w:themeColor="text1"/>
          <w:sz w:val="20"/>
          <w:szCs w:val="20"/>
        </w:rPr>
        <w:t>En concordancia con el proyecto nacional, en esta iniciativa se consideraron:</w:t>
      </w:r>
    </w:p>
    <w:p w:rsidR="008E6390" w:rsidRDefault="008E6390" w:rsidP="008E6390">
      <w:pPr>
        <w:pStyle w:val="Prrafodelista"/>
        <w:numPr>
          <w:ilvl w:val="0"/>
          <w:numId w:val="9"/>
        </w:numPr>
        <w:spacing w:line="360" w:lineRule="auto"/>
        <w:jc w:val="both"/>
        <w:rPr>
          <w:rFonts w:eastAsia="Calibri"/>
          <w:color w:val="000000" w:themeColor="text1"/>
          <w:sz w:val="20"/>
          <w:szCs w:val="20"/>
        </w:rPr>
      </w:pPr>
      <w:r>
        <w:rPr>
          <w:rFonts w:eastAsia="Calibri"/>
          <w:color w:val="000000" w:themeColor="text1"/>
          <w:sz w:val="20"/>
          <w:szCs w:val="20"/>
        </w:rPr>
        <w:t>Objetivos anuales, estrategias y metas.</w:t>
      </w:r>
    </w:p>
    <w:p w:rsidR="008E6390" w:rsidRPr="002E0CC2" w:rsidRDefault="008E6390" w:rsidP="008E6390">
      <w:pPr>
        <w:pStyle w:val="Prrafodelista"/>
        <w:numPr>
          <w:ilvl w:val="0"/>
          <w:numId w:val="9"/>
        </w:numPr>
        <w:spacing w:line="360" w:lineRule="auto"/>
        <w:jc w:val="both"/>
        <w:rPr>
          <w:rFonts w:eastAsia="Calibri"/>
          <w:color w:val="000000" w:themeColor="text1"/>
          <w:sz w:val="20"/>
          <w:szCs w:val="20"/>
        </w:rPr>
      </w:pPr>
      <w:r w:rsidRPr="00955A4C">
        <w:rPr>
          <w:rFonts w:eastAsia="Calibri"/>
          <w:color w:val="000000" w:themeColor="text1"/>
          <w:sz w:val="20"/>
          <w:szCs w:val="20"/>
        </w:rPr>
        <w:t>Las proyecciones de egresos en materia presupuestal.</w:t>
      </w:r>
    </w:p>
    <w:p w:rsidR="008E6390" w:rsidRPr="00955A4C" w:rsidRDefault="008E6390" w:rsidP="008E6390">
      <w:pPr>
        <w:pStyle w:val="Prrafodelista"/>
        <w:numPr>
          <w:ilvl w:val="0"/>
          <w:numId w:val="9"/>
        </w:numPr>
        <w:spacing w:line="360" w:lineRule="auto"/>
        <w:jc w:val="both"/>
        <w:rPr>
          <w:rFonts w:eastAsia="Calibri"/>
          <w:color w:val="000000" w:themeColor="text1"/>
          <w:sz w:val="20"/>
          <w:szCs w:val="20"/>
        </w:rPr>
      </w:pPr>
      <w:r w:rsidRPr="00955A4C">
        <w:rPr>
          <w:rFonts w:eastAsia="Calibri"/>
          <w:color w:val="000000" w:themeColor="text1"/>
          <w:sz w:val="20"/>
          <w:szCs w:val="20"/>
        </w:rPr>
        <w:t>Los riesgos para las finanzas públicas estatales.</w:t>
      </w:r>
    </w:p>
    <w:p w:rsidR="008E6390" w:rsidRDefault="008E6390" w:rsidP="008E6390">
      <w:pPr>
        <w:pStyle w:val="Prrafodelista"/>
        <w:numPr>
          <w:ilvl w:val="0"/>
          <w:numId w:val="9"/>
        </w:numPr>
        <w:spacing w:line="360" w:lineRule="auto"/>
        <w:jc w:val="both"/>
        <w:rPr>
          <w:rFonts w:eastAsia="Calibri"/>
          <w:color w:val="000000" w:themeColor="text1"/>
          <w:sz w:val="20"/>
          <w:szCs w:val="20"/>
        </w:rPr>
      </w:pPr>
      <w:r w:rsidRPr="00955A4C">
        <w:rPr>
          <w:rFonts w:eastAsia="Calibri"/>
          <w:color w:val="000000" w:themeColor="text1"/>
          <w:sz w:val="20"/>
          <w:szCs w:val="20"/>
        </w:rPr>
        <w:t>Los resultados presupuestarios de los últimos cinco años.</w:t>
      </w:r>
    </w:p>
    <w:p w:rsidR="008E6390" w:rsidRPr="002E0CC2" w:rsidRDefault="008E6390" w:rsidP="008E6390">
      <w:pPr>
        <w:pStyle w:val="Prrafodelista"/>
        <w:numPr>
          <w:ilvl w:val="0"/>
          <w:numId w:val="9"/>
        </w:numPr>
        <w:spacing w:line="360" w:lineRule="auto"/>
        <w:jc w:val="both"/>
        <w:rPr>
          <w:rFonts w:eastAsia="Calibri"/>
          <w:color w:val="000000" w:themeColor="text1"/>
          <w:sz w:val="20"/>
          <w:szCs w:val="20"/>
        </w:rPr>
      </w:pPr>
      <w:r w:rsidRPr="002E0CC2">
        <w:rPr>
          <w:rFonts w:eastAsia="Calibri"/>
          <w:color w:val="000000" w:themeColor="text1"/>
          <w:sz w:val="20"/>
          <w:szCs w:val="20"/>
        </w:rPr>
        <w:t>Un estudio Actuarial de Pensiones de sus trabajadores.</w:t>
      </w:r>
    </w:p>
    <w:p w:rsidR="008E6390" w:rsidRPr="00955A4C" w:rsidRDefault="008E6390" w:rsidP="008E6390">
      <w:pPr>
        <w:pStyle w:val="Prrafodelista"/>
        <w:spacing w:line="360" w:lineRule="auto"/>
        <w:ind w:left="720"/>
        <w:jc w:val="both"/>
        <w:rPr>
          <w:rFonts w:eastAsia="Calibri"/>
          <w:color w:val="000000" w:themeColor="text1"/>
          <w:sz w:val="20"/>
          <w:szCs w:val="20"/>
        </w:rPr>
      </w:pPr>
    </w:p>
    <w:p w:rsidR="008E6390" w:rsidRPr="00955A4C" w:rsidRDefault="008E6390" w:rsidP="008E6390">
      <w:pPr>
        <w:spacing w:line="360" w:lineRule="auto"/>
        <w:jc w:val="both"/>
        <w:rPr>
          <w:rFonts w:eastAsia="Calibri"/>
          <w:color w:val="000000" w:themeColor="text1"/>
          <w:sz w:val="20"/>
          <w:szCs w:val="20"/>
        </w:rPr>
      </w:pPr>
      <w:r>
        <w:rPr>
          <w:rFonts w:eastAsia="Calibri"/>
          <w:color w:val="000000" w:themeColor="text1"/>
          <w:sz w:val="20"/>
          <w:szCs w:val="20"/>
        </w:rPr>
        <w:t>Asimismo, en este</w:t>
      </w:r>
      <w:r w:rsidRPr="00955A4C">
        <w:rPr>
          <w:rFonts w:eastAsia="Calibri"/>
          <w:color w:val="000000" w:themeColor="text1"/>
          <w:sz w:val="20"/>
          <w:szCs w:val="20"/>
        </w:rPr>
        <w:t xml:space="preserve"> </w:t>
      </w:r>
      <w:r>
        <w:rPr>
          <w:rFonts w:eastAsia="Calibri"/>
          <w:color w:val="000000" w:themeColor="text1"/>
          <w:sz w:val="20"/>
          <w:szCs w:val="20"/>
        </w:rPr>
        <w:t xml:space="preserve">presente </w:t>
      </w:r>
      <w:r w:rsidRPr="00096094">
        <w:rPr>
          <w:rFonts w:eastAsia="Calibri"/>
          <w:sz w:val="20"/>
          <w:szCs w:val="20"/>
        </w:rPr>
        <w:t xml:space="preserve">Proyecto de Decreto de Presupuesto de Egresos del Estado de Tlaxcala para el Ejercicio Fiscal </w:t>
      </w:r>
      <w:proofErr w:type="gramStart"/>
      <w:r w:rsidRPr="00096094">
        <w:rPr>
          <w:rFonts w:eastAsia="Calibri"/>
          <w:sz w:val="20"/>
          <w:szCs w:val="20"/>
        </w:rPr>
        <w:t xml:space="preserve">2020 </w:t>
      </w:r>
      <w:r>
        <w:rPr>
          <w:rFonts w:eastAsia="Calibri"/>
          <w:color w:val="000000" w:themeColor="text1"/>
          <w:sz w:val="20"/>
          <w:szCs w:val="20"/>
        </w:rPr>
        <w:t xml:space="preserve"> </w:t>
      </w:r>
      <w:r w:rsidRPr="00955A4C">
        <w:rPr>
          <w:rFonts w:eastAsia="Calibri"/>
          <w:color w:val="000000" w:themeColor="text1"/>
          <w:sz w:val="20"/>
          <w:szCs w:val="20"/>
        </w:rPr>
        <w:t>se</w:t>
      </w:r>
      <w:proofErr w:type="gramEnd"/>
      <w:r w:rsidRPr="00955A4C">
        <w:rPr>
          <w:rFonts w:eastAsia="Calibri"/>
          <w:color w:val="000000" w:themeColor="text1"/>
          <w:sz w:val="20"/>
          <w:szCs w:val="20"/>
        </w:rPr>
        <w:t xml:space="preserve"> prevén medidas y recursos para atender diversas situaciones que pudieran afectar las finanzas públicas, destacando las siguientes:</w:t>
      </w:r>
    </w:p>
    <w:p w:rsidR="008E6390" w:rsidRPr="00955A4C" w:rsidRDefault="008E6390" w:rsidP="008E6390">
      <w:pPr>
        <w:spacing w:line="360" w:lineRule="auto"/>
        <w:jc w:val="both"/>
        <w:rPr>
          <w:rFonts w:eastAsia="Calibri"/>
          <w:color w:val="000000" w:themeColor="text1"/>
          <w:sz w:val="20"/>
          <w:szCs w:val="20"/>
        </w:rPr>
      </w:pPr>
    </w:p>
    <w:p w:rsidR="008E6390" w:rsidRPr="00955A4C" w:rsidRDefault="008E6390" w:rsidP="008E6390">
      <w:pPr>
        <w:pStyle w:val="Prrafodelista"/>
        <w:numPr>
          <w:ilvl w:val="1"/>
          <w:numId w:val="10"/>
        </w:numPr>
        <w:spacing w:line="360" w:lineRule="auto"/>
        <w:jc w:val="both"/>
        <w:rPr>
          <w:rFonts w:eastAsia="Calibri"/>
          <w:color w:val="000000" w:themeColor="text1"/>
          <w:sz w:val="20"/>
          <w:szCs w:val="20"/>
        </w:rPr>
      </w:pPr>
      <w:r w:rsidRPr="00955A4C">
        <w:rPr>
          <w:rFonts w:eastAsia="Calibri"/>
          <w:b/>
          <w:color w:val="000000" w:themeColor="text1"/>
          <w:sz w:val="20"/>
          <w:szCs w:val="20"/>
        </w:rPr>
        <w:t>Pensiones</w:t>
      </w:r>
      <w:r w:rsidRPr="00955A4C">
        <w:rPr>
          <w:rFonts w:eastAsia="Calibri"/>
          <w:color w:val="000000" w:themeColor="text1"/>
          <w:sz w:val="20"/>
          <w:szCs w:val="20"/>
        </w:rPr>
        <w:t>.- Tema financiero que se desarrolla en el apartado de Riesgos Fiscales.</w:t>
      </w:r>
    </w:p>
    <w:p w:rsidR="008E6390" w:rsidRPr="00955A4C" w:rsidRDefault="008E6390" w:rsidP="008E6390">
      <w:pPr>
        <w:pStyle w:val="Prrafodelista"/>
        <w:numPr>
          <w:ilvl w:val="1"/>
          <w:numId w:val="10"/>
        </w:numPr>
        <w:spacing w:line="360" w:lineRule="auto"/>
        <w:jc w:val="both"/>
        <w:rPr>
          <w:rFonts w:eastAsia="Calibri"/>
          <w:color w:val="000000" w:themeColor="text1"/>
          <w:sz w:val="20"/>
          <w:szCs w:val="20"/>
        </w:rPr>
      </w:pPr>
      <w:r w:rsidRPr="00955A4C">
        <w:rPr>
          <w:rFonts w:eastAsia="Calibri"/>
          <w:b/>
          <w:color w:val="000000" w:themeColor="text1"/>
          <w:sz w:val="20"/>
          <w:szCs w:val="20"/>
        </w:rPr>
        <w:t>Desastres naturales</w:t>
      </w:r>
      <w:r w:rsidRPr="00955A4C">
        <w:rPr>
          <w:rFonts w:eastAsia="Calibri"/>
          <w:color w:val="000000" w:themeColor="text1"/>
          <w:sz w:val="20"/>
          <w:szCs w:val="20"/>
        </w:rPr>
        <w:t xml:space="preserve">.- Se consideran recursos para crear un fondo específico para desastres naturales, por un monto de 35 millones de pesos, para cubrir el costo de </w:t>
      </w:r>
      <w:r w:rsidRPr="00955A4C">
        <w:rPr>
          <w:rFonts w:eastAsia="Calibri"/>
          <w:color w:val="000000" w:themeColor="text1"/>
          <w:sz w:val="20"/>
          <w:szCs w:val="20"/>
        </w:rPr>
        <w:lastRenderedPageBreak/>
        <w:t>daños en infraestructura pública y atender a la población afectada. Los recursos se deberán depositar en un fideicomiso de administración y pago.</w:t>
      </w:r>
    </w:p>
    <w:p w:rsidR="008E6390" w:rsidRPr="002E0CC2" w:rsidRDefault="008E6390" w:rsidP="008E6390">
      <w:pPr>
        <w:pStyle w:val="Prrafodelista"/>
        <w:numPr>
          <w:ilvl w:val="1"/>
          <w:numId w:val="10"/>
        </w:numPr>
        <w:spacing w:line="360" w:lineRule="auto"/>
        <w:jc w:val="both"/>
        <w:rPr>
          <w:rFonts w:eastAsia="Calibri"/>
          <w:sz w:val="20"/>
          <w:szCs w:val="20"/>
        </w:rPr>
      </w:pPr>
      <w:r w:rsidRPr="002E0CC2">
        <w:rPr>
          <w:rFonts w:eastAsia="Calibri"/>
          <w:b/>
          <w:sz w:val="20"/>
          <w:szCs w:val="20"/>
        </w:rPr>
        <w:t>Servicios personales</w:t>
      </w:r>
      <w:r w:rsidRPr="002E0CC2">
        <w:rPr>
          <w:rFonts w:eastAsia="Calibri"/>
          <w:sz w:val="20"/>
          <w:szCs w:val="20"/>
        </w:rPr>
        <w:t>.- Se incluye una sección específica correspondiente al gasto en servicios personales, el cual comprende las remuneraciones de los servidores públicos, desglosando las percepciones ordinarias y extraordinarias, e incluyendo las erogaciones por concepto de obligaciones de carácter fiscal y de seguridad social inherentes a las mismas.</w:t>
      </w:r>
    </w:p>
    <w:p w:rsidR="008E6390" w:rsidRPr="00955A4C" w:rsidRDefault="008E6390" w:rsidP="008E6390">
      <w:pPr>
        <w:pStyle w:val="Prrafodelista"/>
        <w:numPr>
          <w:ilvl w:val="1"/>
          <w:numId w:val="10"/>
        </w:numPr>
        <w:spacing w:line="360" w:lineRule="auto"/>
        <w:jc w:val="both"/>
        <w:rPr>
          <w:rFonts w:eastAsia="Calibri"/>
          <w:color w:val="000000" w:themeColor="text1"/>
          <w:sz w:val="20"/>
          <w:szCs w:val="20"/>
        </w:rPr>
      </w:pPr>
      <w:r w:rsidRPr="00955A4C">
        <w:rPr>
          <w:rFonts w:eastAsia="Calibri"/>
          <w:b/>
          <w:color w:val="000000" w:themeColor="text1"/>
          <w:sz w:val="20"/>
          <w:szCs w:val="20"/>
        </w:rPr>
        <w:t>Excedentes presupuestarios</w:t>
      </w:r>
      <w:r w:rsidRPr="00955A4C">
        <w:rPr>
          <w:rFonts w:eastAsia="Calibri"/>
          <w:color w:val="000000" w:themeColor="text1"/>
          <w:sz w:val="20"/>
          <w:szCs w:val="20"/>
        </w:rPr>
        <w:t>.- Por otro lado, en el proyecto se establece que, en caso de cumplirse o rebasarse las expectativas económicas previstas, los excedentes presupuestarios que se determinen, deberán aplicarse, de conformidad con lo establecido en el Código Financiero para el Estado de Tlaxcala y sus Municipios</w:t>
      </w:r>
      <w:r>
        <w:rPr>
          <w:rFonts w:eastAsia="Calibri"/>
          <w:color w:val="000000" w:themeColor="text1"/>
          <w:sz w:val="20"/>
          <w:szCs w:val="20"/>
        </w:rPr>
        <w:t xml:space="preserve"> </w:t>
      </w:r>
      <w:r w:rsidRPr="00955A4C">
        <w:rPr>
          <w:rFonts w:eastAsia="Calibri"/>
          <w:color w:val="000000" w:themeColor="text1"/>
          <w:sz w:val="20"/>
          <w:szCs w:val="20"/>
        </w:rPr>
        <w:t>como sigue:</w:t>
      </w:r>
    </w:p>
    <w:p w:rsidR="008E6390" w:rsidRPr="00955A4C" w:rsidRDefault="008E6390" w:rsidP="008E6390">
      <w:pPr>
        <w:pStyle w:val="Prrafodelista"/>
        <w:numPr>
          <w:ilvl w:val="2"/>
          <w:numId w:val="11"/>
        </w:numPr>
        <w:spacing w:line="360" w:lineRule="auto"/>
        <w:jc w:val="both"/>
        <w:rPr>
          <w:rFonts w:eastAsia="Calibri"/>
          <w:color w:val="000000" w:themeColor="text1"/>
          <w:sz w:val="20"/>
          <w:szCs w:val="20"/>
        </w:rPr>
      </w:pPr>
      <w:r w:rsidRPr="00955A4C">
        <w:rPr>
          <w:rFonts w:eastAsia="Calibri"/>
          <w:color w:val="000000" w:themeColor="text1"/>
          <w:sz w:val="20"/>
          <w:szCs w:val="20"/>
        </w:rPr>
        <w:t>Por lo menos el 50 por ciento 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 fondos para la atención de desastres naturales y de pensiones, y</w:t>
      </w:r>
    </w:p>
    <w:p w:rsidR="008E6390" w:rsidRPr="00955A4C" w:rsidRDefault="008E6390" w:rsidP="008E6390">
      <w:pPr>
        <w:pStyle w:val="Prrafodelista"/>
        <w:numPr>
          <w:ilvl w:val="2"/>
          <w:numId w:val="11"/>
        </w:numPr>
        <w:spacing w:line="360" w:lineRule="auto"/>
        <w:jc w:val="both"/>
        <w:rPr>
          <w:rFonts w:eastAsia="Calibri"/>
          <w:color w:val="000000" w:themeColor="text1"/>
          <w:sz w:val="20"/>
          <w:szCs w:val="20"/>
        </w:rPr>
      </w:pPr>
      <w:r w:rsidRPr="00955A4C">
        <w:rPr>
          <w:rFonts w:eastAsia="Calibri"/>
          <w:color w:val="000000" w:themeColor="text1"/>
          <w:sz w:val="20"/>
          <w:szCs w:val="20"/>
        </w:rPr>
        <w:t>En su caso, el remanente para: Inversión pública productiva, a través del Fondo de Inversión Pública Productiva Estatal o Municipal, según sea el caso, con el fin de que los recursos correspondientes se ejerzan a más tardar en el ejercicio inmediato siguiente y el Fondo de Compensación Estatal o Municipal, según sea el caso, que tiene por objeto compensar la caída de Ingresos de libre disposición de ejercicios subsecuentes.</w:t>
      </w:r>
    </w:p>
    <w:p w:rsidR="008E6390" w:rsidRPr="00955A4C" w:rsidRDefault="008E6390" w:rsidP="008E6390">
      <w:pPr>
        <w:pStyle w:val="Prrafodelista"/>
        <w:spacing w:line="360" w:lineRule="auto"/>
        <w:ind w:left="1440"/>
        <w:jc w:val="both"/>
        <w:rPr>
          <w:rFonts w:eastAsia="Calibri"/>
          <w:color w:val="000000" w:themeColor="text1"/>
          <w:sz w:val="20"/>
          <w:szCs w:val="20"/>
        </w:rPr>
      </w:pPr>
    </w:p>
    <w:p w:rsidR="008E6390" w:rsidRDefault="008E6390" w:rsidP="008E6390">
      <w:pPr>
        <w:spacing w:line="360" w:lineRule="auto"/>
        <w:jc w:val="both"/>
        <w:rPr>
          <w:rFonts w:eastAsia="Calibri"/>
          <w:color w:val="000000" w:themeColor="text1"/>
          <w:sz w:val="20"/>
          <w:szCs w:val="20"/>
        </w:rPr>
      </w:pPr>
      <w:r w:rsidRPr="00267C93">
        <w:rPr>
          <w:rFonts w:eastAsia="Calibri"/>
          <w:color w:val="000000" w:themeColor="text1"/>
          <w:sz w:val="20"/>
          <w:szCs w:val="20"/>
        </w:rPr>
        <w:lastRenderedPageBreak/>
        <w:t>Los ingresos excedentes podrán destinarse a los rubros mencionados en el presente artículo sin limitación alguna, siempre y cuando el Estado se clasifique en un nivel de endeudamiento sostenible d</w:t>
      </w:r>
      <w:r w:rsidR="00267C93">
        <w:rPr>
          <w:rFonts w:eastAsia="Calibri"/>
          <w:color w:val="000000" w:themeColor="text1"/>
          <w:sz w:val="20"/>
          <w:szCs w:val="20"/>
        </w:rPr>
        <w:t>e acuerdo al Sistema de Alertas.</w:t>
      </w:r>
    </w:p>
    <w:p w:rsidR="001C6AC8" w:rsidRDefault="001C6AC8" w:rsidP="008E6390">
      <w:pPr>
        <w:spacing w:line="360" w:lineRule="auto"/>
        <w:jc w:val="both"/>
        <w:rPr>
          <w:rFonts w:eastAsia="Calibri"/>
          <w:color w:val="000000" w:themeColor="text1"/>
          <w:sz w:val="20"/>
          <w:szCs w:val="20"/>
        </w:rPr>
      </w:pPr>
    </w:p>
    <w:p w:rsidR="001C6AC8" w:rsidRDefault="001C6AC8" w:rsidP="008E6390">
      <w:pPr>
        <w:spacing w:line="360" w:lineRule="auto"/>
        <w:jc w:val="both"/>
        <w:rPr>
          <w:rFonts w:eastAsia="Calibri"/>
          <w:color w:val="000000" w:themeColor="text1"/>
          <w:sz w:val="20"/>
          <w:szCs w:val="20"/>
        </w:rPr>
      </w:pPr>
      <w:r>
        <w:rPr>
          <w:rFonts w:eastAsia="Calibri"/>
          <w:color w:val="000000" w:themeColor="text1"/>
          <w:sz w:val="20"/>
          <w:szCs w:val="20"/>
        </w:rPr>
        <w:t>Y por la Ley de Disciplina Financiera de las Entidades Federativas y los Municipios que enuncia lo siguiente:</w:t>
      </w:r>
    </w:p>
    <w:p w:rsidR="00267C93" w:rsidRDefault="00267C93" w:rsidP="008E6390">
      <w:pPr>
        <w:spacing w:line="360" w:lineRule="auto"/>
        <w:jc w:val="both"/>
        <w:rPr>
          <w:rFonts w:eastAsia="Calibri"/>
          <w:color w:val="000000" w:themeColor="text1"/>
          <w:sz w:val="20"/>
          <w:szCs w:val="20"/>
        </w:rPr>
      </w:pPr>
    </w:p>
    <w:p w:rsidR="00267C93" w:rsidRPr="001C6AC8" w:rsidRDefault="00267C93" w:rsidP="001C6AC8">
      <w:pPr>
        <w:pStyle w:val="Prrafodelista"/>
        <w:numPr>
          <w:ilvl w:val="0"/>
          <w:numId w:val="47"/>
        </w:numPr>
        <w:spacing w:line="360" w:lineRule="auto"/>
        <w:jc w:val="both"/>
        <w:rPr>
          <w:rFonts w:eastAsia="Calibri"/>
          <w:color w:val="000000" w:themeColor="text1"/>
          <w:sz w:val="20"/>
          <w:szCs w:val="20"/>
        </w:rPr>
      </w:pPr>
      <w:r w:rsidRPr="001C6AC8">
        <w:rPr>
          <w:sz w:val="20"/>
          <w:szCs w:val="20"/>
        </w:rPr>
        <w:t>Cuando la Entidad Federativa se clasifique en un nivel de endeudamiento sostenible de acuerdo al Sistema de Alertas, podrá utilizar hasta un 5 por ciento de los recursos a los que se refiere el prese</w:t>
      </w:r>
      <w:r w:rsidR="001C6AC8">
        <w:rPr>
          <w:sz w:val="20"/>
          <w:szCs w:val="20"/>
        </w:rPr>
        <w:t>nte artículo para cubrir Gasto C</w:t>
      </w:r>
      <w:r w:rsidRPr="001C6AC8">
        <w:rPr>
          <w:sz w:val="20"/>
          <w:szCs w:val="20"/>
        </w:rPr>
        <w:t>orriente.</w:t>
      </w:r>
    </w:p>
    <w:p w:rsidR="008E6390" w:rsidRPr="00955A4C" w:rsidRDefault="008E6390" w:rsidP="008E6390">
      <w:pPr>
        <w:spacing w:line="360" w:lineRule="auto"/>
        <w:jc w:val="both"/>
        <w:rPr>
          <w:rFonts w:eastAsia="Calibri"/>
          <w:color w:val="000000" w:themeColor="text1"/>
          <w:sz w:val="20"/>
          <w:szCs w:val="20"/>
        </w:rPr>
      </w:pPr>
    </w:p>
    <w:p w:rsidR="008E6390" w:rsidRPr="00955A4C" w:rsidRDefault="008E6390" w:rsidP="008E6390">
      <w:pPr>
        <w:spacing w:line="360" w:lineRule="auto"/>
        <w:jc w:val="both"/>
        <w:rPr>
          <w:rFonts w:eastAsia="Calibri"/>
          <w:color w:val="000000" w:themeColor="text1"/>
          <w:sz w:val="20"/>
          <w:szCs w:val="20"/>
        </w:rPr>
      </w:pPr>
      <w:r w:rsidRPr="00955A4C">
        <w:rPr>
          <w:rFonts w:eastAsia="Calibri"/>
          <w:color w:val="000000" w:themeColor="text1"/>
          <w:sz w:val="20"/>
          <w:szCs w:val="20"/>
        </w:rPr>
        <w:t xml:space="preserve">Los Municipios y demás entes públicos se apegarán a la misma regla, conforme lo previsto en </w:t>
      </w:r>
      <w:r>
        <w:rPr>
          <w:rFonts w:eastAsia="Calibri"/>
          <w:color w:val="000000" w:themeColor="text1"/>
          <w:sz w:val="20"/>
          <w:szCs w:val="20"/>
        </w:rPr>
        <w:t xml:space="preserve">el Código Financiero para el Estado </w:t>
      </w:r>
      <w:r w:rsidRPr="00955A4C">
        <w:rPr>
          <w:rFonts w:eastAsia="Calibri"/>
          <w:color w:val="000000" w:themeColor="text1"/>
          <w:sz w:val="20"/>
          <w:szCs w:val="20"/>
        </w:rPr>
        <w:t xml:space="preserve">Tlaxcala </w:t>
      </w:r>
      <w:r>
        <w:rPr>
          <w:rFonts w:eastAsia="Calibri"/>
          <w:color w:val="000000" w:themeColor="text1"/>
          <w:sz w:val="20"/>
          <w:szCs w:val="20"/>
        </w:rPr>
        <w:t>y</w:t>
      </w:r>
      <w:r w:rsidRPr="00955A4C">
        <w:rPr>
          <w:rFonts w:eastAsia="Calibri"/>
          <w:color w:val="000000" w:themeColor="text1"/>
          <w:sz w:val="20"/>
          <w:szCs w:val="20"/>
        </w:rPr>
        <w:t xml:space="preserve"> sus Municipios.</w:t>
      </w:r>
    </w:p>
    <w:p w:rsidR="008E6390" w:rsidRPr="00955A4C" w:rsidRDefault="008E6390" w:rsidP="008E6390">
      <w:pPr>
        <w:spacing w:line="360" w:lineRule="auto"/>
        <w:jc w:val="both"/>
        <w:rPr>
          <w:rFonts w:eastAsia="Calibri"/>
          <w:color w:val="000000" w:themeColor="text1"/>
          <w:sz w:val="20"/>
          <w:szCs w:val="20"/>
        </w:rPr>
      </w:pPr>
    </w:p>
    <w:p w:rsidR="008E6390" w:rsidRPr="00955A4C" w:rsidRDefault="008E6390" w:rsidP="008E6390">
      <w:pPr>
        <w:spacing w:line="360" w:lineRule="auto"/>
        <w:jc w:val="both"/>
        <w:rPr>
          <w:b/>
          <w:sz w:val="20"/>
          <w:szCs w:val="20"/>
        </w:rPr>
      </w:pPr>
      <w:r w:rsidRPr="00955A4C">
        <w:rPr>
          <w:rFonts w:eastAsia="Calibri"/>
          <w:b/>
          <w:bCs/>
          <w:sz w:val="20"/>
          <w:szCs w:val="20"/>
        </w:rPr>
        <w:t>PERSPECTIVAS ECONÓMICAS Y FISCALES DEL ESTADO DE TLAXCALA 2019-2024.</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t xml:space="preserve">El Paquete Económico para 2020 puesto a consideración de esta </w:t>
      </w:r>
      <w:r>
        <w:rPr>
          <w:sz w:val="20"/>
          <w:szCs w:val="20"/>
        </w:rPr>
        <w:t>Legislatura</w:t>
      </w:r>
      <w:r w:rsidRPr="00955A4C">
        <w:rPr>
          <w:sz w:val="20"/>
          <w:szCs w:val="20"/>
        </w:rPr>
        <w:t xml:space="preserve">, refleja el compromiso del Ejecutivo del Estado de continuar con un manejo responsable de las finanzas públicas para promover la estabilidad económica. Asimismo, en el </w:t>
      </w:r>
      <w:r>
        <w:rPr>
          <w:rFonts w:eastAsia="Calibri"/>
          <w:color w:val="000000" w:themeColor="text1"/>
          <w:sz w:val="20"/>
          <w:szCs w:val="20"/>
        </w:rPr>
        <w:t>Presupuesto de Egresos del Estado para el ejercicio 2020</w:t>
      </w:r>
      <w:r w:rsidRPr="00955A4C">
        <w:rPr>
          <w:sz w:val="20"/>
          <w:szCs w:val="20"/>
        </w:rPr>
        <w:t xml:space="preserve">, se mantiene la política de austeridad y disciplina presupuestaria para los entes del Gobierno del Estado, en congruencia con las políticas establecidas por el Gobierno Federal en la optimización de las plantillas laborales y la reasignación de funciones que permitan la mejor aplicación de los recursos públicos en los diferentes programas y proyectos de inversión. </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color w:val="FF0000"/>
          <w:sz w:val="20"/>
          <w:szCs w:val="20"/>
        </w:rPr>
      </w:pPr>
      <w:r w:rsidRPr="00955A4C">
        <w:rPr>
          <w:sz w:val="20"/>
          <w:szCs w:val="20"/>
        </w:rPr>
        <w:t xml:space="preserve">Por lo anterior, y con la finalidad de permanecer en la trayectoria de consolidación fiscal, el Gobierno del Estado propone continuar con la aplicación de acciones que permitan generar ahorros en el gasto público, tales como: el evitar la duplicidad de funciones, eficientar procesos administrativos, así como el uso adecuado de materiales y suministros, entre otros. La Secretaría de Hacienda y Crédito Público </w:t>
      </w:r>
      <w:r w:rsidRPr="00955A4C">
        <w:rPr>
          <w:sz w:val="20"/>
          <w:szCs w:val="20"/>
        </w:rPr>
        <w:lastRenderedPageBreak/>
        <w:t xml:space="preserve">estima que durante 2020 el PIB de México registrará un crecimiento real dentro de un rango de </w:t>
      </w:r>
      <w:r>
        <w:rPr>
          <w:rFonts w:eastAsia="Calibri"/>
          <w:color w:val="000000" w:themeColor="text1"/>
          <w:sz w:val="20"/>
          <w:szCs w:val="20"/>
        </w:rPr>
        <w:t>1.5 y 2.5%</w:t>
      </w:r>
      <w:r w:rsidRPr="00955A4C">
        <w:rPr>
          <w:sz w:val="20"/>
          <w:szCs w:val="20"/>
        </w:rPr>
        <w:t>. Para efectos de las estimaciones de finanzas públicas, se planteó utilizar una tasa de crecimiento puntual del PIB para 2020 de 2.0</w:t>
      </w:r>
      <w:r>
        <w:rPr>
          <w:sz w:val="20"/>
          <w:szCs w:val="20"/>
        </w:rPr>
        <w:t>%</w:t>
      </w:r>
      <w:r w:rsidRPr="00955A4C">
        <w:rPr>
          <w:color w:val="FF0000"/>
          <w:sz w:val="20"/>
          <w:szCs w:val="20"/>
        </w:rPr>
        <w:t xml:space="preserve">. </w:t>
      </w:r>
    </w:p>
    <w:p w:rsidR="008E6390" w:rsidRPr="00955A4C" w:rsidRDefault="008E6390" w:rsidP="008E6390">
      <w:pPr>
        <w:spacing w:line="360" w:lineRule="auto"/>
        <w:jc w:val="both"/>
        <w:rPr>
          <w:color w:val="FF0000"/>
          <w:sz w:val="20"/>
          <w:szCs w:val="20"/>
        </w:rPr>
      </w:pPr>
    </w:p>
    <w:p w:rsidR="008E6390" w:rsidRPr="00955A4C" w:rsidRDefault="008E6390" w:rsidP="008E6390">
      <w:pPr>
        <w:spacing w:line="360" w:lineRule="auto"/>
        <w:jc w:val="both"/>
        <w:rPr>
          <w:sz w:val="20"/>
          <w:szCs w:val="20"/>
        </w:rPr>
      </w:pPr>
      <w:r w:rsidRPr="00955A4C">
        <w:rPr>
          <w:sz w:val="20"/>
          <w:szCs w:val="20"/>
        </w:rPr>
        <w:t>De esta manera, se estima que en el periodo 2021-2025 el PIB de México registre un crecimiento real anual de entre 2.3 y 2.7</w:t>
      </w:r>
      <w:r>
        <w:rPr>
          <w:sz w:val="20"/>
          <w:szCs w:val="20"/>
        </w:rPr>
        <w:t>%</w:t>
      </w:r>
      <w:r w:rsidRPr="00955A4C">
        <w:rPr>
          <w:sz w:val="20"/>
          <w:szCs w:val="20"/>
        </w:rPr>
        <w:t>. La estimación puntual del crecimiento de</w:t>
      </w:r>
      <w:r>
        <w:rPr>
          <w:sz w:val="20"/>
          <w:szCs w:val="20"/>
        </w:rPr>
        <w:t>l PIB para 2021 se ubica en 2.3%</w:t>
      </w:r>
      <w:r w:rsidRPr="00955A4C">
        <w:rPr>
          <w:sz w:val="20"/>
          <w:szCs w:val="20"/>
        </w:rPr>
        <w:t>, para 2022 en 2.5</w:t>
      </w:r>
      <w:r>
        <w:rPr>
          <w:sz w:val="20"/>
          <w:szCs w:val="20"/>
        </w:rPr>
        <w:t>%</w:t>
      </w:r>
      <w:r w:rsidRPr="00955A4C">
        <w:rPr>
          <w:sz w:val="20"/>
          <w:szCs w:val="20"/>
        </w:rPr>
        <w:t>, para 2023 en 2.6% y para 2024 y 2025 en 2.7%, cada uno. Cabe señalar que estas estimaciones son congruentes con la expectativa del FMI para el periodo 2021-2024 de un crecimiento promedio de 2.6% y por encima del pronóstico promedio de los próximos diez años reportado por los analistas encuestados por el Banco de México de 2.0%, de acuerdo con la encuesta publicada el 1 de agosto de 2019.</w:t>
      </w:r>
    </w:p>
    <w:p w:rsidR="008E6390" w:rsidRPr="00955A4C" w:rsidRDefault="008E6390" w:rsidP="008E6390">
      <w:pPr>
        <w:spacing w:line="360" w:lineRule="auto"/>
        <w:jc w:val="both"/>
        <w:rPr>
          <w:color w:val="FF0000"/>
          <w:sz w:val="20"/>
          <w:szCs w:val="20"/>
        </w:rPr>
      </w:pPr>
    </w:p>
    <w:p w:rsidR="008E6390" w:rsidRPr="00955A4C" w:rsidRDefault="008E6390" w:rsidP="008E6390">
      <w:pPr>
        <w:spacing w:line="360" w:lineRule="auto"/>
        <w:jc w:val="both"/>
        <w:rPr>
          <w:sz w:val="20"/>
          <w:szCs w:val="20"/>
        </w:rPr>
      </w:pPr>
      <w:r w:rsidRPr="00955A4C">
        <w:rPr>
          <w:sz w:val="20"/>
          <w:szCs w:val="20"/>
        </w:rPr>
        <w:t>En el siguiente cuadro se presentan las perspectivas de finanzas públicas de mediano plazo para el Estado de Tlaxcala.</w:t>
      </w:r>
    </w:p>
    <w:tbl>
      <w:tblPr>
        <w:tblW w:w="6762" w:type="dxa"/>
        <w:jc w:val="center"/>
        <w:tblCellMar>
          <w:left w:w="70" w:type="dxa"/>
          <w:right w:w="70" w:type="dxa"/>
        </w:tblCellMar>
        <w:tblLook w:val="04A0" w:firstRow="1" w:lastRow="0" w:firstColumn="1" w:lastColumn="0" w:noHBand="0" w:noVBand="1"/>
      </w:tblPr>
      <w:tblGrid>
        <w:gridCol w:w="1691"/>
        <w:gridCol w:w="891"/>
        <w:gridCol w:w="836"/>
        <w:gridCol w:w="836"/>
        <w:gridCol w:w="836"/>
        <w:gridCol w:w="836"/>
        <w:gridCol w:w="836"/>
      </w:tblGrid>
      <w:tr w:rsidR="008E6390" w:rsidRPr="002E0CC2" w:rsidTr="008E6390">
        <w:trPr>
          <w:trHeight w:val="300"/>
          <w:jc w:val="center"/>
        </w:trPr>
        <w:tc>
          <w:tcPr>
            <w:tcW w:w="6762" w:type="dxa"/>
            <w:gridSpan w:val="7"/>
            <w:tcBorders>
              <w:top w:val="single" w:sz="8" w:space="0" w:color="auto"/>
              <w:left w:val="single" w:sz="8" w:space="0" w:color="auto"/>
              <w:bottom w:val="nil"/>
              <w:right w:val="single" w:sz="8" w:space="0" w:color="000000"/>
            </w:tcBorders>
            <w:shd w:val="clear" w:color="000000" w:fill="D9D9D9"/>
            <w:noWrap/>
            <w:vAlign w:val="center"/>
            <w:hideMark/>
          </w:tcPr>
          <w:p w:rsidR="008E6390" w:rsidRPr="002E0CC2" w:rsidRDefault="008E6390" w:rsidP="008E6390">
            <w:pPr>
              <w:jc w:val="center"/>
              <w:rPr>
                <w:rFonts w:ascii="Arial" w:hAnsi="Arial" w:cs="Arial"/>
                <w:b/>
                <w:bCs/>
                <w:color w:val="000000"/>
                <w:sz w:val="12"/>
                <w:szCs w:val="12"/>
                <w:lang w:val="es-MX" w:eastAsia="es-MX"/>
              </w:rPr>
            </w:pPr>
            <w:r>
              <w:rPr>
                <w:rFonts w:ascii="Arial" w:hAnsi="Arial" w:cs="Arial"/>
                <w:b/>
                <w:bCs/>
                <w:color w:val="000000"/>
                <w:sz w:val="12"/>
                <w:szCs w:val="12"/>
                <w:lang w:val="es-MX" w:eastAsia="es-MX"/>
              </w:rPr>
              <w:t>GOBIERNO DEL ESTADO DE TLAXCALA</w:t>
            </w:r>
          </w:p>
        </w:tc>
      </w:tr>
      <w:tr w:rsidR="008E6390" w:rsidRPr="002E0CC2" w:rsidTr="008E6390">
        <w:trPr>
          <w:trHeight w:val="300"/>
          <w:jc w:val="center"/>
        </w:trPr>
        <w:tc>
          <w:tcPr>
            <w:tcW w:w="6762" w:type="dxa"/>
            <w:gridSpan w:val="7"/>
            <w:tcBorders>
              <w:top w:val="nil"/>
              <w:left w:val="single" w:sz="8" w:space="0" w:color="auto"/>
              <w:bottom w:val="nil"/>
              <w:right w:val="single" w:sz="8" w:space="0" w:color="000000"/>
            </w:tcBorders>
            <w:shd w:val="clear" w:color="000000" w:fill="D9D9D9"/>
            <w:noWrap/>
            <w:vAlign w:val="center"/>
            <w:hideMark/>
          </w:tcPr>
          <w:p w:rsidR="008E6390" w:rsidRPr="002E0CC2" w:rsidRDefault="008E6390" w:rsidP="008E6390">
            <w:pPr>
              <w:jc w:val="center"/>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Proyecciones de Egresos - LDF</w:t>
            </w:r>
          </w:p>
        </w:tc>
      </w:tr>
      <w:tr w:rsidR="008E6390" w:rsidRPr="002E0CC2" w:rsidTr="008E6390">
        <w:trPr>
          <w:trHeight w:val="315"/>
          <w:jc w:val="center"/>
        </w:trPr>
        <w:tc>
          <w:tcPr>
            <w:tcW w:w="6762" w:type="dxa"/>
            <w:gridSpan w:val="7"/>
            <w:tcBorders>
              <w:top w:val="nil"/>
              <w:left w:val="single" w:sz="8" w:space="0" w:color="auto"/>
              <w:bottom w:val="single" w:sz="8" w:space="0" w:color="auto"/>
              <w:right w:val="single" w:sz="8" w:space="0" w:color="000000"/>
            </w:tcBorders>
            <w:shd w:val="clear" w:color="000000" w:fill="D9D9D9"/>
            <w:noWrap/>
            <w:vAlign w:val="center"/>
            <w:hideMark/>
          </w:tcPr>
          <w:p w:rsidR="008E6390" w:rsidRPr="002E0CC2" w:rsidRDefault="008E6390" w:rsidP="008E6390">
            <w:pPr>
              <w:jc w:val="center"/>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(PESOS)</w:t>
            </w:r>
          </w:p>
        </w:tc>
      </w:tr>
      <w:tr w:rsidR="008E6390" w:rsidRPr="002E0CC2" w:rsidTr="008E6390">
        <w:trPr>
          <w:trHeight w:val="315"/>
          <w:jc w:val="center"/>
        </w:trPr>
        <w:tc>
          <w:tcPr>
            <w:tcW w:w="1691" w:type="dxa"/>
            <w:tcBorders>
              <w:top w:val="nil"/>
              <w:left w:val="single" w:sz="8" w:space="0" w:color="auto"/>
              <w:bottom w:val="single" w:sz="8" w:space="0" w:color="auto"/>
              <w:right w:val="single" w:sz="8" w:space="0" w:color="auto"/>
            </w:tcBorders>
            <w:shd w:val="clear" w:color="000000" w:fill="D9D9D9"/>
            <w:noWrap/>
            <w:vAlign w:val="center"/>
            <w:hideMark/>
          </w:tcPr>
          <w:p w:rsidR="008E6390" w:rsidRPr="002E0CC2" w:rsidRDefault="008E6390" w:rsidP="008E6390">
            <w:pPr>
              <w:jc w:val="center"/>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Concepto (b)</w:t>
            </w:r>
          </w:p>
        </w:tc>
        <w:tc>
          <w:tcPr>
            <w:tcW w:w="891" w:type="dxa"/>
            <w:tcBorders>
              <w:top w:val="nil"/>
              <w:left w:val="nil"/>
              <w:bottom w:val="single" w:sz="8" w:space="0" w:color="auto"/>
              <w:right w:val="single" w:sz="8" w:space="0" w:color="auto"/>
            </w:tcBorders>
            <w:shd w:val="clear" w:color="000000" w:fill="D9D9D9"/>
            <w:noWrap/>
            <w:vAlign w:val="center"/>
            <w:hideMark/>
          </w:tcPr>
          <w:p w:rsidR="008E6390" w:rsidRPr="002E0CC2" w:rsidRDefault="008E6390" w:rsidP="008E6390">
            <w:pPr>
              <w:jc w:val="center"/>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2020</w:t>
            </w:r>
          </w:p>
        </w:tc>
        <w:tc>
          <w:tcPr>
            <w:tcW w:w="836" w:type="dxa"/>
            <w:tcBorders>
              <w:top w:val="nil"/>
              <w:left w:val="nil"/>
              <w:bottom w:val="single" w:sz="8" w:space="0" w:color="auto"/>
              <w:right w:val="single" w:sz="8" w:space="0" w:color="auto"/>
            </w:tcBorders>
            <w:shd w:val="clear" w:color="000000" w:fill="D9D9D9"/>
            <w:noWrap/>
            <w:vAlign w:val="center"/>
            <w:hideMark/>
          </w:tcPr>
          <w:p w:rsidR="008E6390" w:rsidRPr="002E0CC2" w:rsidRDefault="008E6390" w:rsidP="008E6390">
            <w:pPr>
              <w:jc w:val="center"/>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2021</w:t>
            </w:r>
          </w:p>
        </w:tc>
        <w:tc>
          <w:tcPr>
            <w:tcW w:w="836" w:type="dxa"/>
            <w:tcBorders>
              <w:top w:val="nil"/>
              <w:left w:val="nil"/>
              <w:bottom w:val="single" w:sz="8" w:space="0" w:color="auto"/>
              <w:right w:val="single" w:sz="8" w:space="0" w:color="auto"/>
            </w:tcBorders>
            <w:shd w:val="clear" w:color="000000" w:fill="D9D9D9"/>
            <w:noWrap/>
            <w:vAlign w:val="center"/>
            <w:hideMark/>
          </w:tcPr>
          <w:p w:rsidR="008E6390" w:rsidRPr="002E0CC2" w:rsidRDefault="008E6390" w:rsidP="008E6390">
            <w:pPr>
              <w:jc w:val="center"/>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2022</w:t>
            </w:r>
          </w:p>
        </w:tc>
        <w:tc>
          <w:tcPr>
            <w:tcW w:w="836" w:type="dxa"/>
            <w:tcBorders>
              <w:top w:val="nil"/>
              <w:left w:val="nil"/>
              <w:bottom w:val="single" w:sz="8" w:space="0" w:color="auto"/>
              <w:right w:val="single" w:sz="8" w:space="0" w:color="auto"/>
            </w:tcBorders>
            <w:shd w:val="clear" w:color="000000" w:fill="D9D9D9"/>
            <w:noWrap/>
            <w:vAlign w:val="center"/>
            <w:hideMark/>
          </w:tcPr>
          <w:p w:rsidR="008E6390" w:rsidRPr="002E0CC2" w:rsidRDefault="008E6390" w:rsidP="008E6390">
            <w:pPr>
              <w:jc w:val="center"/>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2023</w:t>
            </w:r>
          </w:p>
        </w:tc>
        <w:tc>
          <w:tcPr>
            <w:tcW w:w="836" w:type="dxa"/>
            <w:tcBorders>
              <w:top w:val="nil"/>
              <w:left w:val="nil"/>
              <w:bottom w:val="single" w:sz="8" w:space="0" w:color="auto"/>
              <w:right w:val="single" w:sz="8" w:space="0" w:color="auto"/>
            </w:tcBorders>
            <w:shd w:val="clear" w:color="000000" w:fill="D9D9D9"/>
            <w:noWrap/>
            <w:vAlign w:val="center"/>
            <w:hideMark/>
          </w:tcPr>
          <w:p w:rsidR="008E6390" w:rsidRPr="002E0CC2" w:rsidRDefault="008E6390" w:rsidP="008E6390">
            <w:pPr>
              <w:jc w:val="center"/>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2024</w:t>
            </w:r>
          </w:p>
        </w:tc>
        <w:tc>
          <w:tcPr>
            <w:tcW w:w="836" w:type="dxa"/>
            <w:tcBorders>
              <w:top w:val="nil"/>
              <w:left w:val="nil"/>
              <w:bottom w:val="single" w:sz="8" w:space="0" w:color="auto"/>
              <w:right w:val="single" w:sz="8" w:space="0" w:color="auto"/>
            </w:tcBorders>
            <w:shd w:val="clear" w:color="000000" w:fill="D9D9D9"/>
            <w:noWrap/>
            <w:vAlign w:val="center"/>
            <w:hideMark/>
          </w:tcPr>
          <w:p w:rsidR="008E6390" w:rsidRPr="002E0CC2" w:rsidRDefault="008E6390" w:rsidP="008E6390">
            <w:pPr>
              <w:jc w:val="center"/>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2025</w:t>
            </w:r>
          </w:p>
        </w:tc>
      </w:tr>
      <w:tr w:rsidR="008E6390" w:rsidRPr="002E0CC2" w:rsidTr="008E6390">
        <w:trPr>
          <w:trHeight w:val="67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1.</w:t>
            </w:r>
            <w:r w:rsidRPr="002E0CC2">
              <w:rPr>
                <w:b/>
                <w:bCs/>
                <w:color w:val="000000"/>
                <w:sz w:val="12"/>
                <w:szCs w:val="12"/>
                <w:lang w:val="es-MX" w:eastAsia="es-MX"/>
              </w:rPr>
              <w:t xml:space="preserve">  </w:t>
            </w:r>
            <w:r w:rsidRPr="002E0CC2">
              <w:rPr>
                <w:rFonts w:ascii="Arial" w:hAnsi="Arial" w:cs="Arial"/>
                <w:b/>
                <w:bCs/>
                <w:color w:val="000000"/>
                <w:sz w:val="12"/>
                <w:szCs w:val="12"/>
                <w:lang w:val="es-MX" w:eastAsia="es-MX"/>
              </w:rPr>
              <w:t>Gasto No Etiquetado</w:t>
            </w:r>
            <w:r w:rsidRPr="002E0CC2">
              <w:rPr>
                <w:rFonts w:ascii="Arial" w:hAnsi="Arial" w:cs="Arial"/>
                <w:color w:val="000000"/>
                <w:sz w:val="12"/>
                <w:szCs w:val="12"/>
                <w:lang w:val="es-MX" w:eastAsia="es-MX"/>
              </w:rPr>
              <w:t xml:space="preserve"> </w:t>
            </w:r>
            <w:r w:rsidRPr="002E0CC2">
              <w:rPr>
                <w:rFonts w:ascii="Arial" w:hAnsi="Arial" w:cs="Arial"/>
                <w:b/>
                <w:bCs/>
                <w:color w:val="000000"/>
                <w:sz w:val="12"/>
                <w:szCs w:val="12"/>
                <w:lang w:val="es-MX" w:eastAsia="es-MX"/>
              </w:rPr>
              <w:t>(1=A+B+C+D+E+F+G+H+I)</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lang w:val="es-MX" w:eastAsia="es-MX"/>
              </w:rPr>
            </w:pPr>
            <w:r>
              <w:rPr>
                <w:rFonts w:ascii="Arial" w:hAnsi="Arial" w:cs="Arial"/>
                <w:b/>
                <w:bCs/>
                <w:color w:val="000000"/>
                <w:sz w:val="10"/>
                <w:szCs w:val="10"/>
              </w:rPr>
              <w:t>10,458,858,447</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10,699,412,191</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10,966,897,496</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11,252,036,831</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11,555,841,825</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11,867,849,555</w:t>
            </w:r>
          </w:p>
        </w:tc>
      </w:tr>
      <w:tr w:rsidR="008E6390" w:rsidRPr="002E0CC2" w:rsidTr="008E6390">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A.</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Personales</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2,526,077,645</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2,584,177,431</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2,648,781,866</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2,717,650,195</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2,791,026,750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2,866,384,472</w:t>
            </w:r>
          </w:p>
        </w:tc>
      </w:tr>
      <w:tr w:rsidR="008E6390" w:rsidRPr="002E0CC2" w:rsidTr="008E6390">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B.</w:t>
            </w:r>
            <w:r w:rsidRPr="002E0CC2">
              <w:rPr>
                <w:color w:val="000000"/>
                <w:sz w:val="12"/>
                <w:szCs w:val="12"/>
                <w:lang w:val="es-MX" w:eastAsia="es-MX"/>
              </w:rPr>
              <w:t xml:space="preserve">     </w:t>
            </w:r>
            <w:r w:rsidRPr="002E0CC2">
              <w:rPr>
                <w:rFonts w:ascii="Arial" w:hAnsi="Arial" w:cs="Arial"/>
                <w:color w:val="000000"/>
                <w:sz w:val="12"/>
                <w:szCs w:val="12"/>
                <w:lang w:val="es-MX" w:eastAsia="es-MX"/>
              </w:rPr>
              <w:t>Materiales y Suministros</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210,806,095</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215,654,635</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221,046,001</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226,793,197</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232,916,614</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239,205,362</w:t>
            </w:r>
          </w:p>
        </w:tc>
      </w:tr>
      <w:tr w:rsidR="008E6390" w:rsidRPr="002E0CC2" w:rsidTr="008E6390">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C.</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Generales</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264,149,921</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270,225,369</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276,981,003</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284,182,509</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291,855,437</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299,735,534</w:t>
            </w:r>
          </w:p>
        </w:tc>
      </w:tr>
      <w:tr w:rsidR="008E6390" w:rsidRPr="002E0CC2" w:rsidTr="008E6390">
        <w:trPr>
          <w:trHeight w:val="67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D.</w:t>
            </w:r>
            <w:r w:rsidRPr="002E0CC2">
              <w:rPr>
                <w:color w:val="000000"/>
                <w:sz w:val="12"/>
                <w:szCs w:val="12"/>
                <w:lang w:val="es-MX" w:eastAsia="es-MX"/>
              </w:rPr>
              <w:t xml:space="preserve">    </w:t>
            </w:r>
            <w:r w:rsidRPr="002E0CC2">
              <w:rPr>
                <w:rFonts w:ascii="Arial" w:hAnsi="Arial" w:cs="Arial"/>
                <w:color w:val="000000"/>
                <w:sz w:val="12"/>
                <w:szCs w:val="12"/>
                <w:lang w:val="es-MX" w:eastAsia="es-MX"/>
              </w:rPr>
              <w:t>Transferencias, Asignaciones, Subsidios y Otras Ayudas</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4,737,321,169</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4,846,279,556</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4,967,436,545</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5,096,589,895</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5,234,197,822</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5,375,521,163</w:t>
            </w:r>
          </w:p>
        </w:tc>
      </w:tr>
      <w:tr w:rsidR="008E6390" w:rsidRPr="002E0CC2" w:rsidTr="008E6390">
        <w:trPr>
          <w:trHeight w:val="510"/>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E.</w:t>
            </w:r>
            <w:r w:rsidRPr="002E0CC2">
              <w:rPr>
                <w:color w:val="000000"/>
                <w:sz w:val="12"/>
                <w:szCs w:val="12"/>
                <w:lang w:val="es-MX" w:eastAsia="es-MX"/>
              </w:rPr>
              <w:t xml:space="preserve">     </w:t>
            </w:r>
            <w:r w:rsidRPr="002E0CC2">
              <w:rPr>
                <w:rFonts w:ascii="Arial" w:hAnsi="Arial" w:cs="Arial"/>
                <w:color w:val="000000"/>
                <w:sz w:val="12"/>
                <w:szCs w:val="12"/>
                <w:lang w:val="es-MX" w:eastAsia="es-MX"/>
              </w:rPr>
              <w:t>Bienes Muebles, Inmuebles e Intangibles</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18,015,850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18,430,215</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18,890,970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19,382,135</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19,905,453</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20,442,900</w:t>
            </w:r>
          </w:p>
        </w:tc>
      </w:tr>
      <w:tr w:rsidR="008E6390" w:rsidRPr="002E0CC2" w:rsidTr="00A12439">
        <w:trPr>
          <w:trHeight w:val="345"/>
          <w:jc w:val="center"/>
        </w:trPr>
        <w:tc>
          <w:tcPr>
            <w:tcW w:w="1691" w:type="dxa"/>
            <w:tcBorders>
              <w:top w:val="nil"/>
              <w:left w:val="single" w:sz="8" w:space="0" w:color="auto"/>
              <w:bottom w:val="single" w:sz="4"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F.</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Inversión Pública</w:t>
            </w:r>
          </w:p>
        </w:tc>
        <w:tc>
          <w:tcPr>
            <w:tcW w:w="891" w:type="dxa"/>
            <w:tcBorders>
              <w:top w:val="nil"/>
              <w:left w:val="nil"/>
              <w:bottom w:val="single" w:sz="4"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554,279,000</w:t>
            </w:r>
          </w:p>
        </w:tc>
        <w:tc>
          <w:tcPr>
            <w:tcW w:w="836" w:type="dxa"/>
            <w:tcBorders>
              <w:top w:val="nil"/>
              <w:left w:val="nil"/>
              <w:bottom w:val="single" w:sz="4"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567,027,417</w:t>
            </w:r>
          </w:p>
        </w:tc>
        <w:tc>
          <w:tcPr>
            <w:tcW w:w="836" w:type="dxa"/>
            <w:tcBorders>
              <w:top w:val="nil"/>
              <w:left w:val="nil"/>
              <w:bottom w:val="single" w:sz="4"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581,203,102</w:t>
            </w:r>
          </w:p>
        </w:tc>
        <w:tc>
          <w:tcPr>
            <w:tcW w:w="836" w:type="dxa"/>
            <w:tcBorders>
              <w:top w:val="nil"/>
              <w:left w:val="nil"/>
              <w:bottom w:val="single" w:sz="4"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596,314,383</w:t>
            </w:r>
          </w:p>
        </w:tc>
        <w:tc>
          <w:tcPr>
            <w:tcW w:w="836" w:type="dxa"/>
            <w:tcBorders>
              <w:top w:val="nil"/>
              <w:left w:val="nil"/>
              <w:bottom w:val="single" w:sz="4"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612,414,871</w:t>
            </w:r>
          </w:p>
        </w:tc>
        <w:tc>
          <w:tcPr>
            <w:tcW w:w="836" w:type="dxa"/>
            <w:tcBorders>
              <w:top w:val="nil"/>
              <w:left w:val="nil"/>
              <w:bottom w:val="single" w:sz="4"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628,950,073</w:t>
            </w:r>
          </w:p>
        </w:tc>
      </w:tr>
      <w:tr w:rsidR="008E6390" w:rsidRPr="002E0CC2" w:rsidTr="00A12439">
        <w:trPr>
          <w:trHeight w:val="510"/>
          <w:jc w:val="center"/>
        </w:trPr>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bookmarkStart w:id="0" w:name="_GoBack"/>
            <w:r w:rsidRPr="002E0CC2">
              <w:rPr>
                <w:rFonts w:ascii="Arial" w:hAnsi="Arial" w:cs="Arial"/>
                <w:color w:val="000000"/>
                <w:sz w:val="12"/>
                <w:szCs w:val="12"/>
                <w:lang w:val="es-MX" w:eastAsia="es-MX"/>
              </w:rPr>
              <w:lastRenderedPageBreak/>
              <w:t>G.</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Inversiones Financieras y Otras Provisiones</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33,218,400</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33,982,423</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34,831,984</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35,737,615</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36,702,531</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37,693,499</w:t>
            </w:r>
          </w:p>
        </w:tc>
      </w:tr>
      <w:bookmarkEnd w:id="0"/>
      <w:tr w:rsidR="008E6390" w:rsidRPr="002E0CC2" w:rsidTr="00A12439">
        <w:trPr>
          <w:trHeight w:val="345"/>
          <w:jc w:val="center"/>
        </w:trPr>
        <w:tc>
          <w:tcPr>
            <w:tcW w:w="169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H.</w:t>
            </w:r>
            <w:r w:rsidRPr="002E0CC2">
              <w:rPr>
                <w:color w:val="000000"/>
                <w:sz w:val="12"/>
                <w:szCs w:val="12"/>
                <w:lang w:val="es-MX" w:eastAsia="es-MX"/>
              </w:rPr>
              <w:t xml:space="preserve">    </w:t>
            </w:r>
            <w:r w:rsidRPr="002E0CC2">
              <w:rPr>
                <w:rFonts w:ascii="Arial" w:hAnsi="Arial" w:cs="Arial"/>
                <w:color w:val="000000"/>
                <w:sz w:val="12"/>
                <w:szCs w:val="12"/>
                <w:lang w:val="es-MX" w:eastAsia="es-MX"/>
              </w:rPr>
              <w:t xml:space="preserve">Participaciones y Aportaciones </w:t>
            </w:r>
          </w:p>
        </w:tc>
        <w:tc>
          <w:tcPr>
            <w:tcW w:w="891" w:type="dxa"/>
            <w:tcBorders>
              <w:top w:val="single" w:sz="4" w:space="0" w:color="auto"/>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2,114,990,367</w:t>
            </w:r>
          </w:p>
        </w:tc>
        <w:tc>
          <w:tcPr>
            <w:tcW w:w="836" w:type="dxa"/>
            <w:tcBorders>
              <w:top w:val="single" w:sz="4" w:space="0" w:color="auto"/>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2,163,635,145</w:t>
            </w:r>
          </w:p>
        </w:tc>
        <w:tc>
          <w:tcPr>
            <w:tcW w:w="836" w:type="dxa"/>
            <w:tcBorders>
              <w:top w:val="single" w:sz="4" w:space="0" w:color="auto"/>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2,217,726,024</w:t>
            </w:r>
          </w:p>
        </w:tc>
        <w:tc>
          <w:tcPr>
            <w:tcW w:w="836" w:type="dxa"/>
            <w:tcBorders>
              <w:top w:val="single" w:sz="4" w:space="0" w:color="auto"/>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2,275,386,901</w:t>
            </w:r>
          </w:p>
        </w:tc>
        <w:tc>
          <w:tcPr>
            <w:tcW w:w="836" w:type="dxa"/>
            <w:tcBorders>
              <w:top w:val="single" w:sz="4" w:space="0" w:color="auto"/>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2,336,822,347</w:t>
            </w:r>
          </w:p>
        </w:tc>
        <w:tc>
          <w:tcPr>
            <w:tcW w:w="836" w:type="dxa"/>
            <w:tcBorders>
              <w:top w:val="single" w:sz="4" w:space="0" w:color="auto"/>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2,399,916,550</w:t>
            </w:r>
          </w:p>
        </w:tc>
      </w:tr>
      <w:tr w:rsidR="008E6390" w:rsidRPr="002E0CC2" w:rsidTr="008E6390">
        <w:trPr>
          <w:trHeight w:val="31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I.</w:t>
            </w:r>
            <w:r w:rsidRPr="002E0CC2">
              <w:rPr>
                <w:color w:val="000000"/>
                <w:sz w:val="12"/>
                <w:szCs w:val="12"/>
                <w:lang w:val="es-MX" w:eastAsia="es-MX"/>
              </w:rPr>
              <w:t xml:space="preserve">      </w:t>
            </w:r>
            <w:r w:rsidRPr="002E0CC2">
              <w:rPr>
                <w:rFonts w:ascii="Arial" w:hAnsi="Arial" w:cs="Arial"/>
                <w:color w:val="000000"/>
                <w:sz w:val="12"/>
                <w:szCs w:val="12"/>
                <w:lang w:val="es-MX" w:eastAsia="es-MX"/>
              </w:rPr>
              <w:t>Deuda Pública</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r>
      <w:tr w:rsidR="008E6390" w:rsidRPr="002E0CC2" w:rsidTr="008E6390">
        <w:trPr>
          <w:trHeight w:val="31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 </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r>
      <w:tr w:rsidR="008E6390" w:rsidRPr="002E0CC2" w:rsidTr="008E6390">
        <w:trPr>
          <w:trHeight w:val="67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2.</w:t>
            </w:r>
            <w:r w:rsidRPr="002E0CC2">
              <w:rPr>
                <w:b/>
                <w:bCs/>
                <w:color w:val="000000"/>
                <w:sz w:val="12"/>
                <w:szCs w:val="12"/>
                <w:lang w:val="es-MX" w:eastAsia="es-MX"/>
              </w:rPr>
              <w:t xml:space="preserve">  </w:t>
            </w:r>
            <w:r w:rsidRPr="002E0CC2">
              <w:rPr>
                <w:rFonts w:ascii="Arial" w:hAnsi="Arial" w:cs="Arial"/>
                <w:b/>
                <w:bCs/>
                <w:color w:val="000000"/>
                <w:sz w:val="12"/>
                <w:szCs w:val="12"/>
                <w:lang w:val="es-MX" w:eastAsia="es-MX"/>
              </w:rPr>
              <w:t>Gasto Etiquetado (2=A+B+C+D+E+F+G+H+I)</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10,320,183,395</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10,557,547,613</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10,821,486,303</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11,102,844,947</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11,402,621,761</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11,710,492,548</w:t>
            </w:r>
          </w:p>
        </w:tc>
      </w:tr>
      <w:tr w:rsidR="008E6390" w:rsidRPr="002E0CC2" w:rsidTr="008E6390">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A.</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Personales</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r>
      <w:tr w:rsidR="008E6390" w:rsidRPr="002E0CC2" w:rsidTr="008E6390">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B.</w:t>
            </w:r>
            <w:r w:rsidRPr="002E0CC2">
              <w:rPr>
                <w:color w:val="000000"/>
                <w:sz w:val="12"/>
                <w:szCs w:val="12"/>
                <w:lang w:val="es-MX" w:eastAsia="es-MX"/>
              </w:rPr>
              <w:t xml:space="preserve">     </w:t>
            </w:r>
            <w:r w:rsidRPr="002E0CC2">
              <w:rPr>
                <w:rFonts w:ascii="Arial" w:hAnsi="Arial" w:cs="Arial"/>
                <w:color w:val="000000"/>
                <w:sz w:val="12"/>
                <w:szCs w:val="12"/>
                <w:lang w:val="es-MX" w:eastAsia="es-MX"/>
              </w:rPr>
              <w:t>Materiales y Suministros</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r>
      <w:tr w:rsidR="008E6390" w:rsidRPr="002E0CC2" w:rsidTr="008E6390">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C.</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Generales</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r>
      <w:tr w:rsidR="008E6390" w:rsidRPr="002E0CC2" w:rsidTr="008E6390">
        <w:trPr>
          <w:trHeight w:val="67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D.</w:t>
            </w:r>
            <w:r w:rsidRPr="002E0CC2">
              <w:rPr>
                <w:color w:val="000000"/>
                <w:sz w:val="12"/>
                <w:szCs w:val="12"/>
                <w:lang w:val="es-MX" w:eastAsia="es-MX"/>
              </w:rPr>
              <w:t xml:space="preserve">    </w:t>
            </w:r>
            <w:r w:rsidRPr="002E0CC2">
              <w:rPr>
                <w:rFonts w:ascii="Arial" w:hAnsi="Arial" w:cs="Arial"/>
                <w:color w:val="000000"/>
                <w:sz w:val="12"/>
                <w:szCs w:val="12"/>
                <w:lang w:val="es-MX" w:eastAsia="es-MX"/>
              </w:rPr>
              <w:t>Transferencias, Asignaciones, Subsidios y Otras Ayudas</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8,038,244,520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8,223,124,144</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8,428,702,248</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8,647,848,506</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8,881,340,416</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9,121,136,607</w:t>
            </w:r>
          </w:p>
        </w:tc>
      </w:tr>
      <w:tr w:rsidR="008E6390" w:rsidRPr="002E0CC2" w:rsidTr="008E6390">
        <w:trPr>
          <w:trHeight w:val="510"/>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E.</w:t>
            </w:r>
            <w:r w:rsidRPr="002E0CC2">
              <w:rPr>
                <w:color w:val="000000"/>
                <w:sz w:val="12"/>
                <w:szCs w:val="12"/>
                <w:lang w:val="es-MX" w:eastAsia="es-MX"/>
              </w:rPr>
              <w:t xml:space="preserve">     </w:t>
            </w:r>
            <w:r w:rsidRPr="002E0CC2">
              <w:rPr>
                <w:rFonts w:ascii="Arial" w:hAnsi="Arial" w:cs="Arial"/>
                <w:color w:val="000000"/>
                <w:sz w:val="12"/>
                <w:szCs w:val="12"/>
                <w:lang w:val="es-MX" w:eastAsia="es-MX"/>
              </w:rPr>
              <w:t>Bienes Muebles, Inmuebles e Intangibles</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r>
      <w:tr w:rsidR="008E6390" w:rsidRPr="002E0CC2" w:rsidTr="008E6390">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F.</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Inversión Pública</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649,277,321</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664,210,699</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680,815,967</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698,517,182</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717,377,146</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736,746,329</w:t>
            </w:r>
          </w:p>
        </w:tc>
      </w:tr>
      <w:tr w:rsidR="008E6390" w:rsidRPr="002E0CC2" w:rsidTr="008E6390">
        <w:trPr>
          <w:trHeight w:val="510"/>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G.</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Inversiones Financieras y Otras Provisiones</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r>
      <w:tr w:rsidR="008E6390" w:rsidRPr="002E0CC2" w:rsidTr="008E6390">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H.</w:t>
            </w:r>
            <w:r w:rsidRPr="002E0CC2">
              <w:rPr>
                <w:color w:val="000000"/>
                <w:sz w:val="12"/>
                <w:szCs w:val="12"/>
                <w:lang w:val="es-MX" w:eastAsia="es-MX"/>
              </w:rPr>
              <w:t xml:space="preserve">    </w:t>
            </w:r>
            <w:r w:rsidRPr="002E0CC2">
              <w:rPr>
                <w:rFonts w:ascii="Arial" w:hAnsi="Arial" w:cs="Arial"/>
                <w:color w:val="000000"/>
                <w:sz w:val="12"/>
                <w:szCs w:val="12"/>
                <w:lang w:val="es-MX" w:eastAsia="es-MX"/>
              </w:rPr>
              <w:t>Participaciones y Aportaciones</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1,632,661,554</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1,670,212,770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1,711,968,089</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1,756,479,259</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1,803,904,199</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1,852,609,613</w:t>
            </w:r>
          </w:p>
        </w:tc>
      </w:tr>
      <w:tr w:rsidR="008E6390" w:rsidRPr="002E0CC2" w:rsidTr="008E6390">
        <w:trPr>
          <w:trHeight w:val="31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I.</w:t>
            </w:r>
            <w:r w:rsidRPr="002E0CC2">
              <w:rPr>
                <w:color w:val="000000"/>
                <w:sz w:val="12"/>
                <w:szCs w:val="12"/>
                <w:lang w:val="es-MX" w:eastAsia="es-MX"/>
              </w:rPr>
              <w:t xml:space="preserve">      </w:t>
            </w:r>
            <w:r w:rsidRPr="002E0CC2">
              <w:rPr>
                <w:rFonts w:ascii="Arial" w:hAnsi="Arial" w:cs="Arial"/>
                <w:color w:val="000000"/>
                <w:sz w:val="12"/>
                <w:szCs w:val="12"/>
                <w:lang w:val="es-MX" w:eastAsia="es-MX"/>
              </w:rPr>
              <w:t>Deuda Pública</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r>
      <w:tr w:rsidR="008E6390" w:rsidRPr="002E0CC2" w:rsidTr="008E6390">
        <w:trPr>
          <w:trHeight w:val="31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 </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r>
      <w:tr w:rsidR="008E6390" w:rsidRPr="002E0CC2" w:rsidTr="008E6390">
        <w:trPr>
          <w:trHeight w:val="67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3.</w:t>
            </w:r>
            <w:r w:rsidRPr="002E0CC2">
              <w:rPr>
                <w:b/>
                <w:bCs/>
                <w:color w:val="000000"/>
                <w:sz w:val="12"/>
                <w:szCs w:val="12"/>
                <w:lang w:val="es-MX" w:eastAsia="es-MX"/>
              </w:rPr>
              <w:t xml:space="preserve">  </w:t>
            </w:r>
            <w:r w:rsidRPr="002E0CC2">
              <w:rPr>
                <w:rFonts w:ascii="Arial" w:hAnsi="Arial" w:cs="Arial"/>
                <w:b/>
                <w:bCs/>
                <w:color w:val="000000"/>
                <w:sz w:val="12"/>
                <w:szCs w:val="12"/>
                <w:lang w:val="es-MX" w:eastAsia="es-MX"/>
              </w:rPr>
              <w:t>Total del Resultado de Egresos (3=1+2)</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20,779,041,842</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21,256,959,804</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21,788,383,799</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22,354,881,778</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22,958,463,586</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23,578,342,103</w:t>
            </w:r>
          </w:p>
        </w:tc>
      </w:tr>
    </w:tbl>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rFonts w:eastAsia="Calibri"/>
          <w:b/>
          <w:bCs/>
          <w:sz w:val="20"/>
          <w:szCs w:val="20"/>
        </w:rPr>
      </w:pPr>
      <w:r w:rsidRPr="00955A4C">
        <w:rPr>
          <w:rFonts w:eastAsia="Calibri"/>
          <w:b/>
          <w:bCs/>
          <w:sz w:val="20"/>
          <w:szCs w:val="20"/>
        </w:rPr>
        <w:t>RIESGOS FISCALES</w:t>
      </w:r>
    </w:p>
    <w:p w:rsidR="008E6390" w:rsidRPr="00955A4C" w:rsidRDefault="008E6390" w:rsidP="008E6390">
      <w:pPr>
        <w:spacing w:line="360" w:lineRule="auto"/>
        <w:jc w:val="both"/>
        <w:rPr>
          <w:rFonts w:eastAsia="Calibri"/>
          <w:b/>
          <w:bCs/>
          <w:sz w:val="20"/>
          <w:szCs w:val="20"/>
        </w:rPr>
      </w:pPr>
    </w:p>
    <w:p w:rsidR="008E6390" w:rsidRPr="00955A4C" w:rsidRDefault="008E6390" w:rsidP="008E6390">
      <w:pPr>
        <w:spacing w:line="360" w:lineRule="auto"/>
        <w:jc w:val="both"/>
        <w:rPr>
          <w:sz w:val="20"/>
          <w:szCs w:val="20"/>
        </w:rPr>
      </w:pPr>
      <w:r w:rsidRPr="00955A4C">
        <w:rPr>
          <w:sz w:val="20"/>
          <w:szCs w:val="20"/>
        </w:rPr>
        <w:t>Los riesgos fiscales de largo plazo para las finanzas públicas del Estado, se pueden definir como obligaciones no transitorias, cuya dinámica depende, entre otros, del desempeño de las variables macroeconómicas en el corto plazo.</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t>De acuerdo con el escenario Macroeconómico se considera que en el periodo 2021-2025 la inflación se ubicará en la meta establecida por el Banco de México de 3.0%. Se supone una ligera depreciación del tipo de cambio nominal en el horizonte previsto congruente con una trayectoria del tipo de cambio real bilateral peso-dólar constante en el periodo 2021-2025 y tomando en cuenta el comportamiento esperado de mediano plazo para la inflación en los Estados Unidos.</w:t>
      </w:r>
      <w:r w:rsidRPr="00955A4C">
        <w:rPr>
          <w:sz w:val="20"/>
          <w:szCs w:val="20"/>
        </w:rPr>
        <w:cr/>
      </w:r>
    </w:p>
    <w:p w:rsidR="008E6390" w:rsidRPr="00955A4C" w:rsidRDefault="008E6390" w:rsidP="008E6390">
      <w:pPr>
        <w:spacing w:line="360" w:lineRule="auto"/>
        <w:jc w:val="both"/>
        <w:rPr>
          <w:sz w:val="20"/>
          <w:szCs w:val="20"/>
        </w:rPr>
      </w:pPr>
      <w:r w:rsidRPr="00955A4C">
        <w:rPr>
          <w:sz w:val="20"/>
          <w:szCs w:val="20"/>
        </w:rPr>
        <w:t>El escenario macroeconómico de mediano plazo está sujeto a riesgos que podrían modificar las trayectorias anticipadas. Dentro de los riesgos a la baja destacan:</w:t>
      </w:r>
    </w:p>
    <w:p w:rsidR="008E6390" w:rsidRPr="00955A4C" w:rsidRDefault="008E6390" w:rsidP="008E6390">
      <w:pPr>
        <w:pStyle w:val="Prrafodelista"/>
        <w:numPr>
          <w:ilvl w:val="1"/>
          <w:numId w:val="12"/>
        </w:numPr>
        <w:spacing w:line="360" w:lineRule="auto"/>
        <w:jc w:val="both"/>
        <w:rPr>
          <w:sz w:val="20"/>
          <w:szCs w:val="20"/>
        </w:rPr>
      </w:pPr>
      <w:r w:rsidRPr="00955A4C">
        <w:rPr>
          <w:sz w:val="20"/>
          <w:szCs w:val="20"/>
        </w:rPr>
        <w:t>Que continúen y se profundicen las tensiones comerciales al punto de generar disrupciones en las cadenas globales de producción, afectando el crecimiento global de mediano plazo.</w:t>
      </w:r>
    </w:p>
    <w:p w:rsidR="008E6390" w:rsidRPr="00955A4C" w:rsidRDefault="008E6390" w:rsidP="008E6390">
      <w:pPr>
        <w:pStyle w:val="Prrafodelista"/>
        <w:numPr>
          <w:ilvl w:val="1"/>
          <w:numId w:val="12"/>
        </w:numPr>
        <w:spacing w:line="360" w:lineRule="auto"/>
        <w:jc w:val="both"/>
        <w:rPr>
          <w:sz w:val="20"/>
          <w:szCs w:val="20"/>
        </w:rPr>
      </w:pPr>
      <w:r w:rsidRPr="00955A4C">
        <w:rPr>
          <w:sz w:val="20"/>
          <w:szCs w:val="20"/>
        </w:rPr>
        <w:t>Una profundización de los riesgos geopolíticos que genere menores perspectivas de crecimiento en la economía mundial.</w:t>
      </w:r>
    </w:p>
    <w:p w:rsidR="008E6390" w:rsidRPr="00955A4C" w:rsidRDefault="008E6390" w:rsidP="008E6390">
      <w:pPr>
        <w:pStyle w:val="Prrafodelista"/>
        <w:numPr>
          <w:ilvl w:val="1"/>
          <w:numId w:val="12"/>
        </w:numPr>
        <w:spacing w:line="360" w:lineRule="auto"/>
        <w:jc w:val="both"/>
        <w:rPr>
          <w:sz w:val="20"/>
          <w:szCs w:val="20"/>
        </w:rPr>
      </w:pPr>
      <w:r w:rsidRPr="00955A4C">
        <w:rPr>
          <w:sz w:val="20"/>
          <w:szCs w:val="20"/>
        </w:rPr>
        <w:t>Una desaceleración de la economía de Estados Unidos más fuerte que la esperada.</w:t>
      </w:r>
    </w:p>
    <w:p w:rsidR="008E6390" w:rsidRPr="00955A4C" w:rsidRDefault="008E6390" w:rsidP="008E6390">
      <w:pPr>
        <w:pStyle w:val="Prrafodelista"/>
        <w:numPr>
          <w:ilvl w:val="1"/>
          <w:numId w:val="12"/>
        </w:numPr>
        <w:spacing w:line="360" w:lineRule="auto"/>
        <w:jc w:val="both"/>
        <w:rPr>
          <w:sz w:val="20"/>
          <w:szCs w:val="20"/>
        </w:rPr>
      </w:pPr>
      <w:r w:rsidRPr="00955A4C">
        <w:rPr>
          <w:sz w:val="20"/>
          <w:szCs w:val="20"/>
        </w:rPr>
        <w:t>Condiciones más restrictivas en los mercados financieros internacionales por los procesos de normalización de las economías avanzadas que afecten la inversión a nivel mundial.</w:t>
      </w:r>
    </w:p>
    <w:p w:rsidR="008E6390" w:rsidRPr="00955A4C" w:rsidRDefault="008E6390" w:rsidP="008E6390">
      <w:pPr>
        <w:spacing w:line="360" w:lineRule="auto"/>
        <w:jc w:val="both"/>
        <w:rPr>
          <w:rFonts w:eastAsia="Calibri"/>
          <w:color w:val="000000" w:themeColor="text1"/>
          <w:sz w:val="20"/>
          <w:szCs w:val="20"/>
        </w:rPr>
      </w:pPr>
    </w:p>
    <w:p w:rsidR="008E6390" w:rsidRPr="00955A4C" w:rsidRDefault="008E6390" w:rsidP="008E6390">
      <w:pPr>
        <w:spacing w:line="360" w:lineRule="auto"/>
        <w:jc w:val="both"/>
        <w:rPr>
          <w:rFonts w:eastAsia="Calibri"/>
          <w:color w:val="000000" w:themeColor="text1"/>
          <w:sz w:val="20"/>
          <w:szCs w:val="20"/>
        </w:rPr>
      </w:pPr>
      <w:r w:rsidRPr="00955A4C">
        <w:rPr>
          <w:rFonts w:eastAsia="Calibri"/>
          <w:color w:val="000000" w:themeColor="text1"/>
          <w:sz w:val="20"/>
          <w:szCs w:val="20"/>
        </w:rPr>
        <w:t>En consecuencia, el diseño e implementación de la política fiscal debe considerar los riesgos de mediano y largo plazos. A continuación se presentan los principales factores estatales que podrían tener un impacto en las finanzas públicas y las acciones que se han tomado para evitar que se conviertan en un riesgo para las finanzas públicas del Estado.</w:t>
      </w:r>
    </w:p>
    <w:p w:rsidR="008E6390" w:rsidRPr="00955A4C" w:rsidRDefault="008E6390" w:rsidP="008E6390">
      <w:pPr>
        <w:spacing w:line="360" w:lineRule="auto"/>
        <w:jc w:val="both"/>
        <w:rPr>
          <w:rFonts w:eastAsia="Calibri"/>
          <w:color w:val="000000" w:themeColor="text1"/>
          <w:sz w:val="20"/>
          <w:szCs w:val="20"/>
        </w:rPr>
      </w:pPr>
    </w:p>
    <w:p w:rsidR="008E6390" w:rsidRPr="00955A4C" w:rsidRDefault="008E6390" w:rsidP="008E6390">
      <w:pPr>
        <w:spacing w:line="360" w:lineRule="auto"/>
        <w:jc w:val="both"/>
        <w:rPr>
          <w:b/>
          <w:sz w:val="20"/>
          <w:szCs w:val="20"/>
        </w:rPr>
      </w:pPr>
      <w:r w:rsidRPr="00955A4C">
        <w:rPr>
          <w:b/>
          <w:sz w:val="20"/>
          <w:szCs w:val="20"/>
        </w:rPr>
        <w:t>P</w:t>
      </w:r>
      <w:r w:rsidR="001C6AC8">
        <w:rPr>
          <w:b/>
          <w:sz w:val="20"/>
          <w:szCs w:val="20"/>
        </w:rPr>
        <w:t>ensiones y Jubilaciones</w:t>
      </w:r>
    </w:p>
    <w:p w:rsidR="008E6390" w:rsidRPr="00955A4C" w:rsidRDefault="008E6390" w:rsidP="008E6390">
      <w:pPr>
        <w:spacing w:line="360" w:lineRule="auto"/>
        <w:jc w:val="both"/>
        <w:rPr>
          <w:b/>
          <w:sz w:val="20"/>
          <w:szCs w:val="20"/>
        </w:rPr>
      </w:pPr>
    </w:p>
    <w:p w:rsidR="008E6390" w:rsidRPr="00955A4C" w:rsidRDefault="008E6390" w:rsidP="008E6390">
      <w:pPr>
        <w:spacing w:line="360" w:lineRule="auto"/>
        <w:jc w:val="both"/>
        <w:rPr>
          <w:sz w:val="20"/>
          <w:szCs w:val="20"/>
        </w:rPr>
      </w:pPr>
      <w:r w:rsidRPr="00955A4C">
        <w:rPr>
          <w:sz w:val="20"/>
          <w:szCs w:val="20"/>
        </w:rPr>
        <w:t xml:space="preserve">Pensiones Civiles del Estado de Tlaxcala es un Organismo Público Descentralizado, con personalidad jurídica y patrimonio propio; su organización y funcionamiento se rigen por su propia Ley, y tiene por </w:t>
      </w:r>
      <w:r w:rsidRPr="00955A4C">
        <w:rPr>
          <w:sz w:val="20"/>
          <w:szCs w:val="20"/>
        </w:rPr>
        <w:lastRenderedPageBreak/>
        <w:t xml:space="preserve">objeto, establecer un régimen de protección </w:t>
      </w:r>
      <w:proofErr w:type="gramStart"/>
      <w:r w:rsidRPr="00955A4C">
        <w:rPr>
          <w:sz w:val="20"/>
          <w:szCs w:val="20"/>
        </w:rPr>
        <w:t>económica  a</w:t>
      </w:r>
      <w:proofErr w:type="gramEnd"/>
      <w:r w:rsidRPr="00955A4C">
        <w:rPr>
          <w:sz w:val="20"/>
          <w:szCs w:val="20"/>
        </w:rPr>
        <w:t xml:space="preserve"> los servidores públicos de los tres Poderes del Estado de Tlaxcala, los municipios y las entidades de la administración pública estatal que coticen a la Institución, así como, a los jubilados y pensionados.</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t>En el año 1958 surge la Dirección de Pensiones Civiles del Estado de Tlaxcala, y se emitió la Ley de materia, que contienen las prestaciones originales: Pensiones directas para los trabajadores, obtención de préstamos a corto plazo, obtención de préstamos hipotecarios, lograr en propiedad o arrendamiento casas o terrenos propiedad de la Dirección de Pensiones Civiles y devolución de los descuentos hechos a funcionarios o empleados comprometidos en la Ley de Pensiones Civiles cuando los mismos se separen del servicio.</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t>En el año 1974, se emitió una nueva Ley de Pensiones para el Estado de Tlaxcala, la cual adicionó a su contenido el Seguro de Vida.</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t>Posteriormente para el año de 1984, se emitió una Ley, la cual presenta cambios notables en cuanto a prestaciones siendo las siguientes: Jubilación, Seguro de Vida, Pensión de vejez, pensión por muerte, pago de póstumo a los servidores públicos, pensionados y jubilados, préstamo a corto plazo, préstamo hipotecario, crédito para adquisición de casa o terreno para su construcción destinada a la habitación familiar del servicio público.</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t xml:space="preserve">Después de algunas vicisitudes en el año 2013, entró en vigor la nueva Ley de Pensiones Civiles del Estado de Tlaxcala, producto de depurar las prestaciones y servicios que proporciona la Institución, establece un proyecto innovador el cual consiste en dos regímenes pensionarios debidamente limitados siendo los siguientes: </w:t>
      </w:r>
    </w:p>
    <w:p w:rsidR="008E6390" w:rsidRPr="00955A4C" w:rsidRDefault="008E6390" w:rsidP="008E6390">
      <w:pPr>
        <w:spacing w:line="360" w:lineRule="auto"/>
        <w:jc w:val="both"/>
        <w:rPr>
          <w:sz w:val="20"/>
          <w:szCs w:val="20"/>
        </w:rPr>
      </w:pPr>
    </w:p>
    <w:p w:rsidR="008E6390" w:rsidRPr="00955A4C" w:rsidRDefault="008E6390" w:rsidP="008E6390">
      <w:pPr>
        <w:pStyle w:val="Prrafodelista"/>
        <w:numPr>
          <w:ilvl w:val="0"/>
          <w:numId w:val="13"/>
        </w:numPr>
        <w:spacing w:line="360" w:lineRule="auto"/>
        <w:jc w:val="both"/>
        <w:rPr>
          <w:sz w:val="20"/>
          <w:szCs w:val="20"/>
        </w:rPr>
      </w:pPr>
      <w:r w:rsidRPr="00955A4C">
        <w:rPr>
          <w:sz w:val="20"/>
          <w:szCs w:val="20"/>
        </w:rPr>
        <w:t>Libro A: Régimen Temporal de Reparto</w:t>
      </w:r>
    </w:p>
    <w:p w:rsidR="008E6390" w:rsidRPr="00955A4C" w:rsidRDefault="008E6390" w:rsidP="008E6390">
      <w:pPr>
        <w:pStyle w:val="Prrafodelista"/>
        <w:numPr>
          <w:ilvl w:val="0"/>
          <w:numId w:val="13"/>
        </w:numPr>
        <w:spacing w:line="360" w:lineRule="auto"/>
        <w:jc w:val="both"/>
        <w:rPr>
          <w:sz w:val="20"/>
          <w:szCs w:val="20"/>
        </w:rPr>
      </w:pPr>
      <w:r w:rsidRPr="00955A4C">
        <w:rPr>
          <w:sz w:val="20"/>
          <w:szCs w:val="20"/>
        </w:rPr>
        <w:t>Libro B: Régimen Permanente de Ahorro Personal</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lastRenderedPageBreak/>
        <w:t xml:space="preserve">A pesar de las diferentes medidas de los anteriores gobiernos para que no se paralicen las funciones que le dan identidad a la Institución y los derechohabientes continúen siendo atendidos hasta en tanto las </w:t>
      </w:r>
      <w:proofErr w:type="gramStart"/>
      <w:r w:rsidRPr="00955A4C">
        <w:rPr>
          <w:sz w:val="20"/>
          <w:szCs w:val="20"/>
        </w:rPr>
        <w:t>condiciones  económicas</w:t>
      </w:r>
      <w:proofErr w:type="gramEnd"/>
      <w:r w:rsidRPr="00955A4C">
        <w:rPr>
          <w:sz w:val="20"/>
          <w:szCs w:val="20"/>
        </w:rPr>
        <w:t xml:space="preserve"> del Estado de Tlaxcala lo hayan permitido; no ha sido suficientes los esfuerzos y medidas tomadas.</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t xml:space="preserve">Por todo lo anterior, para este Proyecto de Presupuesto 2020, se considera un incremento de 21.6 </w:t>
      </w:r>
      <w:proofErr w:type="spellStart"/>
      <w:r w:rsidRPr="00955A4C">
        <w:rPr>
          <w:sz w:val="20"/>
          <w:szCs w:val="20"/>
        </w:rPr>
        <w:t>mdp</w:t>
      </w:r>
      <w:proofErr w:type="spellEnd"/>
      <w:r w:rsidRPr="00955A4C">
        <w:rPr>
          <w:sz w:val="20"/>
          <w:szCs w:val="20"/>
        </w:rPr>
        <w:t xml:space="preserve"> para dicho concepto de Aportación a Pensiones y un Fondo para el Fortalecimiento de Pensiones Civiles de 100.0 </w:t>
      </w:r>
      <w:proofErr w:type="spellStart"/>
      <w:r w:rsidRPr="00955A4C">
        <w:rPr>
          <w:sz w:val="20"/>
          <w:szCs w:val="20"/>
        </w:rPr>
        <w:t>mdp</w:t>
      </w:r>
      <w:proofErr w:type="spellEnd"/>
      <w:r w:rsidRPr="00955A4C">
        <w:rPr>
          <w:sz w:val="20"/>
          <w:szCs w:val="20"/>
        </w:rPr>
        <w:t>, dicho fondo estará sujeta a que se cumplan los pronósticos de ingresos y recaudación de la Secretaría de Hacienda y Crédito Público y el Estado reciba los recursos de participaciones federales.</w:t>
      </w:r>
    </w:p>
    <w:p w:rsidR="008E6390" w:rsidRPr="00955A4C" w:rsidRDefault="008E6390" w:rsidP="008E6390">
      <w:pPr>
        <w:spacing w:line="360" w:lineRule="auto"/>
        <w:jc w:val="both"/>
        <w:rPr>
          <w:sz w:val="20"/>
          <w:szCs w:val="20"/>
        </w:rPr>
      </w:pPr>
    </w:p>
    <w:p w:rsidR="008E6390" w:rsidRDefault="008E6390" w:rsidP="008E6390">
      <w:pPr>
        <w:spacing w:line="360" w:lineRule="auto"/>
        <w:jc w:val="both"/>
        <w:rPr>
          <w:sz w:val="20"/>
          <w:szCs w:val="20"/>
        </w:rPr>
      </w:pPr>
      <w:r w:rsidRPr="00955A4C">
        <w:rPr>
          <w:sz w:val="20"/>
          <w:szCs w:val="20"/>
        </w:rPr>
        <w:t>De acuerdo al último estudio actuarial de las pensiones del Estado de Tlaxcala</w:t>
      </w:r>
      <w:r w:rsidRPr="00955A4C">
        <w:rPr>
          <w:b/>
          <w:sz w:val="20"/>
          <w:szCs w:val="20"/>
          <w:vertAlign w:val="superscript"/>
        </w:rPr>
        <w:footnoteReference w:id="2"/>
      </w:r>
      <w:r w:rsidRPr="00955A4C">
        <w:rPr>
          <w:sz w:val="20"/>
          <w:szCs w:val="20"/>
        </w:rPr>
        <w:t>, correspondiente al ejercicio fiscal 2018 y con una vigencia al ejercicio 2021 se tiene una reserva actuarial de 348.01 millones de pesos, con una población afiliada activa de 8,038 trabajadores y 2,014 pensionados, como a continuación se presenta:</w:t>
      </w:r>
    </w:p>
    <w:p w:rsidR="008E6390" w:rsidRPr="00955A4C" w:rsidRDefault="008E6390" w:rsidP="008E6390">
      <w:pPr>
        <w:spacing w:line="360" w:lineRule="auto"/>
        <w:jc w:val="both"/>
        <w:rPr>
          <w:sz w:val="20"/>
          <w:szCs w:val="20"/>
        </w:rPr>
      </w:pPr>
    </w:p>
    <w:p w:rsidR="008E6390" w:rsidRDefault="008E6390" w:rsidP="008E6390">
      <w:pPr>
        <w:spacing w:line="360" w:lineRule="auto"/>
        <w:jc w:val="center"/>
        <w:rPr>
          <w:noProof/>
          <w:lang w:val="es-MX" w:eastAsia="es-MX"/>
        </w:rPr>
      </w:pPr>
      <w:r w:rsidRPr="00955A4C">
        <w:rPr>
          <w:b/>
          <w:sz w:val="20"/>
          <w:szCs w:val="20"/>
        </w:rPr>
        <w:t>Estudio Actuarial de Pensiones</w:t>
      </w:r>
    </w:p>
    <w:p w:rsidR="008E6390" w:rsidRDefault="008E6390" w:rsidP="008E6390">
      <w:pPr>
        <w:spacing w:line="360" w:lineRule="auto"/>
        <w:jc w:val="center"/>
        <w:rPr>
          <w:b/>
          <w:sz w:val="20"/>
          <w:szCs w:val="20"/>
        </w:rPr>
      </w:pPr>
      <w:r>
        <w:rPr>
          <w:noProof/>
          <w:lang w:val="es-MX" w:eastAsia="es-MX"/>
        </w:rPr>
        <w:lastRenderedPageBreak/>
        <w:drawing>
          <wp:inline distT="0" distB="0" distL="0" distR="0" wp14:anchorId="10999F92" wp14:editId="708B62E7">
            <wp:extent cx="4819015" cy="3924300"/>
            <wp:effectExtent l="0" t="0" r="635" b="0"/>
            <wp:docPr id="10" name="Imagen 10"/>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36"/>
                    <a:srcRect l="31370" t="12097" r="31147" b="47990"/>
                    <a:stretch/>
                  </pic:blipFill>
                  <pic:spPr bwMode="auto">
                    <a:xfrm>
                      <a:off x="0" y="0"/>
                      <a:ext cx="4830830" cy="3933921"/>
                    </a:xfrm>
                    <a:prstGeom prst="rect">
                      <a:avLst/>
                    </a:prstGeom>
                    <a:ln>
                      <a:noFill/>
                    </a:ln>
                    <a:extLst>
                      <a:ext uri="{53640926-AAD7-44D8-BBD7-CCE9431645EC}">
                        <a14:shadowObscured xmlns:a14="http://schemas.microsoft.com/office/drawing/2010/main"/>
                      </a:ext>
                    </a:extLst>
                  </pic:spPr>
                </pic:pic>
              </a:graphicData>
            </a:graphic>
          </wp:inline>
        </w:drawing>
      </w:r>
    </w:p>
    <w:p w:rsidR="008E6390" w:rsidRDefault="008E6390" w:rsidP="008E6390">
      <w:pPr>
        <w:spacing w:line="360" w:lineRule="auto"/>
        <w:jc w:val="center"/>
        <w:rPr>
          <w:b/>
          <w:sz w:val="20"/>
          <w:szCs w:val="20"/>
        </w:rPr>
      </w:pPr>
      <w:r>
        <w:rPr>
          <w:noProof/>
          <w:lang w:val="es-MX" w:eastAsia="es-MX"/>
        </w:rPr>
        <w:drawing>
          <wp:inline distT="0" distB="0" distL="0" distR="0" wp14:anchorId="2E5E20F8" wp14:editId="6C23970B">
            <wp:extent cx="4761865" cy="476250"/>
            <wp:effectExtent l="0" t="0" r="635" b="0"/>
            <wp:docPr id="16" name="Imagen 16"/>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36"/>
                    <a:srcRect l="31370" t="88470" r="31147" b="4625"/>
                    <a:stretch/>
                  </pic:blipFill>
                  <pic:spPr bwMode="auto">
                    <a:xfrm>
                      <a:off x="0" y="0"/>
                      <a:ext cx="4773521" cy="477416"/>
                    </a:xfrm>
                    <a:prstGeom prst="rect">
                      <a:avLst/>
                    </a:prstGeom>
                    <a:ln>
                      <a:noFill/>
                    </a:ln>
                    <a:extLst>
                      <a:ext uri="{53640926-AAD7-44D8-BBD7-CCE9431645EC}">
                        <a14:shadowObscured xmlns:a14="http://schemas.microsoft.com/office/drawing/2010/main"/>
                      </a:ext>
                    </a:extLst>
                  </pic:spPr>
                </pic:pic>
              </a:graphicData>
            </a:graphic>
          </wp:inline>
        </w:drawing>
      </w:r>
    </w:p>
    <w:p w:rsidR="008E6390" w:rsidRDefault="008E6390" w:rsidP="008E6390">
      <w:pPr>
        <w:spacing w:line="360" w:lineRule="auto"/>
        <w:jc w:val="center"/>
        <w:rPr>
          <w:b/>
          <w:sz w:val="20"/>
          <w:szCs w:val="20"/>
        </w:rPr>
      </w:pPr>
      <w:r>
        <w:rPr>
          <w:noProof/>
          <w:lang w:val="es-MX" w:eastAsia="es-MX"/>
        </w:rPr>
        <w:lastRenderedPageBreak/>
        <w:drawing>
          <wp:inline distT="0" distB="0" distL="0" distR="0" wp14:anchorId="2C666FBE" wp14:editId="70D9917B">
            <wp:extent cx="4972050" cy="3133725"/>
            <wp:effectExtent l="0" t="0" r="0" b="9525"/>
            <wp:docPr id="18" name="Imagen 18"/>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36"/>
                    <a:srcRect l="31370" t="51870" r="31147" b="12353"/>
                    <a:stretch/>
                  </pic:blipFill>
                  <pic:spPr bwMode="auto">
                    <a:xfrm>
                      <a:off x="0" y="0"/>
                      <a:ext cx="4985560" cy="3142240"/>
                    </a:xfrm>
                    <a:prstGeom prst="rect">
                      <a:avLst/>
                    </a:prstGeom>
                    <a:ln>
                      <a:noFill/>
                    </a:ln>
                    <a:extLst>
                      <a:ext uri="{53640926-AAD7-44D8-BBD7-CCE9431645EC}">
                        <a14:shadowObscured xmlns:a14="http://schemas.microsoft.com/office/drawing/2010/main"/>
                      </a:ext>
                    </a:extLst>
                  </pic:spPr>
                </pic:pic>
              </a:graphicData>
            </a:graphic>
          </wp:inline>
        </w:drawing>
      </w:r>
    </w:p>
    <w:p w:rsidR="008E6390" w:rsidRDefault="008E6390" w:rsidP="008E6390">
      <w:pPr>
        <w:spacing w:line="360" w:lineRule="auto"/>
        <w:jc w:val="center"/>
        <w:rPr>
          <w:b/>
          <w:sz w:val="20"/>
          <w:szCs w:val="20"/>
        </w:rPr>
      </w:pPr>
      <w:r>
        <w:rPr>
          <w:noProof/>
          <w:lang w:val="es-MX" w:eastAsia="es-MX"/>
        </w:rPr>
        <w:lastRenderedPageBreak/>
        <w:drawing>
          <wp:inline distT="0" distB="0" distL="0" distR="0" wp14:anchorId="65AF0422" wp14:editId="063E6E49">
            <wp:extent cx="4972050" cy="2914650"/>
            <wp:effectExtent l="0" t="0" r="0" b="0"/>
            <wp:docPr id="14" name="Imagen 14"/>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37"/>
                    <a:srcRect l="32523" t="10457" r="29764" b="57140"/>
                    <a:stretch/>
                  </pic:blipFill>
                  <pic:spPr bwMode="auto">
                    <a:xfrm>
                      <a:off x="0" y="0"/>
                      <a:ext cx="4978181" cy="2918244"/>
                    </a:xfrm>
                    <a:prstGeom prst="rect">
                      <a:avLst/>
                    </a:prstGeom>
                    <a:ln>
                      <a:noFill/>
                    </a:ln>
                    <a:extLst>
                      <a:ext uri="{53640926-AAD7-44D8-BBD7-CCE9431645EC}">
                        <a14:shadowObscured xmlns:a14="http://schemas.microsoft.com/office/drawing/2010/main"/>
                      </a:ext>
                    </a:extLst>
                  </pic:spPr>
                </pic:pic>
              </a:graphicData>
            </a:graphic>
          </wp:inline>
        </w:drawing>
      </w:r>
    </w:p>
    <w:p w:rsidR="008E6390" w:rsidRDefault="008E6390" w:rsidP="008E6390">
      <w:pPr>
        <w:spacing w:line="360" w:lineRule="auto"/>
        <w:jc w:val="center"/>
        <w:rPr>
          <w:b/>
          <w:sz w:val="20"/>
          <w:szCs w:val="20"/>
        </w:rPr>
      </w:pPr>
      <w:r>
        <w:rPr>
          <w:noProof/>
          <w:lang w:val="es-MX" w:eastAsia="es-MX"/>
        </w:rPr>
        <w:lastRenderedPageBreak/>
        <w:drawing>
          <wp:inline distT="0" distB="0" distL="0" distR="0" wp14:anchorId="2419A982" wp14:editId="0788A28B">
            <wp:extent cx="4944745" cy="4076700"/>
            <wp:effectExtent l="0" t="0" r="8255" b="0"/>
            <wp:docPr id="20" name="Imagen 20"/>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37"/>
                    <a:srcRect l="32523" t="42090" r="29764" b="5834"/>
                    <a:stretch/>
                  </pic:blipFill>
                  <pic:spPr bwMode="auto">
                    <a:xfrm>
                      <a:off x="0" y="0"/>
                      <a:ext cx="4950845" cy="4081729"/>
                    </a:xfrm>
                    <a:prstGeom prst="rect">
                      <a:avLst/>
                    </a:prstGeom>
                    <a:ln>
                      <a:noFill/>
                    </a:ln>
                    <a:extLst>
                      <a:ext uri="{53640926-AAD7-44D8-BBD7-CCE9431645EC}">
                        <a14:shadowObscured xmlns:a14="http://schemas.microsoft.com/office/drawing/2010/main"/>
                      </a:ext>
                    </a:extLst>
                  </pic:spPr>
                </pic:pic>
              </a:graphicData>
            </a:graphic>
          </wp:inline>
        </w:drawing>
      </w:r>
    </w:p>
    <w:p w:rsidR="008E6390" w:rsidRDefault="008E6390" w:rsidP="008E6390">
      <w:pPr>
        <w:spacing w:line="360" w:lineRule="auto"/>
        <w:jc w:val="center"/>
        <w:rPr>
          <w:noProof/>
          <w:lang w:val="es-MX" w:eastAsia="es-MX"/>
        </w:rPr>
      </w:pPr>
      <w:r>
        <w:rPr>
          <w:noProof/>
          <w:lang w:val="es-MX" w:eastAsia="es-MX"/>
        </w:rPr>
        <w:drawing>
          <wp:inline distT="0" distB="0" distL="0" distR="0" wp14:anchorId="1FD05875" wp14:editId="16DE4F8E">
            <wp:extent cx="5142230" cy="1238250"/>
            <wp:effectExtent l="0" t="0" r="1270" b="0"/>
            <wp:docPr id="22" name="Imagen 22"/>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38"/>
                    <a:srcRect l="33677" t="19683" r="31378" b="66617"/>
                    <a:stretch/>
                  </pic:blipFill>
                  <pic:spPr bwMode="auto">
                    <a:xfrm>
                      <a:off x="0" y="0"/>
                      <a:ext cx="5143505" cy="1238557"/>
                    </a:xfrm>
                    <a:prstGeom prst="rect">
                      <a:avLst/>
                    </a:prstGeom>
                    <a:ln>
                      <a:noFill/>
                    </a:ln>
                    <a:extLst>
                      <a:ext uri="{53640926-AAD7-44D8-BBD7-CCE9431645EC}">
                        <a14:shadowObscured xmlns:a14="http://schemas.microsoft.com/office/drawing/2010/main"/>
                      </a:ext>
                    </a:extLst>
                  </pic:spPr>
                </pic:pic>
              </a:graphicData>
            </a:graphic>
          </wp:inline>
        </w:drawing>
      </w:r>
    </w:p>
    <w:p w:rsidR="008E6390" w:rsidRDefault="008E6390" w:rsidP="008E6390">
      <w:pPr>
        <w:spacing w:line="360" w:lineRule="auto"/>
        <w:jc w:val="center"/>
        <w:rPr>
          <w:b/>
          <w:sz w:val="20"/>
          <w:szCs w:val="20"/>
        </w:rPr>
      </w:pPr>
      <w:r>
        <w:rPr>
          <w:noProof/>
          <w:lang w:val="es-MX" w:eastAsia="es-MX"/>
        </w:rPr>
        <w:lastRenderedPageBreak/>
        <w:drawing>
          <wp:inline distT="0" distB="0" distL="0" distR="0" wp14:anchorId="699EC643" wp14:editId="0B28E3B7">
            <wp:extent cx="5410200" cy="3171825"/>
            <wp:effectExtent l="0" t="0" r="0" b="9525"/>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38"/>
                    <a:srcRect l="33677" t="32713" r="31378" b="27662"/>
                    <a:stretch/>
                  </pic:blipFill>
                  <pic:spPr bwMode="auto">
                    <a:xfrm>
                      <a:off x="0" y="0"/>
                      <a:ext cx="5411540" cy="3172611"/>
                    </a:xfrm>
                    <a:prstGeom prst="rect">
                      <a:avLst/>
                    </a:prstGeom>
                    <a:ln>
                      <a:noFill/>
                    </a:ln>
                    <a:extLst>
                      <a:ext uri="{53640926-AAD7-44D8-BBD7-CCE9431645EC}">
                        <a14:shadowObscured xmlns:a14="http://schemas.microsoft.com/office/drawing/2010/main"/>
                      </a:ext>
                    </a:extLst>
                  </pic:spPr>
                </pic:pic>
              </a:graphicData>
            </a:graphic>
          </wp:inline>
        </w:drawing>
      </w:r>
    </w:p>
    <w:p w:rsidR="008E6390" w:rsidRPr="00955A4C" w:rsidRDefault="008E6390" w:rsidP="008E6390">
      <w:pPr>
        <w:spacing w:line="360" w:lineRule="auto"/>
        <w:jc w:val="center"/>
        <w:rPr>
          <w:sz w:val="20"/>
          <w:szCs w:val="20"/>
        </w:rPr>
      </w:pPr>
      <w:r w:rsidRPr="00955A4C">
        <w:rPr>
          <w:noProof/>
          <w:sz w:val="20"/>
          <w:szCs w:val="20"/>
          <w:lang w:val="es-MX" w:eastAsia="es-MX"/>
        </w:rPr>
        <w:drawing>
          <wp:inline distT="0" distB="0" distL="0" distR="0" wp14:anchorId="3AB4A21F" wp14:editId="3EBC5368">
            <wp:extent cx="5172075" cy="2799298"/>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563" t="9816" r="26647" b="47026"/>
                    <a:stretch/>
                  </pic:blipFill>
                  <pic:spPr bwMode="auto">
                    <a:xfrm>
                      <a:off x="0" y="0"/>
                      <a:ext cx="5240326" cy="2836238"/>
                    </a:xfrm>
                    <a:prstGeom prst="rect">
                      <a:avLst/>
                    </a:prstGeom>
                    <a:ln>
                      <a:noFill/>
                    </a:ln>
                    <a:extLst>
                      <a:ext uri="{53640926-AAD7-44D8-BBD7-CCE9431645EC}">
                        <a14:shadowObscured xmlns:a14="http://schemas.microsoft.com/office/drawing/2010/main"/>
                      </a:ext>
                    </a:extLst>
                  </pic:spPr>
                </pic:pic>
              </a:graphicData>
            </a:graphic>
          </wp:inline>
        </w:drawing>
      </w:r>
    </w:p>
    <w:p w:rsidR="008E6390" w:rsidRPr="00955A4C" w:rsidRDefault="008E6390" w:rsidP="008E6390">
      <w:pPr>
        <w:spacing w:line="360" w:lineRule="auto"/>
        <w:jc w:val="center"/>
        <w:rPr>
          <w:sz w:val="20"/>
          <w:szCs w:val="20"/>
        </w:rPr>
      </w:pPr>
      <w:r w:rsidRPr="00955A4C">
        <w:rPr>
          <w:noProof/>
          <w:sz w:val="20"/>
          <w:szCs w:val="20"/>
          <w:lang w:val="es-MX" w:eastAsia="es-MX"/>
        </w:rPr>
        <w:lastRenderedPageBreak/>
        <w:drawing>
          <wp:inline distT="0" distB="0" distL="0" distR="0" wp14:anchorId="59D895F2" wp14:editId="64FD4498">
            <wp:extent cx="5171312" cy="2775005"/>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0650" t="29076" r="26672" b="40490"/>
                    <a:stretch/>
                  </pic:blipFill>
                  <pic:spPr bwMode="auto">
                    <a:xfrm>
                      <a:off x="0" y="0"/>
                      <a:ext cx="5268122" cy="2826955"/>
                    </a:xfrm>
                    <a:prstGeom prst="rect">
                      <a:avLst/>
                    </a:prstGeom>
                    <a:ln>
                      <a:noFill/>
                    </a:ln>
                    <a:extLst>
                      <a:ext uri="{53640926-AAD7-44D8-BBD7-CCE9431645EC}">
                        <a14:shadowObscured xmlns:a14="http://schemas.microsoft.com/office/drawing/2010/main"/>
                      </a:ext>
                    </a:extLst>
                  </pic:spPr>
                </pic:pic>
              </a:graphicData>
            </a:graphic>
          </wp:inline>
        </w:drawing>
      </w:r>
    </w:p>
    <w:p w:rsidR="008E6390" w:rsidRPr="00955A4C" w:rsidRDefault="008E6390" w:rsidP="008E6390">
      <w:pPr>
        <w:spacing w:line="360" w:lineRule="auto"/>
        <w:jc w:val="center"/>
        <w:rPr>
          <w:sz w:val="20"/>
          <w:szCs w:val="20"/>
        </w:rPr>
      </w:pPr>
      <w:r w:rsidRPr="00955A4C">
        <w:rPr>
          <w:noProof/>
          <w:sz w:val="20"/>
          <w:szCs w:val="20"/>
          <w:lang w:val="es-MX" w:eastAsia="es-MX"/>
        </w:rPr>
        <w:drawing>
          <wp:inline distT="0" distB="0" distL="0" distR="0" wp14:anchorId="633D79B2" wp14:editId="487292E1">
            <wp:extent cx="5145286" cy="1900361"/>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761" t="37548" r="37718" b="43959"/>
                    <a:stretch/>
                  </pic:blipFill>
                  <pic:spPr bwMode="auto">
                    <a:xfrm>
                      <a:off x="0" y="0"/>
                      <a:ext cx="5412191" cy="1998940"/>
                    </a:xfrm>
                    <a:prstGeom prst="rect">
                      <a:avLst/>
                    </a:prstGeom>
                    <a:ln>
                      <a:noFill/>
                    </a:ln>
                    <a:extLst>
                      <a:ext uri="{53640926-AAD7-44D8-BBD7-CCE9431645EC}">
                        <a14:shadowObscured xmlns:a14="http://schemas.microsoft.com/office/drawing/2010/main"/>
                      </a:ext>
                    </a:extLst>
                  </pic:spPr>
                </pic:pic>
              </a:graphicData>
            </a:graphic>
          </wp:inline>
        </w:drawing>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t xml:space="preserve">Con la finalidad de coadyuvar en el saneamiento de las Pensiones Civiles del Estado de Tlaxcala, el Ejecutivo del Estado ha otorgado a la fecha aportaciones extraordinarias a Pensiones Civiles del Estado por un importe estimado de </w:t>
      </w:r>
      <w:r>
        <w:rPr>
          <w:sz w:val="20"/>
          <w:szCs w:val="20"/>
        </w:rPr>
        <w:t>606</w:t>
      </w:r>
      <w:r w:rsidRPr="00955A4C">
        <w:rPr>
          <w:sz w:val="20"/>
          <w:szCs w:val="20"/>
        </w:rPr>
        <w:t>.0 millones de pesos al cierre de 2019.</w:t>
      </w:r>
    </w:p>
    <w:p w:rsidR="008E6390" w:rsidRPr="00955A4C" w:rsidRDefault="008E6390" w:rsidP="008E6390">
      <w:pPr>
        <w:spacing w:line="360" w:lineRule="auto"/>
        <w:jc w:val="both"/>
        <w:rPr>
          <w:sz w:val="20"/>
          <w:szCs w:val="20"/>
        </w:rPr>
      </w:pPr>
    </w:p>
    <w:tbl>
      <w:tblPr>
        <w:tblW w:w="3640" w:type="dxa"/>
        <w:jc w:val="center"/>
        <w:tblCellMar>
          <w:left w:w="70" w:type="dxa"/>
          <w:right w:w="70" w:type="dxa"/>
        </w:tblCellMar>
        <w:tblLook w:val="04A0" w:firstRow="1" w:lastRow="0" w:firstColumn="1" w:lastColumn="0" w:noHBand="0" w:noVBand="1"/>
      </w:tblPr>
      <w:tblGrid>
        <w:gridCol w:w="1560"/>
        <w:gridCol w:w="2080"/>
      </w:tblGrid>
      <w:tr w:rsidR="008E6390" w:rsidRPr="00955A4C" w:rsidTr="008E6390">
        <w:trPr>
          <w:trHeight w:val="839"/>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8E6390" w:rsidRPr="00955A4C" w:rsidRDefault="008E6390" w:rsidP="008E6390">
            <w:pPr>
              <w:spacing w:line="360" w:lineRule="auto"/>
              <w:jc w:val="center"/>
              <w:rPr>
                <w:b/>
                <w:bCs/>
                <w:color w:val="000000"/>
                <w:sz w:val="20"/>
                <w:szCs w:val="20"/>
                <w:lang w:eastAsia="es-MX"/>
              </w:rPr>
            </w:pPr>
            <w:r w:rsidRPr="00955A4C">
              <w:rPr>
                <w:b/>
                <w:bCs/>
                <w:color w:val="000000"/>
                <w:sz w:val="20"/>
                <w:szCs w:val="20"/>
                <w:lang w:eastAsia="es-MX"/>
              </w:rPr>
              <w:lastRenderedPageBreak/>
              <w:t>AÑO</w:t>
            </w:r>
          </w:p>
        </w:tc>
        <w:tc>
          <w:tcPr>
            <w:tcW w:w="208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rsidR="008E6390" w:rsidRPr="00955A4C" w:rsidRDefault="008E6390" w:rsidP="008E6390">
            <w:pPr>
              <w:spacing w:line="360" w:lineRule="auto"/>
              <w:jc w:val="center"/>
              <w:rPr>
                <w:b/>
                <w:bCs/>
                <w:color w:val="000000"/>
                <w:sz w:val="20"/>
                <w:szCs w:val="20"/>
                <w:lang w:eastAsia="es-MX"/>
              </w:rPr>
            </w:pPr>
            <w:r w:rsidRPr="00955A4C">
              <w:rPr>
                <w:b/>
                <w:bCs/>
                <w:color w:val="000000"/>
                <w:sz w:val="20"/>
                <w:szCs w:val="20"/>
                <w:lang w:eastAsia="es-MX"/>
              </w:rPr>
              <w:t>APOYO ESTATAL EXTRAORDINARIO</w:t>
            </w:r>
          </w:p>
        </w:tc>
      </w:tr>
      <w:tr w:rsidR="008E6390" w:rsidRPr="00955A4C" w:rsidTr="008E6390">
        <w:trPr>
          <w:trHeight w:val="2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2011</w:t>
            </w:r>
          </w:p>
        </w:tc>
        <w:tc>
          <w:tcPr>
            <w:tcW w:w="2080" w:type="dxa"/>
            <w:tcBorders>
              <w:top w:val="nil"/>
              <w:left w:val="nil"/>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jc w:val="right"/>
              <w:rPr>
                <w:color w:val="000000"/>
                <w:sz w:val="20"/>
                <w:szCs w:val="20"/>
                <w:lang w:eastAsia="es-MX"/>
              </w:rPr>
            </w:pPr>
            <w:r w:rsidRPr="00955A4C">
              <w:rPr>
                <w:color w:val="000000"/>
                <w:sz w:val="20"/>
                <w:szCs w:val="20"/>
                <w:lang w:eastAsia="es-MX"/>
              </w:rPr>
              <w:t>139.7</w:t>
            </w:r>
          </w:p>
        </w:tc>
      </w:tr>
      <w:tr w:rsidR="008E6390" w:rsidRPr="00955A4C" w:rsidTr="008E6390">
        <w:trPr>
          <w:trHeight w:val="1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2012</w:t>
            </w:r>
          </w:p>
        </w:tc>
        <w:tc>
          <w:tcPr>
            <w:tcW w:w="2080" w:type="dxa"/>
            <w:tcBorders>
              <w:top w:val="nil"/>
              <w:left w:val="nil"/>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jc w:val="right"/>
              <w:rPr>
                <w:color w:val="000000"/>
                <w:sz w:val="20"/>
                <w:szCs w:val="20"/>
                <w:lang w:eastAsia="es-MX"/>
              </w:rPr>
            </w:pPr>
            <w:r w:rsidRPr="00955A4C">
              <w:rPr>
                <w:color w:val="000000"/>
                <w:sz w:val="20"/>
                <w:szCs w:val="20"/>
                <w:lang w:eastAsia="es-MX"/>
              </w:rPr>
              <w:t>118.3</w:t>
            </w:r>
          </w:p>
        </w:tc>
      </w:tr>
      <w:tr w:rsidR="008E6390" w:rsidRPr="00955A4C" w:rsidTr="008E6390">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2013</w:t>
            </w:r>
          </w:p>
        </w:tc>
        <w:tc>
          <w:tcPr>
            <w:tcW w:w="2080" w:type="dxa"/>
            <w:tcBorders>
              <w:top w:val="nil"/>
              <w:left w:val="nil"/>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jc w:val="right"/>
              <w:rPr>
                <w:color w:val="000000"/>
                <w:sz w:val="20"/>
                <w:szCs w:val="20"/>
                <w:lang w:eastAsia="es-MX"/>
              </w:rPr>
            </w:pPr>
            <w:r w:rsidRPr="00955A4C">
              <w:rPr>
                <w:color w:val="000000"/>
                <w:sz w:val="20"/>
                <w:szCs w:val="20"/>
                <w:lang w:eastAsia="es-MX"/>
              </w:rPr>
              <w:t>16.5</w:t>
            </w:r>
          </w:p>
        </w:tc>
      </w:tr>
      <w:tr w:rsidR="008E6390" w:rsidRPr="00955A4C" w:rsidTr="008E6390">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2014</w:t>
            </w:r>
          </w:p>
        </w:tc>
        <w:tc>
          <w:tcPr>
            <w:tcW w:w="2080" w:type="dxa"/>
            <w:tcBorders>
              <w:top w:val="nil"/>
              <w:left w:val="nil"/>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jc w:val="right"/>
              <w:rPr>
                <w:color w:val="000000"/>
                <w:sz w:val="20"/>
                <w:szCs w:val="20"/>
                <w:lang w:eastAsia="es-MX"/>
              </w:rPr>
            </w:pPr>
            <w:r w:rsidRPr="00955A4C">
              <w:rPr>
                <w:color w:val="000000"/>
                <w:sz w:val="20"/>
                <w:szCs w:val="20"/>
                <w:lang w:eastAsia="es-MX"/>
              </w:rPr>
              <w:t>29.0</w:t>
            </w:r>
          </w:p>
        </w:tc>
      </w:tr>
      <w:tr w:rsidR="008E6390" w:rsidRPr="00955A4C" w:rsidTr="008E6390">
        <w:trPr>
          <w:trHeight w:val="326"/>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2015</w:t>
            </w:r>
          </w:p>
        </w:tc>
        <w:tc>
          <w:tcPr>
            <w:tcW w:w="2080" w:type="dxa"/>
            <w:tcBorders>
              <w:top w:val="nil"/>
              <w:left w:val="nil"/>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jc w:val="right"/>
              <w:rPr>
                <w:color w:val="000000"/>
                <w:sz w:val="20"/>
                <w:szCs w:val="20"/>
                <w:lang w:eastAsia="es-MX"/>
              </w:rPr>
            </w:pPr>
            <w:r w:rsidRPr="00955A4C">
              <w:rPr>
                <w:color w:val="000000"/>
                <w:sz w:val="20"/>
                <w:szCs w:val="20"/>
                <w:lang w:eastAsia="es-MX"/>
              </w:rPr>
              <w:t>34.6</w:t>
            </w:r>
          </w:p>
        </w:tc>
      </w:tr>
      <w:tr w:rsidR="008E6390" w:rsidRPr="00955A4C" w:rsidTr="008E6390">
        <w:trPr>
          <w:trHeight w:val="332"/>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2016</w:t>
            </w:r>
          </w:p>
        </w:tc>
        <w:tc>
          <w:tcPr>
            <w:tcW w:w="2080" w:type="dxa"/>
            <w:tcBorders>
              <w:top w:val="nil"/>
              <w:left w:val="nil"/>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jc w:val="right"/>
              <w:rPr>
                <w:color w:val="000000"/>
                <w:sz w:val="20"/>
                <w:szCs w:val="20"/>
                <w:lang w:eastAsia="es-MX"/>
              </w:rPr>
            </w:pPr>
            <w:r w:rsidRPr="00955A4C">
              <w:rPr>
                <w:color w:val="000000"/>
                <w:sz w:val="20"/>
                <w:szCs w:val="20"/>
                <w:lang w:eastAsia="es-MX"/>
              </w:rPr>
              <w:t>165.3</w:t>
            </w:r>
          </w:p>
        </w:tc>
      </w:tr>
      <w:tr w:rsidR="008E6390" w:rsidRPr="00955A4C" w:rsidTr="008E6390">
        <w:trPr>
          <w:trHeight w:val="209"/>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2017</w:t>
            </w:r>
          </w:p>
        </w:tc>
        <w:tc>
          <w:tcPr>
            <w:tcW w:w="2080" w:type="dxa"/>
            <w:tcBorders>
              <w:top w:val="nil"/>
              <w:left w:val="nil"/>
              <w:bottom w:val="single" w:sz="4" w:space="0" w:color="auto"/>
              <w:right w:val="single" w:sz="4" w:space="0" w:color="auto"/>
            </w:tcBorders>
            <w:shd w:val="clear" w:color="auto" w:fill="auto"/>
            <w:noWrap/>
            <w:vAlign w:val="center"/>
          </w:tcPr>
          <w:p w:rsidR="008E6390" w:rsidRPr="00955A4C" w:rsidRDefault="008E6390" w:rsidP="008E6390">
            <w:pPr>
              <w:spacing w:line="360" w:lineRule="auto"/>
              <w:jc w:val="right"/>
              <w:rPr>
                <w:bCs/>
                <w:color w:val="000000"/>
                <w:sz w:val="20"/>
                <w:szCs w:val="20"/>
                <w:highlight w:val="yellow"/>
                <w:lang w:eastAsia="es-MX"/>
              </w:rPr>
            </w:pPr>
            <w:r w:rsidRPr="00955A4C">
              <w:rPr>
                <w:bCs/>
                <w:color w:val="000000"/>
                <w:sz w:val="20"/>
                <w:szCs w:val="20"/>
                <w:lang w:eastAsia="es-MX"/>
              </w:rPr>
              <w:t>26.6</w:t>
            </w:r>
          </w:p>
        </w:tc>
      </w:tr>
      <w:tr w:rsidR="008E6390" w:rsidRPr="00955A4C" w:rsidTr="008E6390">
        <w:trPr>
          <w:trHeight w:val="215"/>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2018</w:t>
            </w:r>
          </w:p>
        </w:tc>
        <w:tc>
          <w:tcPr>
            <w:tcW w:w="2080" w:type="dxa"/>
            <w:tcBorders>
              <w:top w:val="nil"/>
              <w:left w:val="nil"/>
              <w:bottom w:val="single" w:sz="4" w:space="0" w:color="auto"/>
              <w:right w:val="single" w:sz="4" w:space="0" w:color="auto"/>
            </w:tcBorders>
            <w:shd w:val="clear" w:color="auto" w:fill="auto"/>
            <w:noWrap/>
            <w:vAlign w:val="center"/>
          </w:tcPr>
          <w:p w:rsidR="008E6390" w:rsidRPr="00955A4C" w:rsidRDefault="008E6390" w:rsidP="008E6390">
            <w:pPr>
              <w:spacing w:line="360" w:lineRule="auto"/>
              <w:jc w:val="right"/>
              <w:rPr>
                <w:bCs/>
                <w:color w:val="000000"/>
                <w:sz w:val="20"/>
                <w:szCs w:val="20"/>
                <w:lang w:eastAsia="es-MX"/>
              </w:rPr>
            </w:pPr>
            <w:r w:rsidRPr="00955A4C">
              <w:rPr>
                <w:bCs/>
                <w:color w:val="000000"/>
                <w:sz w:val="20"/>
                <w:szCs w:val="20"/>
                <w:lang w:eastAsia="es-MX"/>
              </w:rPr>
              <w:t>31.0</w:t>
            </w:r>
          </w:p>
        </w:tc>
      </w:tr>
      <w:tr w:rsidR="008E6390" w:rsidRPr="00955A4C" w:rsidTr="008E6390">
        <w:trPr>
          <w:trHeight w:val="215"/>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2019</w:t>
            </w:r>
          </w:p>
        </w:tc>
        <w:tc>
          <w:tcPr>
            <w:tcW w:w="2080" w:type="dxa"/>
            <w:tcBorders>
              <w:top w:val="nil"/>
              <w:left w:val="nil"/>
              <w:bottom w:val="single" w:sz="4" w:space="0" w:color="auto"/>
              <w:right w:val="single" w:sz="4" w:space="0" w:color="auto"/>
            </w:tcBorders>
            <w:shd w:val="clear" w:color="auto" w:fill="auto"/>
            <w:noWrap/>
            <w:vAlign w:val="center"/>
          </w:tcPr>
          <w:p w:rsidR="008E6390" w:rsidRPr="00955A4C" w:rsidRDefault="008E6390" w:rsidP="008E6390">
            <w:pPr>
              <w:spacing w:line="360" w:lineRule="auto"/>
              <w:jc w:val="right"/>
              <w:rPr>
                <w:bCs/>
                <w:color w:val="000000"/>
                <w:sz w:val="20"/>
                <w:szCs w:val="20"/>
                <w:lang w:eastAsia="es-MX"/>
              </w:rPr>
            </w:pPr>
            <w:r>
              <w:rPr>
                <w:bCs/>
                <w:color w:val="000000"/>
                <w:sz w:val="20"/>
                <w:szCs w:val="20"/>
                <w:lang w:eastAsia="es-MX"/>
              </w:rPr>
              <w:t>45.0</w:t>
            </w:r>
          </w:p>
        </w:tc>
      </w:tr>
      <w:tr w:rsidR="008E6390" w:rsidRPr="00955A4C" w:rsidTr="008E6390">
        <w:trPr>
          <w:trHeight w:val="236"/>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jc w:val="center"/>
              <w:rPr>
                <w:b/>
                <w:bCs/>
                <w:color w:val="000000"/>
                <w:sz w:val="20"/>
                <w:szCs w:val="20"/>
                <w:lang w:eastAsia="es-MX"/>
              </w:rPr>
            </w:pPr>
            <w:r w:rsidRPr="00955A4C">
              <w:rPr>
                <w:b/>
                <w:bCs/>
                <w:color w:val="000000"/>
                <w:sz w:val="20"/>
                <w:szCs w:val="20"/>
                <w:lang w:eastAsia="es-MX"/>
              </w:rPr>
              <w:t>SUMA</w:t>
            </w:r>
          </w:p>
        </w:tc>
        <w:tc>
          <w:tcPr>
            <w:tcW w:w="2080" w:type="dxa"/>
            <w:tcBorders>
              <w:top w:val="nil"/>
              <w:left w:val="nil"/>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jc w:val="right"/>
              <w:rPr>
                <w:b/>
                <w:bCs/>
                <w:color w:val="000000"/>
                <w:sz w:val="20"/>
                <w:szCs w:val="20"/>
                <w:lang w:eastAsia="es-MX"/>
              </w:rPr>
            </w:pPr>
            <w:r>
              <w:rPr>
                <w:b/>
                <w:bCs/>
                <w:color w:val="000000"/>
                <w:sz w:val="20"/>
                <w:szCs w:val="20"/>
                <w:lang w:eastAsia="es-MX"/>
              </w:rPr>
              <w:t>606</w:t>
            </w:r>
            <w:r w:rsidRPr="00955A4C">
              <w:rPr>
                <w:b/>
                <w:bCs/>
                <w:color w:val="000000"/>
                <w:sz w:val="20"/>
                <w:szCs w:val="20"/>
                <w:lang w:eastAsia="es-MX"/>
              </w:rPr>
              <w:t>.0</w:t>
            </w:r>
          </w:p>
        </w:tc>
      </w:tr>
    </w:tbl>
    <w:p w:rsidR="008E6390" w:rsidRPr="00955A4C" w:rsidRDefault="008E6390" w:rsidP="008E6390">
      <w:pPr>
        <w:spacing w:line="360" w:lineRule="auto"/>
        <w:ind w:left="2268"/>
        <w:rPr>
          <w:b/>
          <w:sz w:val="20"/>
          <w:szCs w:val="20"/>
        </w:rPr>
      </w:pPr>
      <w:r w:rsidRPr="00955A4C">
        <w:rPr>
          <w:b/>
          <w:sz w:val="20"/>
          <w:szCs w:val="20"/>
        </w:rPr>
        <w:t>* Cifra Estimada al Cierre de 2019</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t>Los ingresos propios de Pensiones Civiles del Estado de Tlaxcala, se han visto incrementados, a partir, de la reforma, como a continuación se observa:</w:t>
      </w:r>
    </w:p>
    <w:p w:rsidR="008E6390" w:rsidRPr="00955A4C" w:rsidRDefault="008E6390" w:rsidP="008E6390">
      <w:pPr>
        <w:spacing w:line="360" w:lineRule="auto"/>
        <w:jc w:val="both"/>
        <w:rPr>
          <w:sz w:val="20"/>
          <w:szCs w:val="20"/>
        </w:rPr>
      </w:pPr>
    </w:p>
    <w:tbl>
      <w:tblPr>
        <w:tblW w:w="3440" w:type="dxa"/>
        <w:jc w:val="center"/>
        <w:tblCellMar>
          <w:left w:w="70" w:type="dxa"/>
          <w:right w:w="70" w:type="dxa"/>
        </w:tblCellMar>
        <w:tblLook w:val="04A0" w:firstRow="1" w:lastRow="0" w:firstColumn="1" w:lastColumn="0" w:noHBand="0" w:noVBand="1"/>
      </w:tblPr>
      <w:tblGrid>
        <w:gridCol w:w="1540"/>
        <w:gridCol w:w="1900"/>
      </w:tblGrid>
      <w:tr w:rsidR="008E6390" w:rsidRPr="00955A4C" w:rsidTr="008E6390">
        <w:trPr>
          <w:trHeight w:val="911"/>
          <w:jc w:val="center"/>
        </w:trPr>
        <w:tc>
          <w:tcPr>
            <w:tcW w:w="154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8E6390" w:rsidRPr="00955A4C" w:rsidRDefault="008E6390" w:rsidP="008E6390">
            <w:pPr>
              <w:spacing w:line="360" w:lineRule="auto"/>
              <w:jc w:val="center"/>
              <w:rPr>
                <w:b/>
                <w:bCs/>
                <w:color w:val="000000"/>
                <w:sz w:val="20"/>
                <w:szCs w:val="20"/>
                <w:lang w:eastAsia="es-MX"/>
              </w:rPr>
            </w:pPr>
            <w:r w:rsidRPr="00955A4C">
              <w:rPr>
                <w:b/>
                <w:bCs/>
                <w:color w:val="000000"/>
                <w:sz w:val="20"/>
                <w:szCs w:val="20"/>
                <w:lang w:eastAsia="es-MX"/>
              </w:rPr>
              <w:t>AÑO</w:t>
            </w:r>
          </w:p>
        </w:tc>
        <w:tc>
          <w:tcPr>
            <w:tcW w:w="190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rsidR="008E6390" w:rsidRPr="00955A4C" w:rsidRDefault="008E6390" w:rsidP="008E6390">
            <w:pPr>
              <w:spacing w:line="360" w:lineRule="auto"/>
              <w:jc w:val="center"/>
              <w:rPr>
                <w:b/>
                <w:bCs/>
                <w:color w:val="000000"/>
                <w:sz w:val="20"/>
                <w:szCs w:val="20"/>
                <w:lang w:eastAsia="es-MX"/>
              </w:rPr>
            </w:pPr>
            <w:r w:rsidRPr="00955A4C">
              <w:rPr>
                <w:b/>
                <w:bCs/>
                <w:color w:val="000000"/>
                <w:sz w:val="20"/>
                <w:szCs w:val="20"/>
                <w:lang w:eastAsia="es-MX"/>
              </w:rPr>
              <w:t>APORTACIONES Y RETENCIONES</w:t>
            </w:r>
          </w:p>
        </w:tc>
      </w:tr>
      <w:tr w:rsidR="008E6390" w:rsidRPr="00955A4C" w:rsidTr="008E6390">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2011</w:t>
            </w:r>
          </w:p>
        </w:tc>
        <w:tc>
          <w:tcPr>
            <w:tcW w:w="1900" w:type="dxa"/>
            <w:tcBorders>
              <w:top w:val="nil"/>
              <w:left w:val="nil"/>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jc w:val="right"/>
              <w:rPr>
                <w:color w:val="000000"/>
                <w:sz w:val="20"/>
                <w:szCs w:val="20"/>
                <w:lang w:eastAsia="es-MX"/>
              </w:rPr>
            </w:pPr>
            <w:r w:rsidRPr="00955A4C">
              <w:rPr>
                <w:color w:val="000000"/>
                <w:sz w:val="20"/>
                <w:szCs w:val="20"/>
                <w:lang w:eastAsia="es-MX"/>
              </w:rPr>
              <w:t xml:space="preserve">100.9 </w:t>
            </w:r>
          </w:p>
        </w:tc>
      </w:tr>
      <w:tr w:rsidR="008E6390" w:rsidRPr="00955A4C" w:rsidTr="008E6390">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2012</w:t>
            </w:r>
          </w:p>
        </w:tc>
        <w:tc>
          <w:tcPr>
            <w:tcW w:w="1900" w:type="dxa"/>
            <w:tcBorders>
              <w:top w:val="nil"/>
              <w:left w:val="nil"/>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jc w:val="right"/>
              <w:rPr>
                <w:color w:val="000000"/>
                <w:sz w:val="20"/>
                <w:szCs w:val="20"/>
                <w:lang w:eastAsia="es-MX"/>
              </w:rPr>
            </w:pPr>
            <w:r w:rsidRPr="00955A4C">
              <w:rPr>
                <w:color w:val="000000"/>
                <w:sz w:val="20"/>
                <w:szCs w:val="20"/>
                <w:lang w:eastAsia="es-MX"/>
              </w:rPr>
              <w:t xml:space="preserve">103.3 </w:t>
            </w:r>
          </w:p>
        </w:tc>
      </w:tr>
      <w:tr w:rsidR="008E6390" w:rsidRPr="00955A4C" w:rsidTr="008E6390">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2013</w:t>
            </w:r>
          </w:p>
        </w:tc>
        <w:tc>
          <w:tcPr>
            <w:tcW w:w="1900" w:type="dxa"/>
            <w:tcBorders>
              <w:top w:val="nil"/>
              <w:left w:val="nil"/>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jc w:val="right"/>
              <w:rPr>
                <w:color w:val="000000"/>
                <w:sz w:val="20"/>
                <w:szCs w:val="20"/>
                <w:lang w:eastAsia="es-MX"/>
              </w:rPr>
            </w:pPr>
            <w:r w:rsidRPr="00955A4C">
              <w:rPr>
                <w:color w:val="000000"/>
                <w:sz w:val="20"/>
                <w:szCs w:val="20"/>
                <w:lang w:eastAsia="es-MX"/>
              </w:rPr>
              <w:t xml:space="preserve">205.9 </w:t>
            </w:r>
          </w:p>
        </w:tc>
      </w:tr>
      <w:tr w:rsidR="008E6390" w:rsidRPr="00955A4C" w:rsidTr="008E6390">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2014</w:t>
            </w:r>
          </w:p>
        </w:tc>
        <w:tc>
          <w:tcPr>
            <w:tcW w:w="1900" w:type="dxa"/>
            <w:tcBorders>
              <w:top w:val="nil"/>
              <w:left w:val="nil"/>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jc w:val="right"/>
              <w:rPr>
                <w:color w:val="000000"/>
                <w:sz w:val="20"/>
                <w:szCs w:val="20"/>
                <w:lang w:eastAsia="es-MX"/>
              </w:rPr>
            </w:pPr>
            <w:r w:rsidRPr="00955A4C">
              <w:rPr>
                <w:color w:val="000000"/>
                <w:sz w:val="20"/>
                <w:szCs w:val="20"/>
                <w:lang w:eastAsia="es-MX"/>
              </w:rPr>
              <w:t xml:space="preserve">221.2 </w:t>
            </w:r>
          </w:p>
        </w:tc>
      </w:tr>
      <w:tr w:rsidR="008E6390" w:rsidRPr="00955A4C" w:rsidTr="008E6390">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lastRenderedPageBreak/>
              <w:t>Ejercicio 2015</w:t>
            </w:r>
          </w:p>
        </w:tc>
        <w:tc>
          <w:tcPr>
            <w:tcW w:w="1900" w:type="dxa"/>
            <w:tcBorders>
              <w:top w:val="nil"/>
              <w:left w:val="nil"/>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jc w:val="right"/>
              <w:rPr>
                <w:color w:val="000000"/>
                <w:sz w:val="20"/>
                <w:szCs w:val="20"/>
                <w:lang w:eastAsia="es-MX"/>
              </w:rPr>
            </w:pPr>
            <w:r w:rsidRPr="00955A4C">
              <w:rPr>
                <w:color w:val="000000"/>
                <w:sz w:val="20"/>
                <w:szCs w:val="20"/>
                <w:lang w:eastAsia="es-MX"/>
              </w:rPr>
              <w:t xml:space="preserve">223.9 </w:t>
            </w:r>
          </w:p>
        </w:tc>
      </w:tr>
      <w:tr w:rsidR="008E6390" w:rsidRPr="00955A4C" w:rsidTr="008E6390">
        <w:trPr>
          <w:trHeight w:val="387"/>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2016</w:t>
            </w:r>
          </w:p>
        </w:tc>
        <w:tc>
          <w:tcPr>
            <w:tcW w:w="1900" w:type="dxa"/>
            <w:tcBorders>
              <w:top w:val="nil"/>
              <w:left w:val="nil"/>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jc w:val="right"/>
              <w:rPr>
                <w:color w:val="000000"/>
                <w:sz w:val="20"/>
                <w:szCs w:val="20"/>
                <w:lang w:eastAsia="es-MX"/>
              </w:rPr>
            </w:pPr>
            <w:r w:rsidRPr="00955A4C">
              <w:rPr>
                <w:color w:val="000000"/>
                <w:sz w:val="20"/>
                <w:szCs w:val="20"/>
                <w:lang w:eastAsia="es-MX"/>
              </w:rPr>
              <w:t xml:space="preserve">248.9 </w:t>
            </w:r>
          </w:p>
        </w:tc>
      </w:tr>
      <w:tr w:rsidR="008E6390" w:rsidRPr="00955A4C" w:rsidTr="008E6390">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2017</w:t>
            </w:r>
          </w:p>
        </w:tc>
        <w:tc>
          <w:tcPr>
            <w:tcW w:w="1900" w:type="dxa"/>
            <w:tcBorders>
              <w:top w:val="nil"/>
              <w:left w:val="nil"/>
              <w:bottom w:val="single" w:sz="4" w:space="0" w:color="auto"/>
              <w:right w:val="single" w:sz="4" w:space="0" w:color="auto"/>
            </w:tcBorders>
            <w:shd w:val="clear" w:color="auto" w:fill="auto"/>
            <w:noWrap/>
            <w:vAlign w:val="bottom"/>
          </w:tcPr>
          <w:p w:rsidR="008E6390" w:rsidRPr="00955A4C" w:rsidRDefault="008E6390" w:rsidP="008E6390">
            <w:pPr>
              <w:spacing w:line="360" w:lineRule="auto"/>
              <w:jc w:val="right"/>
              <w:rPr>
                <w:bCs/>
                <w:color w:val="000000"/>
                <w:sz w:val="20"/>
                <w:szCs w:val="20"/>
                <w:lang w:eastAsia="es-MX"/>
              </w:rPr>
            </w:pPr>
            <w:r w:rsidRPr="00955A4C">
              <w:rPr>
                <w:bCs/>
                <w:color w:val="000000"/>
                <w:sz w:val="20"/>
                <w:szCs w:val="20"/>
                <w:lang w:eastAsia="es-MX"/>
              </w:rPr>
              <w:t>275.2</w:t>
            </w:r>
          </w:p>
        </w:tc>
      </w:tr>
      <w:tr w:rsidR="008E6390" w:rsidRPr="00955A4C" w:rsidTr="008E6390">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2018</w:t>
            </w:r>
          </w:p>
        </w:tc>
        <w:tc>
          <w:tcPr>
            <w:tcW w:w="1900" w:type="dxa"/>
            <w:tcBorders>
              <w:top w:val="nil"/>
              <w:left w:val="nil"/>
              <w:bottom w:val="single" w:sz="4" w:space="0" w:color="auto"/>
              <w:right w:val="single" w:sz="4" w:space="0" w:color="auto"/>
            </w:tcBorders>
            <w:shd w:val="clear" w:color="auto" w:fill="auto"/>
            <w:noWrap/>
            <w:vAlign w:val="bottom"/>
          </w:tcPr>
          <w:p w:rsidR="008E6390" w:rsidRPr="00955A4C" w:rsidRDefault="008E6390" w:rsidP="008E6390">
            <w:pPr>
              <w:spacing w:line="360" w:lineRule="auto"/>
              <w:jc w:val="right"/>
              <w:rPr>
                <w:b/>
                <w:bCs/>
                <w:color w:val="000000"/>
                <w:sz w:val="20"/>
                <w:szCs w:val="20"/>
                <w:lang w:eastAsia="es-MX"/>
              </w:rPr>
            </w:pPr>
            <w:r w:rsidRPr="00955A4C">
              <w:rPr>
                <w:b/>
                <w:bCs/>
                <w:color w:val="000000"/>
                <w:sz w:val="20"/>
                <w:szCs w:val="20"/>
                <w:lang w:eastAsia="es-MX"/>
              </w:rPr>
              <w:t>267.1</w:t>
            </w:r>
          </w:p>
        </w:tc>
      </w:tr>
      <w:tr w:rsidR="008E6390" w:rsidRPr="00955A4C" w:rsidTr="008E6390">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2019</w:t>
            </w:r>
          </w:p>
        </w:tc>
        <w:tc>
          <w:tcPr>
            <w:tcW w:w="1900" w:type="dxa"/>
            <w:tcBorders>
              <w:top w:val="nil"/>
              <w:left w:val="nil"/>
              <w:bottom w:val="single" w:sz="4" w:space="0" w:color="auto"/>
              <w:right w:val="single" w:sz="4" w:space="0" w:color="auto"/>
            </w:tcBorders>
            <w:shd w:val="clear" w:color="auto" w:fill="auto"/>
            <w:noWrap/>
            <w:vAlign w:val="bottom"/>
          </w:tcPr>
          <w:p w:rsidR="008E6390" w:rsidRPr="00955A4C" w:rsidRDefault="008E6390" w:rsidP="008E6390">
            <w:pPr>
              <w:spacing w:line="360" w:lineRule="auto"/>
              <w:jc w:val="right"/>
              <w:rPr>
                <w:b/>
                <w:bCs/>
                <w:color w:val="000000"/>
                <w:sz w:val="20"/>
                <w:szCs w:val="20"/>
                <w:lang w:eastAsia="es-MX"/>
              </w:rPr>
            </w:pPr>
            <w:r w:rsidRPr="00955A4C">
              <w:rPr>
                <w:b/>
                <w:bCs/>
                <w:color w:val="000000"/>
                <w:sz w:val="20"/>
                <w:szCs w:val="20"/>
                <w:lang w:eastAsia="es-MX"/>
              </w:rPr>
              <w:t>200.8</w:t>
            </w:r>
          </w:p>
        </w:tc>
      </w:tr>
      <w:tr w:rsidR="008E6390" w:rsidRPr="00955A4C" w:rsidTr="008E6390">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jc w:val="center"/>
              <w:rPr>
                <w:b/>
                <w:bCs/>
                <w:color w:val="000000"/>
                <w:sz w:val="20"/>
                <w:szCs w:val="20"/>
                <w:lang w:eastAsia="es-MX"/>
              </w:rPr>
            </w:pPr>
            <w:r w:rsidRPr="00955A4C">
              <w:rPr>
                <w:b/>
                <w:bCs/>
                <w:color w:val="000000"/>
                <w:sz w:val="20"/>
                <w:szCs w:val="20"/>
                <w:lang w:eastAsia="es-MX"/>
              </w:rPr>
              <w:t>SUMA</w:t>
            </w:r>
          </w:p>
        </w:tc>
        <w:tc>
          <w:tcPr>
            <w:tcW w:w="1900" w:type="dxa"/>
            <w:tcBorders>
              <w:top w:val="nil"/>
              <w:left w:val="nil"/>
              <w:bottom w:val="single" w:sz="4" w:space="0" w:color="auto"/>
              <w:right w:val="single" w:sz="4" w:space="0" w:color="auto"/>
            </w:tcBorders>
            <w:shd w:val="clear" w:color="auto" w:fill="auto"/>
            <w:noWrap/>
            <w:vAlign w:val="bottom"/>
            <w:hideMark/>
          </w:tcPr>
          <w:p w:rsidR="008E6390" w:rsidRPr="00955A4C" w:rsidRDefault="008E6390" w:rsidP="008E6390">
            <w:pPr>
              <w:spacing w:line="360" w:lineRule="auto"/>
              <w:jc w:val="right"/>
              <w:rPr>
                <w:b/>
                <w:bCs/>
                <w:color w:val="000000"/>
                <w:sz w:val="20"/>
                <w:szCs w:val="20"/>
                <w:lang w:eastAsia="es-MX"/>
              </w:rPr>
            </w:pPr>
            <w:r w:rsidRPr="00955A4C">
              <w:rPr>
                <w:b/>
                <w:bCs/>
                <w:color w:val="000000"/>
                <w:sz w:val="20"/>
                <w:szCs w:val="20"/>
                <w:lang w:eastAsia="es-MX"/>
              </w:rPr>
              <w:t xml:space="preserve">1,847.2 </w:t>
            </w:r>
          </w:p>
        </w:tc>
      </w:tr>
    </w:tbl>
    <w:p w:rsidR="008E6390" w:rsidRPr="00955A4C" w:rsidRDefault="008E6390" w:rsidP="008E6390">
      <w:pPr>
        <w:spacing w:line="360" w:lineRule="auto"/>
        <w:jc w:val="center"/>
        <w:rPr>
          <w:b/>
          <w:sz w:val="20"/>
          <w:szCs w:val="20"/>
        </w:rPr>
      </w:pPr>
      <w:r w:rsidRPr="00955A4C">
        <w:rPr>
          <w:b/>
          <w:sz w:val="20"/>
          <w:szCs w:val="20"/>
        </w:rPr>
        <w:t>* Cifras al Cierre del mes de septiembre de 2019.</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t>El Gobierno del Estado, tiene como prioridad sanear el Sistema Estatal de Pensiones garantizando la solvencia de la Institución e impulsando el otorgamiento y recuperación de créditos. En los últimos años se han realizado las aportaciones siguientes:</w:t>
      </w:r>
    </w:p>
    <w:p w:rsidR="008E6390" w:rsidRPr="00955A4C" w:rsidRDefault="008E6390" w:rsidP="008E6390">
      <w:pPr>
        <w:spacing w:line="360" w:lineRule="auto"/>
        <w:jc w:val="both"/>
        <w:rPr>
          <w:sz w:val="20"/>
          <w:szCs w:val="20"/>
        </w:rPr>
      </w:pPr>
    </w:p>
    <w:tbl>
      <w:tblPr>
        <w:tblW w:w="4064" w:type="dxa"/>
        <w:jc w:val="center"/>
        <w:tblCellMar>
          <w:left w:w="70" w:type="dxa"/>
          <w:right w:w="70" w:type="dxa"/>
        </w:tblCellMar>
        <w:tblLook w:val="04A0" w:firstRow="1" w:lastRow="0" w:firstColumn="1" w:lastColumn="0" w:noHBand="0" w:noVBand="1"/>
      </w:tblPr>
      <w:tblGrid>
        <w:gridCol w:w="1560"/>
        <w:gridCol w:w="2504"/>
      </w:tblGrid>
      <w:tr w:rsidR="008E6390" w:rsidRPr="00955A4C" w:rsidTr="008E6390">
        <w:trPr>
          <w:trHeight w:val="839"/>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8E6390" w:rsidRPr="00955A4C" w:rsidRDefault="008E6390" w:rsidP="008E6390">
            <w:pPr>
              <w:spacing w:line="360" w:lineRule="auto"/>
              <w:jc w:val="center"/>
              <w:rPr>
                <w:b/>
                <w:bCs/>
                <w:color w:val="000000"/>
                <w:sz w:val="20"/>
                <w:szCs w:val="20"/>
                <w:lang w:eastAsia="es-MX"/>
              </w:rPr>
            </w:pPr>
            <w:r w:rsidRPr="00955A4C">
              <w:rPr>
                <w:b/>
                <w:bCs/>
                <w:color w:val="000000"/>
                <w:sz w:val="20"/>
                <w:szCs w:val="20"/>
                <w:lang w:eastAsia="es-MX"/>
              </w:rPr>
              <w:t>AÑO</w:t>
            </w:r>
          </w:p>
        </w:tc>
        <w:tc>
          <w:tcPr>
            <w:tcW w:w="2504"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rsidR="008E6390" w:rsidRPr="00955A4C" w:rsidRDefault="008E6390" w:rsidP="008E6390">
            <w:pPr>
              <w:spacing w:line="360" w:lineRule="auto"/>
              <w:jc w:val="center"/>
              <w:rPr>
                <w:b/>
                <w:bCs/>
                <w:color w:val="000000"/>
                <w:sz w:val="20"/>
                <w:szCs w:val="20"/>
                <w:lang w:eastAsia="es-MX"/>
              </w:rPr>
            </w:pPr>
            <w:r w:rsidRPr="00955A4C">
              <w:rPr>
                <w:b/>
                <w:bCs/>
                <w:color w:val="000000"/>
                <w:sz w:val="20"/>
                <w:szCs w:val="20"/>
                <w:lang w:eastAsia="es-MX"/>
              </w:rPr>
              <w:t>FONDO DE CRÉDITOS (MDP)</w:t>
            </w:r>
          </w:p>
        </w:tc>
      </w:tr>
      <w:tr w:rsidR="008E6390" w:rsidRPr="00955A4C" w:rsidTr="008E6390">
        <w:trPr>
          <w:trHeight w:val="4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2013</w:t>
            </w:r>
          </w:p>
        </w:tc>
        <w:tc>
          <w:tcPr>
            <w:tcW w:w="2504" w:type="dxa"/>
            <w:tcBorders>
              <w:top w:val="nil"/>
              <w:left w:val="nil"/>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jc w:val="right"/>
              <w:rPr>
                <w:b/>
                <w:color w:val="000000"/>
                <w:sz w:val="20"/>
                <w:szCs w:val="20"/>
                <w:lang w:eastAsia="es-MX"/>
              </w:rPr>
            </w:pPr>
            <w:r w:rsidRPr="00955A4C">
              <w:rPr>
                <w:b/>
                <w:color w:val="000000"/>
                <w:sz w:val="20"/>
                <w:szCs w:val="20"/>
                <w:lang w:eastAsia="es-MX"/>
              </w:rPr>
              <w:t>70.0</w:t>
            </w:r>
          </w:p>
        </w:tc>
      </w:tr>
      <w:tr w:rsidR="008E6390" w:rsidRPr="00955A4C" w:rsidTr="008E6390">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2014</w:t>
            </w:r>
          </w:p>
        </w:tc>
        <w:tc>
          <w:tcPr>
            <w:tcW w:w="2504" w:type="dxa"/>
            <w:tcBorders>
              <w:top w:val="nil"/>
              <w:left w:val="nil"/>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jc w:val="right"/>
              <w:rPr>
                <w:b/>
                <w:color w:val="000000"/>
                <w:sz w:val="20"/>
                <w:szCs w:val="20"/>
                <w:lang w:eastAsia="es-MX"/>
              </w:rPr>
            </w:pPr>
            <w:r w:rsidRPr="00955A4C">
              <w:rPr>
                <w:b/>
                <w:color w:val="000000"/>
                <w:sz w:val="20"/>
                <w:szCs w:val="20"/>
                <w:lang w:eastAsia="es-MX"/>
              </w:rPr>
              <w:t>21.0</w:t>
            </w:r>
          </w:p>
        </w:tc>
      </w:tr>
      <w:tr w:rsidR="008E6390" w:rsidRPr="00955A4C" w:rsidTr="008E6390">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2016</w:t>
            </w:r>
          </w:p>
        </w:tc>
        <w:tc>
          <w:tcPr>
            <w:tcW w:w="2504" w:type="dxa"/>
            <w:tcBorders>
              <w:top w:val="nil"/>
              <w:left w:val="nil"/>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jc w:val="right"/>
              <w:rPr>
                <w:b/>
                <w:bCs/>
                <w:color w:val="000000"/>
                <w:sz w:val="20"/>
                <w:szCs w:val="20"/>
                <w:lang w:eastAsia="es-MX"/>
              </w:rPr>
            </w:pPr>
            <w:r w:rsidRPr="00955A4C">
              <w:rPr>
                <w:b/>
                <w:bCs/>
                <w:color w:val="000000"/>
                <w:sz w:val="20"/>
                <w:szCs w:val="20"/>
                <w:lang w:eastAsia="es-MX"/>
              </w:rPr>
              <w:t>59.0</w:t>
            </w:r>
          </w:p>
        </w:tc>
      </w:tr>
      <w:tr w:rsidR="008E6390" w:rsidRPr="00955A4C" w:rsidTr="008E6390">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2017</w:t>
            </w:r>
          </w:p>
        </w:tc>
        <w:tc>
          <w:tcPr>
            <w:tcW w:w="2504" w:type="dxa"/>
            <w:tcBorders>
              <w:top w:val="nil"/>
              <w:left w:val="nil"/>
              <w:bottom w:val="single" w:sz="4" w:space="0" w:color="auto"/>
              <w:right w:val="single" w:sz="4" w:space="0" w:color="auto"/>
            </w:tcBorders>
            <w:shd w:val="clear" w:color="auto" w:fill="auto"/>
            <w:noWrap/>
            <w:vAlign w:val="center"/>
          </w:tcPr>
          <w:p w:rsidR="008E6390" w:rsidRPr="00955A4C" w:rsidRDefault="008E6390" w:rsidP="008E6390">
            <w:pPr>
              <w:spacing w:line="360" w:lineRule="auto"/>
              <w:jc w:val="right"/>
              <w:rPr>
                <w:b/>
                <w:bCs/>
                <w:color w:val="000000"/>
                <w:sz w:val="20"/>
                <w:szCs w:val="20"/>
                <w:lang w:eastAsia="es-MX"/>
              </w:rPr>
            </w:pPr>
            <w:r w:rsidRPr="00955A4C">
              <w:rPr>
                <w:b/>
                <w:bCs/>
                <w:color w:val="000000"/>
                <w:sz w:val="20"/>
                <w:szCs w:val="20"/>
                <w:lang w:eastAsia="es-MX"/>
              </w:rPr>
              <w:t>0.0</w:t>
            </w:r>
          </w:p>
        </w:tc>
      </w:tr>
      <w:tr w:rsidR="008E6390" w:rsidRPr="00955A4C" w:rsidTr="008E6390">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2018</w:t>
            </w:r>
          </w:p>
        </w:tc>
        <w:tc>
          <w:tcPr>
            <w:tcW w:w="2504" w:type="dxa"/>
            <w:tcBorders>
              <w:top w:val="nil"/>
              <w:left w:val="nil"/>
              <w:bottom w:val="single" w:sz="4" w:space="0" w:color="auto"/>
              <w:right w:val="single" w:sz="4" w:space="0" w:color="auto"/>
            </w:tcBorders>
            <w:shd w:val="clear" w:color="auto" w:fill="auto"/>
            <w:noWrap/>
            <w:vAlign w:val="center"/>
          </w:tcPr>
          <w:p w:rsidR="008E6390" w:rsidRPr="00955A4C" w:rsidRDefault="008E6390" w:rsidP="008E6390">
            <w:pPr>
              <w:spacing w:line="360" w:lineRule="auto"/>
              <w:jc w:val="right"/>
              <w:rPr>
                <w:b/>
                <w:bCs/>
                <w:color w:val="000000"/>
                <w:sz w:val="20"/>
                <w:szCs w:val="20"/>
                <w:lang w:eastAsia="es-MX"/>
              </w:rPr>
            </w:pPr>
            <w:r w:rsidRPr="00955A4C">
              <w:rPr>
                <w:b/>
                <w:bCs/>
                <w:color w:val="000000"/>
                <w:sz w:val="20"/>
                <w:szCs w:val="20"/>
                <w:lang w:eastAsia="es-MX"/>
              </w:rPr>
              <w:t>0.0</w:t>
            </w:r>
          </w:p>
        </w:tc>
      </w:tr>
      <w:tr w:rsidR="008E6390" w:rsidRPr="00955A4C" w:rsidTr="008E6390">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8E6390" w:rsidRPr="00955A4C" w:rsidRDefault="008E6390" w:rsidP="008E6390">
            <w:pPr>
              <w:spacing w:line="360" w:lineRule="auto"/>
              <w:rPr>
                <w:b/>
                <w:bCs/>
                <w:color w:val="000000"/>
                <w:sz w:val="20"/>
                <w:szCs w:val="20"/>
                <w:lang w:eastAsia="es-MX"/>
              </w:rPr>
            </w:pPr>
            <w:r w:rsidRPr="00955A4C">
              <w:rPr>
                <w:b/>
                <w:bCs/>
                <w:color w:val="000000"/>
                <w:sz w:val="20"/>
                <w:szCs w:val="20"/>
                <w:lang w:eastAsia="es-MX"/>
              </w:rPr>
              <w:t>Ejercicio 2019</w:t>
            </w:r>
          </w:p>
        </w:tc>
        <w:tc>
          <w:tcPr>
            <w:tcW w:w="2504" w:type="dxa"/>
            <w:tcBorders>
              <w:top w:val="nil"/>
              <w:left w:val="nil"/>
              <w:bottom w:val="single" w:sz="4" w:space="0" w:color="auto"/>
              <w:right w:val="single" w:sz="4" w:space="0" w:color="auto"/>
            </w:tcBorders>
            <w:shd w:val="clear" w:color="auto" w:fill="auto"/>
            <w:noWrap/>
            <w:vAlign w:val="center"/>
          </w:tcPr>
          <w:p w:rsidR="008E6390" w:rsidRPr="00955A4C" w:rsidRDefault="008E6390" w:rsidP="008E6390">
            <w:pPr>
              <w:spacing w:line="360" w:lineRule="auto"/>
              <w:jc w:val="right"/>
              <w:rPr>
                <w:b/>
                <w:bCs/>
                <w:color w:val="000000"/>
                <w:sz w:val="20"/>
                <w:szCs w:val="20"/>
                <w:lang w:eastAsia="es-MX"/>
              </w:rPr>
            </w:pPr>
            <w:r w:rsidRPr="00955A4C">
              <w:rPr>
                <w:b/>
                <w:bCs/>
                <w:color w:val="000000"/>
                <w:sz w:val="20"/>
                <w:szCs w:val="20"/>
                <w:lang w:eastAsia="es-MX"/>
              </w:rPr>
              <w:t>0.0</w:t>
            </w:r>
          </w:p>
        </w:tc>
      </w:tr>
      <w:tr w:rsidR="008E6390" w:rsidRPr="00955A4C" w:rsidTr="008E6390">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jc w:val="center"/>
              <w:rPr>
                <w:b/>
                <w:bCs/>
                <w:color w:val="000000"/>
                <w:sz w:val="20"/>
                <w:szCs w:val="20"/>
                <w:lang w:eastAsia="es-MX"/>
              </w:rPr>
            </w:pPr>
            <w:r w:rsidRPr="00955A4C">
              <w:rPr>
                <w:b/>
                <w:bCs/>
                <w:color w:val="000000"/>
                <w:sz w:val="20"/>
                <w:szCs w:val="20"/>
                <w:lang w:eastAsia="es-MX"/>
              </w:rPr>
              <w:t>SUMA</w:t>
            </w:r>
          </w:p>
        </w:tc>
        <w:tc>
          <w:tcPr>
            <w:tcW w:w="2504" w:type="dxa"/>
            <w:tcBorders>
              <w:top w:val="nil"/>
              <w:left w:val="nil"/>
              <w:bottom w:val="single" w:sz="4" w:space="0" w:color="auto"/>
              <w:right w:val="single" w:sz="4" w:space="0" w:color="auto"/>
            </w:tcBorders>
            <w:shd w:val="clear" w:color="auto" w:fill="auto"/>
            <w:noWrap/>
            <w:vAlign w:val="center"/>
            <w:hideMark/>
          </w:tcPr>
          <w:p w:rsidR="008E6390" w:rsidRPr="00955A4C" w:rsidRDefault="008E6390" w:rsidP="008E6390">
            <w:pPr>
              <w:spacing w:line="360" w:lineRule="auto"/>
              <w:jc w:val="right"/>
              <w:rPr>
                <w:b/>
                <w:bCs/>
                <w:color w:val="000000"/>
                <w:sz w:val="20"/>
                <w:szCs w:val="20"/>
                <w:lang w:eastAsia="es-MX"/>
              </w:rPr>
            </w:pPr>
            <w:r w:rsidRPr="00955A4C">
              <w:rPr>
                <w:b/>
                <w:bCs/>
                <w:color w:val="000000"/>
                <w:sz w:val="20"/>
                <w:szCs w:val="20"/>
                <w:lang w:eastAsia="es-MX"/>
              </w:rPr>
              <w:t>150.0</w:t>
            </w:r>
          </w:p>
        </w:tc>
      </w:tr>
    </w:tbl>
    <w:p w:rsidR="008E6390" w:rsidRPr="00955A4C" w:rsidRDefault="008E6390" w:rsidP="008E6390">
      <w:pPr>
        <w:spacing w:line="360" w:lineRule="auto"/>
        <w:jc w:val="both"/>
        <w:rPr>
          <w:b/>
          <w:sz w:val="20"/>
          <w:szCs w:val="20"/>
        </w:rPr>
      </w:pPr>
    </w:p>
    <w:p w:rsidR="008E6390" w:rsidRPr="00955A4C" w:rsidRDefault="008E6390" w:rsidP="008E6390">
      <w:pPr>
        <w:spacing w:line="360" w:lineRule="auto"/>
        <w:jc w:val="center"/>
        <w:rPr>
          <w:b/>
          <w:sz w:val="20"/>
          <w:szCs w:val="20"/>
        </w:rPr>
      </w:pPr>
      <w:r w:rsidRPr="00955A4C">
        <w:rPr>
          <w:b/>
          <w:noProof/>
          <w:sz w:val="20"/>
          <w:szCs w:val="20"/>
          <w:lang w:val="es-MX" w:eastAsia="es-MX"/>
        </w:rPr>
        <w:lastRenderedPageBreak/>
        <w:drawing>
          <wp:inline distT="0" distB="0" distL="0" distR="0" wp14:anchorId="6E79AD2F" wp14:editId="4CF5D00C">
            <wp:extent cx="5337544" cy="2774836"/>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6600" cy="2800339"/>
                    </a:xfrm>
                    <a:prstGeom prst="rect">
                      <a:avLst/>
                    </a:prstGeom>
                    <a:noFill/>
                  </pic:spPr>
                </pic:pic>
              </a:graphicData>
            </a:graphic>
          </wp:inline>
        </w:drawing>
      </w:r>
    </w:p>
    <w:p w:rsidR="008E6390" w:rsidRPr="00955A4C" w:rsidRDefault="008E6390" w:rsidP="008E6390">
      <w:pPr>
        <w:spacing w:line="360" w:lineRule="auto"/>
        <w:jc w:val="both"/>
        <w:rPr>
          <w:b/>
          <w:sz w:val="20"/>
          <w:szCs w:val="20"/>
        </w:rPr>
      </w:pPr>
    </w:p>
    <w:p w:rsidR="008E6390" w:rsidRPr="00955A4C" w:rsidRDefault="001C6AC8" w:rsidP="008E6390">
      <w:pPr>
        <w:spacing w:line="360" w:lineRule="auto"/>
        <w:jc w:val="both"/>
        <w:rPr>
          <w:b/>
          <w:sz w:val="20"/>
          <w:szCs w:val="20"/>
        </w:rPr>
      </w:pPr>
      <w:r>
        <w:rPr>
          <w:b/>
          <w:sz w:val="20"/>
          <w:szCs w:val="20"/>
        </w:rPr>
        <w:t>Deuda Pública</w:t>
      </w:r>
    </w:p>
    <w:p w:rsidR="008E6390" w:rsidRPr="00955A4C" w:rsidRDefault="008E6390" w:rsidP="008E6390">
      <w:pPr>
        <w:spacing w:line="360" w:lineRule="auto"/>
        <w:jc w:val="both"/>
        <w:rPr>
          <w:b/>
          <w:sz w:val="20"/>
          <w:szCs w:val="20"/>
        </w:rPr>
      </w:pPr>
    </w:p>
    <w:p w:rsidR="008E6390" w:rsidRPr="00955A4C" w:rsidRDefault="008E6390" w:rsidP="008E6390">
      <w:pPr>
        <w:pStyle w:val="PRIMERAPLANA"/>
        <w:spacing w:line="360" w:lineRule="auto"/>
        <w:rPr>
          <w:rFonts w:ascii="Times New Roman" w:hAnsi="Times New Roman"/>
          <w:iCs/>
          <w:lang w:val="es-ES"/>
        </w:rPr>
      </w:pPr>
      <w:r w:rsidRPr="00955A4C">
        <w:rPr>
          <w:rFonts w:ascii="Times New Roman" w:hAnsi="Times New Roman"/>
          <w:iCs/>
          <w:lang w:val="es-ES"/>
        </w:rPr>
        <w:t>Los resultados financieros balanceados y la política de deuda conservadora, han permitido que desde el ejercicio 2009 el</w:t>
      </w:r>
      <w:r>
        <w:rPr>
          <w:rFonts w:ascii="Times New Roman" w:hAnsi="Times New Roman"/>
          <w:iCs/>
          <w:lang w:val="es-ES"/>
        </w:rPr>
        <w:t xml:space="preserve"> Gobierno del</w:t>
      </w:r>
      <w:r w:rsidRPr="00955A4C">
        <w:rPr>
          <w:rFonts w:ascii="Times New Roman" w:hAnsi="Times New Roman"/>
          <w:iCs/>
          <w:lang w:val="es-ES"/>
        </w:rPr>
        <w:t xml:space="preserve"> Estado de Tlaxcala haya registrado una posición libre de endeudamiento. </w:t>
      </w:r>
      <w:r>
        <w:rPr>
          <w:rFonts w:ascii="Times New Roman" w:hAnsi="Times New Roman"/>
          <w:iCs/>
          <w:lang w:val="es-ES"/>
        </w:rPr>
        <w:t>Como se muestra en la Gráfica siguiente:</w:t>
      </w:r>
    </w:p>
    <w:p w:rsidR="008E6390" w:rsidRPr="00955A4C" w:rsidRDefault="008E6390" w:rsidP="008E6390">
      <w:pPr>
        <w:pStyle w:val="PRIMERAPLANA"/>
        <w:spacing w:line="360" w:lineRule="auto"/>
        <w:rPr>
          <w:rFonts w:ascii="Times New Roman" w:hAnsi="Times New Roman"/>
          <w:iCs/>
          <w:lang w:val="es-ES"/>
        </w:rPr>
      </w:pPr>
    </w:p>
    <w:p w:rsidR="008E6390" w:rsidRPr="00955A4C" w:rsidRDefault="008E6390" w:rsidP="008E6390">
      <w:pPr>
        <w:pStyle w:val="PRIMERAPLANA"/>
        <w:spacing w:line="360" w:lineRule="auto"/>
        <w:rPr>
          <w:rFonts w:ascii="Times New Roman" w:hAnsi="Times New Roman"/>
          <w:noProof/>
          <w:lang w:val="es-MX" w:eastAsia="es-MX"/>
        </w:rPr>
      </w:pPr>
    </w:p>
    <w:p w:rsidR="008E6390" w:rsidRDefault="008E6390" w:rsidP="008E6390">
      <w:pPr>
        <w:pStyle w:val="PRIMERAPLANA"/>
        <w:spacing w:line="360" w:lineRule="auto"/>
        <w:rPr>
          <w:rFonts w:ascii="Times New Roman" w:hAnsi="Times New Roman"/>
          <w:noProof/>
          <w:lang w:val="es-MX" w:eastAsia="es-MX"/>
        </w:rPr>
      </w:pPr>
    </w:p>
    <w:p w:rsidR="008E6390" w:rsidRDefault="008E6390" w:rsidP="008E6390">
      <w:pPr>
        <w:pStyle w:val="PRIMERAPLANA"/>
        <w:spacing w:line="360" w:lineRule="auto"/>
        <w:rPr>
          <w:rFonts w:ascii="Times New Roman" w:hAnsi="Times New Roman"/>
          <w:noProof/>
          <w:lang w:val="es-MX" w:eastAsia="es-MX"/>
        </w:rPr>
      </w:pPr>
    </w:p>
    <w:p w:rsidR="008E6390" w:rsidRDefault="008E6390" w:rsidP="008E6390">
      <w:pPr>
        <w:pStyle w:val="PRIMERAPLANA"/>
        <w:spacing w:line="360" w:lineRule="auto"/>
        <w:rPr>
          <w:rFonts w:ascii="Times New Roman" w:hAnsi="Times New Roman"/>
          <w:noProof/>
          <w:lang w:val="es-MX" w:eastAsia="es-MX"/>
        </w:rPr>
      </w:pPr>
    </w:p>
    <w:p w:rsidR="008E6390" w:rsidRDefault="008E6390" w:rsidP="008E6390">
      <w:pPr>
        <w:pStyle w:val="PRIMERAPLANA"/>
        <w:spacing w:line="360" w:lineRule="auto"/>
        <w:rPr>
          <w:rFonts w:ascii="Times New Roman" w:hAnsi="Times New Roman"/>
          <w:noProof/>
          <w:lang w:val="es-MX" w:eastAsia="es-MX"/>
        </w:rPr>
      </w:pPr>
    </w:p>
    <w:p w:rsidR="008E6390" w:rsidRDefault="008E6390" w:rsidP="008E6390">
      <w:pPr>
        <w:pStyle w:val="PRIMERAPLANA"/>
        <w:spacing w:line="360" w:lineRule="auto"/>
        <w:rPr>
          <w:rFonts w:ascii="Times New Roman" w:hAnsi="Times New Roman"/>
          <w:noProof/>
          <w:lang w:val="es-MX" w:eastAsia="es-MX"/>
        </w:rPr>
      </w:pPr>
    </w:p>
    <w:p w:rsidR="008E6390" w:rsidRDefault="008E6390" w:rsidP="008E6390">
      <w:pPr>
        <w:pStyle w:val="PRIMERAPLANA"/>
        <w:spacing w:line="360" w:lineRule="auto"/>
        <w:rPr>
          <w:rFonts w:ascii="Times New Roman" w:hAnsi="Times New Roman"/>
          <w:noProof/>
          <w:lang w:val="es-MX" w:eastAsia="es-MX"/>
        </w:rPr>
      </w:pPr>
    </w:p>
    <w:p w:rsidR="008E6390" w:rsidRDefault="008E6390" w:rsidP="008E6390">
      <w:pPr>
        <w:pStyle w:val="PRIMERAPLANA"/>
        <w:spacing w:line="360" w:lineRule="auto"/>
        <w:rPr>
          <w:rFonts w:ascii="Times New Roman" w:hAnsi="Times New Roman"/>
          <w:noProof/>
          <w:lang w:val="es-MX" w:eastAsia="es-MX"/>
        </w:rPr>
      </w:pPr>
    </w:p>
    <w:p w:rsidR="008E6390" w:rsidRDefault="008E6390" w:rsidP="008E6390">
      <w:pPr>
        <w:pStyle w:val="PRIMERAPLANA"/>
        <w:spacing w:line="360" w:lineRule="auto"/>
        <w:rPr>
          <w:rFonts w:ascii="Times New Roman" w:hAnsi="Times New Roman"/>
          <w:noProof/>
          <w:lang w:val="es-MX" w:eastAsia="es-MX"/>
        </w:rPr>
      </w:pPr>
    </w:p>
    <w:p w:rsidR="008E6390" w:rsidRPr="009C2E76" w:rsidRDefault="008E6390" w:rsidP="008E6390">
      <w:pPr>
        <w:pStyle w:val="PRIMERAPLANA"/>
        <w:spacing w:line="360" w:lineRule="auto"/>
        <w:jc w:val="left"/>
        <w:rPr>
          <w:rFonts w:ascii="Times New Roman" w:hAnsi="Times New Roman"/>
          <w:noProof/>
          <w:sz w:val="12"/>
          <w:szCs w:val="12"/>
          <w:lang w:val="es-MX" w:eastAsia="es-MX"/>
        </w:rPr>
      </w:pPr>
      <w:r>
        <w:rPr>
          <w:rFonts w:ascii="Times New Roman" w:hAnsi="Times New Roman"/>
          <w:noProof/>
          <w:lang w:val="es-MX" w:eastAsia="es-MX"/>
        </w:rPr>
        <w:t xml:space="preserve">     </w:t>
      </w:r>
      <w:r w:rsidRPr="009C2E76">
        <w:rPr>
          <w:rFonts w:ascii="Times New Roman" w:hAnsi="Times New Roman"/>
          <w:b/>
          <w:noProof/>
          <w:sz w:val="12"/>
          <w:szCs w:val="12"/>
          <w:lang w:val="es-MX" w:eastAsia="es-MX"/>
        </w:rPr>
        <w:t>Gráfica I.</w:t>
      </w:r>
      <w:r w:rsidRPr="009C2E76">
        <w:rPr>
          <w:rFonts w:ascii="Times New Roman" w:hAnsi="Times New Roman"/>
          <w:noProof/>
          <w:sz w:val="12"/>
          <w:szCs w:val="12"/>
          <w:lang w:val="es-MX" w:eastAsia="es-MX"/>
        </w:rPr>
        <w:t xml:space="preserve"> Obligaciones Financieras (IMCO)</w:t>
      </w:r>
    </w:p>
    <w:p w:rsidR="008E6390" w:rsidRPr="00955A4C" w:rsidRDefault="008E6390" w:rsidP="008E6390">
      <w:pPr>
        <w:pStyle w:val="PRIMERAPLANA"/>
        <w:spacing w:line="360" w:lineRule="auto"/>
        <w:jc w:val="center"/>
        <w:rPr>
          <w:rFonts w:ascii="Times New Roman" w:hAnsi="Times New Roman"/>
          <w:iCs/>
          <w:lang w:val="es-ES"/>
        </w:rPr>
      </w:pPr>
      <w:r>
        <w:rPr>
          <w:rFonts w:ascii="Times New Roman" w:hAnsi="Times New Roman"/>
          <w:noProof/>
          <w:lang w:val="es-MX" w:eastAsia="es-MX"/>
        </w:rPr>
        <mc:AlternateContent>
          <mc:Choice Requires="wps">
            <w:drawing>
              <wp:anchor distT="0" distB="0" distL="114300" distR="114300" simplePos="0" relativeHeight="251666432" behindDoc="0" locked="0" layoutInCell="1" allowOverlap="1" wp14:anchorId="0D3B2C76" wp14:editId="32256503">
                <wp:simplePos x="0" y="0"/>
                <wp:positionH relativeFrom="column">
                  <wp:posOffset>1580515</wp:posOffset>
                </wp:positionH>
                <wp:positionV relativeFrom="paragraph">
                  <wp:posOffset>69215</wp:posOffset>
                </wp:positionV>
                <wp:extent cx="3200400" cy="200025"/>
                <wp:effectExtent l="0" t="0" r="0" b="9525"/>
                <wp:wrapNone/>
                <wp:docPr id="69" name="Rectángulo 69"/>
                <wp:cNvGraphicFramePr/>
                <a:graphic xmlns:a="http://schemas.openxmlformats.org/drawingml/2006/main">
                  <a:graphicData uri="http://schemas.microsoft.com/office/word/2010/wordprocessingShape">
                    <wps:wsp>
                      <wps:cNvSpPr/>
                      <wps:spPr>
                        <a:xfrm>
                          <a:off x="0" y="0"/>
                          <a:ext cx="3200400"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36603E" id="Rectángulo 69" o:spid="_x0000_s1026" style="position:absolute;margin-left:124.45pt;margin-top:5.45pt;width:252pt;height:15.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" fillcolor="white [3212]" stroked="f" strokeweight="1pt"/>
            </w:pict>
          </mc:Fallback>
        </mc:AlternateContent>
      </w:r>
      <w:r w:rsidRPr="00955A4C">
        <w:rPr>
          <w:rFonts w:ascii="Times New Roman" w:hAnsi="Times New Roman"/>
          <w:noProof/>
          <w:lang w:val="es-MX" w:eastAsia="es-MX"/>
        </w:rPr>
        <w:drawing>
          <wp:inline distT="0" distB="0" distL="0" distR="0" wp14:anchorId="5FA0FC21" wp14:editId="3DF5683D">
            <wp:extent cx="4905375" cy="20669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678" t="24520" r="1617" b="4533"/>
                    <a:stretch/>
                  </pic:blipFill>
                  <pic:spPr bwMode="auto">
                    <a:xfrm>
                      <a:off x="0" y="0"/>
                      <a:ext cx="4905375" cy="2066925"/>
                    </a:xfrm>
                    <a:prstGeom prst="rect">
                      <a:avLst/>
                    </a:prstGeom>
                    <a:ln>
                      <a:noFill/>
                    </a:ln>
                    <a:extLst>
                      <a:ext uri="{53640926-AAD7-44D8-BBD7-CCE9431645EC}">
                        <a14:shadowObscured xmlns:a14="http://schemas.microsoft.com/office/drawing/2010/main"/>
                      </a:ext>
                    </a:extLst>
                  </pic:spPr>
                </pic:pic>
              </a:graphicData>
            </a:graphic>
          </wp:inline>
        </w:drawing>
      </w:r>
    </w:p>
    <w:p w:rsidR="008E6390" w:rsidRPr="00955A4C" w:rsidRDefault="008E6390" w:rsidP="008E6390">
      <w:pPr>
        <w:spacing w:line="360" w:lineRule="auto"/>
        <w:jc w:val="both"/>
        <w:rPr>
          <w:sz w:val="20"/>
          <w:szCs w:val="20"/>
        </w:rPr>
      </w:pPr>
    </w:p>
    <w:p w:rsidR="008E6390" w:rsidRPr="00955A4C" w:rsidRDefault="008E6390" w:rsidP="008E6390">
      <w:pPr>
        <w:pStyle w:val="PRIMERAPLANA"/>
        <w:spacing w:line="360" w:lineRule="auto"/>
        <w:rPr>
          <w:rFonts w:ascii="Times New Roman" w:hAnsi="Times New Roman"/>
        </w:rPr>
      </w:pPr>
      <w:r w:rsidRPr="00955A4C">
        <w:rPr>
          <w:rFonts w:ascii="Times New Roman" w:hAnsi="Times New Roman"/>
        </w:rPr>
        <w:t>Una de las políticas de esta Administración ha sido continuar con cero deuda, para el mantenimiento de finanzas públicas sanas, sin embargo, considerando que el deterioro de los resultados fiscales podría conducir al requerimiento de recursos para proyectos de infraestructura, no se desestima, en el mediano plazo, la posibilidad de contratación de deuda para el financiamiento del gasto público.</w:t>
      </w:r>
    </w:p>
    <w:p w:rsidR="001C6AC8" w:rsidRDefault="001C6AC8" w:rsidP="008E6390">
      <w:pPr>
        <w:spacing w:line="360" w:lineRule="auto"/>
        <w:jc w:val="both"/>
        <w:rPr>
          <w:sz w:val="20"/>
          <w:szCs w:val="20"/>
          <w:lang w:val="es-ES_tradnl"/>
        </w:rPr>
      </w:pPr>
    </w:p>
    <w:p w:rsidR="008E6390" w:rsidRPr="00955A4C" w:rsidRDefault="001C6AC8" w:rsidP="008E6390">
      <w:pPr>
        <w:spacing w:line="360" w:lineRule="auto"/>
        <w:jc w:val="both"/>
        <w:rPr>
          <w:b/>
          <w:sz w:val="20"/>
          <w:szCs w:val="20"/>
        </w:rPr>
      </w:pPr>
      <w:r>
        <w:rPr>
          <w:b/>
          <w:sz w:val="20"/>
          <w:szCs w:val="20"/>
        </w:rPr>
        <w:t>Menor crecimiento económico</w:t>
      </w:r>
    </w:p>
    <w:p w:rsidR="008E6390" w:rsidRPr="00955A4C" w:rsidRDefault="008E6390" w:rsidP="008E6390">
      <w:pPr>
        <w:spacing w:line="360" w:lineRule="auto"/>
        <w:jc w:val="both"/>
        <w:rPr>
          <w:b/>
          <w:sz w:val="20"/>
          <w:szCs w:val="20"/>
        </w:rPr>
      </w:pPr>
    </w:p>
    <w:p w:rsidR="008E6390" w:rsidRDefault="008E6390" w:rsidP="008E6390">
      <w:pPr>
        <w:spacing w:line="360" w:lineRule="auto"/>
        <w:jc w:val="both"/>
        <w:rPr>
          <w:sz w:val="20"/>
          <w:szCs w:val="20"/>
        </w:rPr>
      </w:pPr>
      <w:r w:rsidRPr="00955A4C">
        <w:rPr>
          <w:sz w:val="20"/>
          <w:szCs w:val="20"/>
        </w:rPr>
        <w:t>El Estado de Tlaxcala tiene una población total de 1</w:t>
      </w:r>
      <w:proofErr w:type="gramStart"/>
      <w:r w:rsidRPr="00955A4C">
        <w:rPr>
          <w:sz w:val="20"/>
          <w:szCs w:val="20"/>
        </w:rPr>
        <w:t>,272,847</w:t>
      </w:r>
      <w:proofErr w:type="gramEnd"/>
      <w:r w:rsidRPr="00955A4C">
        <w:rPr>
          <w:sz w:val="20"/>
          <w:szCs w:val="20"/>
        </w:rPr>
        <w:t xml:space="preserve"> personas, según la Encuesta </w:t>
      </w:r>
      <w:proofErr w:type="spellStart"/>
      <w:r w:rsidRPr="00955A4C">
        <w:rPr>
          <w:sz w:val="20"/>
          <w:szCs w:val="20"/>
        </w:rPr>
        <w:t>Intercensal</w:t>
      </w:r>
      <w:proofErr w:type="spellEnd"/>
      <w:r w:rsidRPr="00955A4C">
        <w:rPr>
          <w:sz w:val="20"/>
          <w:szCs w:val="20"/>
        </w:rPr>
        <w:t xml:space="preserve"> 2015 del Instituto Nacional de Estadística y Geografía (INEGI). La economía del estado es débil en comparación con otras Entidades, lo cual limita la capacidad de generar ingresos desde la base tributaria regional. </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lastRenderedPageBreak/>
        <w:t xml:space="preserve">El Producto Interno Bruto de Tlaxcala en 2017 representó el 0.6% y ocupó el lugar 32, con respecto al total nacional y en comparación con el año anterior tuvo una variación en valores constantes de </w:t>
      </w:r>
      <w:r>
        <w:rPr>
          <w:sz w:val="20"/>
          <w:szCs w:val="20"/>
        </w:rPr>
        <w:t>-1</w:t>
      </w:r>
      <w:r w:rsidRPr="00955A4C">
        <w:rPr>
          <w:sz w:val="20"/>
          <w:szCs w:val="20"/>
        </w:rPr>
        <w:t>.4%</w:t>
      </w:r>
      <w:r w:rsidRPr="00955A4C">
        <w:rPr>
          <w:rStyle w:val="Refdenotaalpie"/>
          <w:sz w:val="20"/>
          <w:szCs w:val="20"/>
        </w:rPr>
        <w:footnoteReference w:id="3"/>
      </w:r>
      <w:r w:rsidRPr="00955A4C">
        <w:rPr>
          <w:sz w:val="20"/>
          <w:szCs w:val="20"/>
        </w:rPr>
        <w:t>.</w:t>
      </w:r>
    </w:p>
    <w:p w:rsidR="008E6390" w:rsidRDefault="008E6390" w:rsidP="008E6390">
      <w:pPr>
        <w:spacing w:line="360" w:lineRule="auto"/>
        <w:jc w:val="both"/>
        <w:rPr>
          <w:b/>
          <w:sz w:val="12"/>
          <w:szCs w:val="12"/>
        </w:rPr>
      </w:pPr>
    </w:p>
    <w:p w:rsidR="008E6390" w:rsidRPr="00C236FF" w:rsidRDefault="008E6390" w:rsidP="008E6390">
      <w:pPr>
        <w:spacing w:line="360" w:lineRule="auto"/>
        <w:jc w:val="both"/>
        <w:rPr>
          <w:b/>
          <w:sz w:val="20"/>
          <w:szCs w:val="20"/>
        </w:rPr>
      </w:pPr>
      <w:r w:rsidRPr="00C236FF">
        <w:rPr>
          <w:b/>
          <w:sz w:val="12"/>
          <w:szCs w:val="12"/>
        </w:rPr>
        <w:t>Fuente:</w:t>
      </w:r>
      <w:r>
        <w:rPr>
          <w:b/>
          <w:sz w:val="20"/>
          <w:szCs w:val="20"/>
        </w:rPr>
        <w:t xml:space="preserve"> </w:t>
      </w:r>
      <w:r w:rsidRPr="00C236FF">
        <w:rPr>
          <w:sz w:val="12"/>
          <w:szCs w:val="12"/>
        </w:rPr>
        <w:t>Instituto Nacional de Estadística y Geografía (INEGI)</w:t>
      </w:r>
    </w:p>
    <w:p w:rsidR="008E6390" w:rsidRPr="00955A4C" w:rsidRDefault="008E6390" w:rsidP="008E6390">
      <w:pPr>
        <w:spacing w:line="360" w:lineRule="auto"/>
        <w:jc w:val="center"/>
        <w:rPr>
          <w:sz w:val="20"/>
          <w:szCs w:val="20"/>
        </w:rPr>
      </w:pPr>
      <w:r w:rsidRPr="00955A4C">
        <w:rPr>
          <w:noProof/>
          <w:sz w:val="20"/>
          <w:szCs w:val="20"/>
          <w:lang w:val="es-MX" w:eastAsia="es-MX"/>
        </w:rPr>
        <w:drawing>
          <wp:inline distT="0" distB="0" distL="0" distR="0" wp14:anchorId="0AACB55E" wp14:editId="1EB69C62">
            <wp:extent cx="3226469" cy="220027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6252" t="19888" r="35396" b="45736"/>
                    <a:stretch/>
                  </pic:blipFill>
                  <pic:spPr bwMode="auto">
                    <a:xfrm>
                      <a:off x="0" y="0"/>
                      <a:ext cx="3258638" cy="2222213"/>
                    </a:xfrm>
                    <a:prstGeom prst="rect">
                      <a:avLst/>
                    </a:prstGeom>
                    <a:ln>
                      <a:noFill/>
                    </a:ln>
                    <a:extLst>
                      <a:ext uri="{53640926-AAD7-44D8-BBD7-CCE9431645EC}">
                        <a14:shadowObscured xmlns:a14="http://schemas.microsoft.com/office/drawing/2010/main"/>
                      </a:ext>
                    </a:extLst>
                  </pic:spPr>
                </pic:pic>
              </a:graphicData>
            </a:graphic>
          </wp:inline>
        </w:drawing>
      </w:r>
    </w:p>
    <w:p w:rsidR="008E6390" w:rsidRPr="00955A4C" w:rsidRDefault="008E6390" w:rsidP="008E6390">
      <w:pPr>
        <w:spacing w:line="360" w:lineRule="auto"/>
        <w:jc w:val="center"/>
        <w:rPr>
          <w:sz w:val="20"/>
          <w:szCs w:val="20"/>
        </w:rPr>
      </w:pPr>
    </w:p>
    <w:p w:rsidR="008E6390" w:rsidRPr="00955A4C" w:rsidRDefault="008E6390" w:rsidP="008E6390">
      <w:pPr>
        <w:spacing w:line="360" w:lineRule="auto"/>
        <w:jc w:val="both"/>
        <w:rPr>
          <w:sz w:val="20"/>
          <w:szCs w:val="20"/>
        </w:rPr>
      </w:pPr>
      <w:r w:rsidRPr="00955A4C">
        <w:rPr>
          <w:sz w:val="20"/>
          <w:szCs w:val="20"/>
        </w:rPr>
        <w:t>El indicador trimestral de la actividad económica estatal (ITAEE) ofrece un panorama de la situación y evolución económica del estado en el corto plazo. Para el segundo trimestr</w:t>
      </w:r>
      <w:r>
        <w:rPr>
          <w:sz w:val="20"/>
          <w:szCs w:val="20"/>
        </w:rPr>
        <w:t>e de 2019, Tlaxcala registró un</w:t>
      </w:r>
      <w:r w:rsidRPr="00955A4C">
        <w:rPr>
          <w:sz w:val="20"/>
          <w:szCs w:val="20"/>
        </w:rPr>
        <w:t xml:space="preserve"> aumento en su índice de actividad económica de</w:t>
      </w:r>
      <w:r>
        <w:rPr>
          <w:sz w:val="20"/>
          <w:szCs w:val="20"/>
        </w:rPr>
        <w:t xml:space="preserve"> 4.1% con respecto al mismo perí</w:t>
      </w:r>
      <w:r w:rsidRPr="00955A4C">
        <w:rPr>
          <w:sz w:val="20"/>
          <w:szCs w:val="20"/>
        </w:rPr>
        <w:t>od</w:t>
      </w:r>
      <w:r>
        <w:rPr>
          <w:sz w:val="20"/>
          <w:szCs w:val="20"/>
        </w:rPr>
        <w:t xml:space="preserve">o del año anterior, lo cual lo </w:t>
      </w:r>
      <w:proofErr w:type="spellStart"/>
      <w:r>
        <w:rPr>
          <w:sz w:val="20"/>
          <w:szCs w:val="20"/>
        </w:rPr>
        <w:t>ú</w:t>
      </w:r>
      <w:r w:rsidRPr="00955A4C">
        <w:rPr>
          <w:sz w:val="20"/>
          <w:szCs w:val="20"/>
        </w:rPr>
        <w:t>bico</w:t>
      </w:r>
      <w:proofErr w:type="spellEnd"/>
      <w:r w:rsidRPr="00955A4C">
        <w:rPr>
          <w:sz w:val="20"/>
          <w:szCs w:val="20"/>
        </w:rPr>
        <w:t xml:space="preserve"> en los estados más sobresalientes.</w:t>
      </w:r>
    </w:p>
    <w:p w:rsidR="008E6390" w:rsidRPr="00955A4C" w:rsidRDefault="008E6390" w:rsidP="008E6390">
      <w:pPr>
        <w:spacing w:line="360" w:lineRule="auto"/>
        <w:jc w:val="center"/>
        <w:rPr>
          <w:sz w:val="20"/>
          <w:szCs w:val="20"/>
        </w:rPr>
      </w:pPr>
      <w:r w:rsidRPr="00955A4C">
        <w:rPr>
          <w:noProof/>
          <w:sz w:val="20"/>
          <w:szCs w:val="20"/>
          <w:lang w:val="es-MX" w:eastAsia="es-MX"/>
        </w:rPr>
        <w:lastRenderedPageBreak/>
        <w:drawing>
          <wp:inline distT="0" distB="0" distL="0" distR="0" wp14:anchorId="5E9A2F25" wp14:editId="5C0F8C96">
            <wp:extent cx="4059100" cy="3502647"/>
            <wp:effectExtent l="0" t="0" r="0" b="31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3374" t="14056" r="14763" b="6377"/>
                    <a:stretch/>
                  </pic:blipFill>
                  <pic:spPr bwMode="auto">
                    <a:xfrm>
                      <a:off x="0" y="0"/>
                      <a:ext cx="4079041" cy="3519855"/>
                    </a:xfrm>
                    <a:prstGeom prst="rect">
                      <a:avLst/>
                    </a:prstGeom>
                    <a:ln>
                      <a:noFill/>
                    </a:ln>
                    <a:extLst>
                      <a:ext uri="{53640926-AAD7-44D8-BBD7-CCE9431645EC}">
                        <a14:shadowObscured xmlns:a14="http://schemas.microsoft.com/office/drawing/2010/main"/>
                      </a:ext>
                    </a:extLst>
                  </pic:spPr>
                </pic:pic>
              </a:graphicData>
            </a:graphic>
          </wp:inline>
        </w:drawing>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t>Sin embargo</w:t>
      </w:r>
      <w:r>
        <w:rPr>
          <w:sz w:val="20"/>
          <w:szCs w:val="20"/>
        </w:rPr>
        <w:t>,</w:t>
      </w:r>
      <w:r w:rsidRPr="00955A4C">
        <w:rPr>
          <w:sz w:val="20"/>
          <w:szCs w:val="20"/>
        </w:rPr>
        <w:t xml:space="preserve"> un cambio estructural en la dinámica económica y los niveles de riqueza de Tlaxcala podrían generar menores niveles de ingresos propios y una menor flexibilidad financiera, pudiendo ejercer presión en la estabilidad económica del Estado.</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t>Para contener este riesgo, el proyecto del Gobierno incluye una mayor promoción de la inversión pública y del turismo, la incorporación de causantes informales, intensificar la fiscalización y el cobro de los impuestos, para fomentar la economía e incrementar la recaudación.</w:t>
      </w:r>
    </w:p>
    <w:p w:rsidR="008E6390" w:rsidRPr="00955A4C" w:rsidRDefault="008E6390" w:rsidP="008E6390">
      <w:pPr>
        <w:spacing w:line="360" w:lineRule="auto"/>
        <w:jc w:val="both"/>
        <w:rPr>
          <w:sz w:val="20"/>
          <w:szCs w:val="20"/>
        </w:rPr>
      </w:pPr>
    </w:p>
    <w:p w:rsidR="001C6AC8" w:rsidRDefault="001C6AC8" w:rsidP="008E6390">
      <w:pPr>
        <w:spacing w:line="360" w:lineRule="auto"/>
        <w:jc w:val="both"/>
        <w:rPr>
          <w:b/>
          <w:bCs/>
          <w:sz w:val="20"/>
          <w:szCs w:val="20"/>
        </w:rPr>
      </w:pPr>
    </w:p>
    <w:p w:rsidR="001C6AC8" w:rsidRDefault="001C6AC8" w:rsidP="008E6390">
      <w:pPr>
        <w:spacing w:line="360" w:lineRule="auto"/>
        <w:jc w:val="both"/>
        <w:rPr>
          <w:b/>
          <w:bCs/>
          <w:sz w:val="20"/>
          <w:szCs w:val="20"/>
        </w:rPr>
      </w:pPr>
    </w:p>
    <w:p w:rsidR="008E6390" w:rsidRDefault="008E6390" w:rsidP="008E6390">
      <w:pPr>
        <w:spacing w:line="360" w:lineRule="auto"/>
        <w:jc w:val="both"/>
        <w:rPr>
          <w:b/>
          <w:bCs/>
          <w:sz w:val="20"/>
          <w:szCs w:val="20"/>
        </w:rPr>
      </w:pPr>
      <w:r w:rsidRPr="00955A4C">
        <w:rPr>
          <w:b/>
          <w:bCs/>
          <w:sz w:val="20"/>
          <w:szCs w:val="20"/>
        </w:rPr>
        <w:lastRenderedPageBreak/>
        <w:t>EVOLUCIÓN DE LAS FINANZAS PÚBLICAS 201</w:t>
      </w:r>
      <w:r>
        <w:rPr>
          <w:b/>
          <w:bCs/>
          <w:sz w:val="20"/>
          <w:szCs w:val="20"/>
        </w:rPr>
        <w:t>4</w:t>
      </w:r>
      <w:r w:rsidRPr="00955A4C">
        <w:rPr>
          <w:b/>
          <w:bCs/>
          <w:sz w:val="20"/>
          <w:szCs w:val="20"/>
        </w:rPr>
        <w:t>-2019.</w:t>
      </w:r>
    </w:p>
    <w:p w:rsidR="008E6390" w:rsidRDefault="008E6390" w:rsidP="008E6390">
      <w:pPr>
        <w:spacing w:line="360" w:lineRule="auto"/>
        <w:jc w:val="both"/>
        <w:rPr>
          <w:b/>
          <w:bCs/>
          <w:sz w:val="20"/>
          <w:szCs w:val="20"/>
        </w:rPr>
      </w:pPr>
    </w:p>
    <w:p w:rsidR="008E6390" w:rsidRDefault="008E6390" w:rsidP="008E6390">
      <w:pPr>
        <w:spacing w:line="360" w:lineRule="auto"/>
        <w:jc w:val="both"/>
        <w:rPr>
          <w:b/>
          <w:bCs/>
          <w:sz w:val="20"/>
          <w:szCs w:val="20"/>
        </w:rPr>
      </w:pPr>
    </w:p>
    <w:p w:rsidR="008E6390" w:rsidRDefault="008E6390" w:rsidP="008E6390">
      <w:pPr>
        <w:pStyle w:val="PRIMERAPLANA"/>
        <w:spacing w:line="360" w:lineRule="auto"/>
        <w:rPr>
          <w:rFonts w:ascii="Times New Roman" w:hAnsi="Times New Roman"/>
          <w:iCs/>
          <w:lang w:val="es-ES"/>
        </w:rPr>
      </w:pPr>
      <w:r w:rsidRPr="00A73805">
        <w:rPr>
          <w:rFonts w:ascii="Times New Roman" w:hAnsi="Times New Roman"/>
          <w:iCs/>
          <w:lang w:val="es-ES"/>
        </w:rPr>
        <w:t>La evolución del Gasto Público del Estado obedece a los flujos de</w:t>
      </w:r>
      <w:r>
        <w:rPr>
          <w:rFonts w:ascii="Times New Roman" w:hAnsi="Times New Roman"/>
          <w:iCs/>
          <w:lang w:val="es-ES"/>
        </w:rPr>
        <w:t xml:space="preserve"> </w:t>
      </w:r>
      <w:r w:rsidRPr="00A73805">
        <w:rPr>
          <w:rFonts w:ascii="Times New Roman" w:hAnsi="Times New Roman"/>
          <w:iCs/>
          <w:lang w:val="es-ES"/>
        </w:rPr>
        <w:t>recaudación de los ingresos de libre disposición, los cuales en gran</w:t>
      </w:r>
      <w:r>
        <w:rPr>
          <w:rFonts w:ascii="Times New Roman" w:hAnsi="Times New Roman"/>
          <w:iCs/>
          <w:lang w:val="es-ES"/>
        </w:rPr>
        <w:t xml:space="preserve"> </w:t>
      </w:r>
      <w:r w:rsidRPr="00A73805">
        <w:rPr>
          <w:rFonts w:ascii="Times New Roman" w:hAnsi="Times New Roman"/>
          <w:iCs/>
          <w:lang w:val="es-ES"/>
        </w:rPr>
        <w:t>medida son determinados por el comportamiento de la Recaudación</w:t>
      </w:r>
      <w:r>
        <w:rPr>
          <w:rFonts w:ascii="Times New Roman" w:hAnsi="Times New Roman"/>
          <w:iCs/>
          <w:lang w:val="es-ES"/>
        </w:rPr>
        <w:t xml:space="preserve"> </w:t>
      </w:r>
      <w:r w:rsidRPr="00A73805">
        <w:rPr>
          <w:rFonts w:ascii="Times New Roman" w:hAnsi="Times New Roman"/>
          <w:iCs/>
          <w:lang w:val="es-ES"/>
        </w:rPr>
        <w:t>Federal Participable (RFP); propiciando que las finanzas públicas</w:t>
      </w:r>
      <w:r>
        <w:rPr>
          <w:rFonts w:ascii="Times New Roman" w:hAnsi="Times New Roman"/>
          <w:iCs/>
          <w:lang w:val="es-ES"/>
        </w:rPr>
        <w:t xml:space="preserve"> </w:t>
      </w:r>
      <w:r w:rsidRPr="00A73805">
        <w:rPr>
          <w:rFonts w:ascii="Times New Roman" w:hAnsi="Times New Roman"/>
          <w:iCs/>
          <w:lang w:val="es-ES"/>
        </w:rPr>
        <w:t>estatales sean sensibles ante el comportamiento de la economía nacional</w:t>
      </w:r>
      <w:r>
        <w:rPr>
          <w:rFonts w:ascii="Times New Roman" w:hAnsi="Times New Roman"/>
          <w:iCs/>
          <w:lang w:val="es-ES"/>
        </w:rPr>
        <w:t xml:space="preserve"> </w:t>
      </w:r>
      <w:r w:rsidRPr="00A73805">
        <w:rPr>
          <w:rFonts w:ascii="Times New Roman" w:hAnsi="Times New Roman"/>
          <w:iCs/>
          <w:lang w:val="es-ES"/>
        </w:rPr>
        <w:t>e internacional.</w:t>
      </w:r>
    </w:p>
    <w:p w:rsidR="008E6390" w:rsidRDefault="008E6390" w:rsidP="008E6390">
      <w:pPr>
        <w:pStyle w:val="PRIMERAPLANA"/>
        <w:spacing w:line="360" w:lineRule="auto"/>
        <w:rPr>
          <w:rFonts w:ascii="Times New Roman" w:hAnsi="Times New Roman"/>
          <w:iCs/>
          <w:lang w:val="es-ES"/>
        </w:rPr>
      </w:pPr>
    </w:p>
    <w:p w:rsidR="008E6390" w:rsidRDefault="008E6390" w:rsidP="008E6390">
      <w:pPr>
        <w:pStyle w:val="PRIMERAPLANA"/>
        <w:spacing w:line="360" w:lineRule="auto"/>
        <w:rPr>
          <w:rFonts w:ascii="Times New Roman" w:hAnsi="Times New Roman"/>
          <w:iCs/>
          <w:lang w:val="es-ES"/>
        </w:rPr>
      </w:pPr>
      <w:r w:rsidRPr="00E1406B">
        <w:rPr>
          <w:rFonts w:ascii="Times New Roman" w:hAnsi="Times New Roman"/>
          <w:iCs/>
          <w:lang w:val="es-ES"/>
        </w:rPr>
        <w:t>Durante el periodo 201</w:t>
      </w:r>
      <w:r>
        <w:rPr>
          <w:rFonts w:ascii="Times New Roman" w:hAnsi="Times New Roman"/>
          <w:iCs/>
          <w:lang w:val="es-ES"/>
        </w:rPr>
        <w:t>4</w:t>
      </w:r>
      <w:r w:rsidRPr="00E1406B">
        <w:rPr>
          <w:rFonts w:ascii="Times New Roman" w:hAnsi="Times New Roman"/>
          <w:iCs/>
          <w:lang w:val="es-ES"/>
        </w:rPr>
        <w:t>-201</w:t>
      </w:r>
      <w:r>
        <w:rPr>
          <w:rFonts w:ascii="Times New Roman" w:hAnsi="Times New Roman"/>
          <w:iCs/>
          <w:lang w:val="es-ES"/>
        </w:rPr>
        <w:t>9</w:t>
      </w:r>
      <w:r w:rsidRPr="00E1406B">
        <w:rPr>
          <w:rFonts w:ascii="Times New Roman" w:hAnsi="Times New Roman"/>
          <w:iCs/>
          <w:lang w:val="es-ES"/>
        </w:rPr>
        <w:t>, el Gasto Público del Estado ha registrado</w:t>
      </w:r>
      <w:r>
        <w:rPr>
          <w:rFonts w:ascii="Times New Roman" w:hAnsi="Times New Roman"/>
          <w:iCs/>
          <w:lang w:val="es-ES"/>
        </w:rPr>
        <w:t xml:space="preserve"> </w:t>
      </w:r>
      <w:r w:rsidRPr="00E1406B">
        <w:rPr>
          <w:rFonts w:ascii="Times New Roman" w:hAnsi="Times New Roman"/>
          <w:iCs/>
          <w:lang w:val="es-ES"/>
        </w:rPr>
        <w:t>un incremento real moderado, debido principalmente a los resultados</w:t>
      </w:r>
      <w:r>
        <w:rPr>
          <w:rFonts w:ascii="Times New Roman" w:hAnsi="Times New Roman"/>
          <w:iCs/>
          <w:lang w:val="es-ES"/>
        </w:rPr>
        <w:t xml:space="preserve"> </w:t>
      </w:r>
      <w:r w:rsidRPr="00E1406B">
        <w:rPr>
          <w:rFonts w:ascii="Times New Roman" w:hAnsi="Times New Roman"/>
          <w:iCs/>
          <w:lang w:val="es-ES"/>
        </w:rPr>
        <w:t>positivos en la recaudación de ingre</w:t>
      </w:r>
      <w:r>
        <w:rPr>
          <w:rFonts w:ascii="Times New Roman" w:hAnsi="Times New Roman"/>
          <w:iCs/>
          <w:lang w:val="es-ES"/>
        </w:rPr>
        <w:t xml:space="preserve">sos tributarios por parte de la </w:t>
      </w:r>
      <w:r w:rsidRPr="00E1406B">
        <w:rPr>
          <w:rFonts w:ascii="Times New Roman" w:hAnsi="Times New Roman"/>
          <w:iCs/>
          <w:lang w:val="es-ES"/>
        </w:rPr>
        <w:t>Federación y de las medidas adoptadas a través de la Reforma</w:t>
      </w:r>
      <w:r>
        <w:rPr>
          <w:rFonts w:ascii="Times New Roman" w:hAnsi="Times New Roman"/>
          <w:iCs/>
          <w:lang w:val="es-ES"/>
        </w:rPr>
        <w:t xml:space="preserve"> </w:t>
      </w:r>
      <w:r w:rsidRPr="00E1406B">
        <w:rPr>
          <w:rFonts w:ascii="Times New Roman" w:hAnsi="Times New Roman"/>
          <w:iCs/>
          <w:lang w:val="es-ES"/>
        </w:rPr>
        <w:t>Hacendaria, sin embargo</w:t>
      </w:r>
      <w:r>
        <w:rPr>
          <w:rFonts w:ascii="Times New Roman" w:hAnsi="Times New Roman"/>
          <w:iCs/>
          <w:lang w:val="es-ES"/>
        </w:rPr>
        <w:t>,</w:t>
      </w:r>
      <w:r w:rsidRPr="00E1406B">
        <w:rPr>
          <w:rFonts w:ascii="Times New Roman" w:hAnsi="Times New Roman"/>
          <w:iCs/>
          <w:lang w:val="es-ES"/>
        </w:rPr>
        <w:t xml:space="preserve"> la baja en los precios del petróleo en años</w:t>
      </w:r>
      <w:r>
        <w:rPr>
          <w:rFonts w:ascii="Times New Roman" w:hAnsi="Times New Roman"/>
          <w:iCs/>
          <w:lang w:val="es-ES"/>
        </w:rPr>
        <w:t xml:space="preserve"> recientes</w:t>
      </w:r>
      <w:r w:rsidRPr="00E1406B">
        <w:rPr>
          <w:rFonts w:ascii="Times New Roman" w:hAnsi="Times New Roman"/>
          <w:iCs/>
          <w:lang w:val="es-ES"/>
        </w:rPr>
        <w:t xml:space="preserve"> y la</w:t>
      </w:r>
      <w:r>
        <w:rPr>
          <w:rFonts w:ascii="Times New Roman" w:hAnsi="Times New Roman"/>
          <w:iCs/>
          <w:lang w:val="es-ES"/>
        </w:rPr>
        <w:t xml:space="preserve"> </w:t>
      </w:r>
      <w:r w:rsidRPr="00E1406B">
        <w:rPr>
          <w:rFonts w:ascii="Times New Roman" w:hAnsi="Times New Roman"/>
          <w:iCs/>
          <w:lang w:val="es-ES"/>
        </w:rPr>
        <w:t>constante apreciación del dólar frente al peso, son factores que han</w:t>
      </w:r>
      <w:r>
        <w:rPr>
          <w:rFonts w:ascii="Times New Roman" w:hAnsi="Times New Roman"/>
          <w:iCs/>
          <w:lang w:val="es-ES"/>
        </w:rPr>
        <w:t xml:space="preserve"> </w:t>
      </w:r>
      <w:r w:rsidRPr="00E1406B">
        <w:rPr>
          <w:rFonts w:ascii="Times New Roman" w:hAnsi="Times New Roman"/>
          <w:iCs/>
          <w:lang w:val="es-ES"/>
        </w:rPr>
        <w:t>aumentado la volatilidad de capitales en el país, rompiendo la dinámica de</w:t>
      </w:r>
      <w:r>
        <w:rPr>
          <w:rFonts w:ascii="Times New Roman" w:hAnsi="Times New Roman"/>
          <w:iCs/>
          <w:lang w:val="es-ES"/>
        </w:rPr>
        <w:t xml:space="preserve"> </w:t>
      </w:r>
      <w:r w:rsidRPr="00E1406B">
        <w:rPr>
          <w:rFonts w:ascii="Times New Roman" w:hAnsi="Times New Roman"/>
          <w:iCs/>
          <w:lang w:val="es-ES"/>
        </w:rPr>
        <w:t>crecimiento observada en el per</w:t>
      </w:r>
      <w:r>
        <w:rPr>
          <w:rFonts w:ascii="Times New Roman" w:hAnsi="Times New Roman"/>
          <w:iCs/>
          <w:lang w:val="es-ES"/>
        </w:rPr>
        <w:t>í</w:t>
      </w:r>
      <w:r w:rsidRPr="00E1406B">
        <w:rPr>
          <w:rFonts w:ascii="Times New Roman" w:hAnsi="Times New Roman"/>
          <w:iCs/>
          <w:lang w:val="es-ES"/>
        </w:rPr>
        <w:t>odo aludido; por otra parte y en</w:t>
      </w:r>
      <w:r>
        <w:rPr>
          <w:rFonts w:ascii="Times New Roman" w:hAnsi="Times New Roman"/>
          <w:iCs/>
          <w:lang w:val="es-ES"/>
        </w:rPr>
        <w:t xml:space="preserve"> </w:t>
      </w:r>
      <w:r w:rsidRPr="00E1406B">
        <w:rPr>
          <w:rFonts w:ascii="Times New Roman" w:hAnsi="Times New Roman"/>
          <w:iCs/>
          <w:lang w:val="es-ES"/>
        </w:rPr>
        <w:t>concordancia con las políticas aplicadas por el Gobierno Federal, el</w:t>
      </w:r>
      <w:r>
        <w:rPr>
          <w:rFonts w:ascii="Times New Roman" w:hAnsi="Times New Roman"/>
          <w:iCs/>
          <w:lang w:val="es-ES"/>
        </w:rPr>
        <w:t xml:space="preserve"> </w:t>
      </w:r>
      <w:r w:rsidRPr="00E1406B">
        <w:rPr>
          <w:rFonts w:ascii="Times New Roman" w:hAnsi="Times New Roman"/>
          <w:iCs/>
          <w:lang w:val="es-ES"/>
        </w:rPr>
        <w:t>Ejecutivo del Estado puso en marcha una política fiscal para la contención</w:t>
      </w:r>
      <w:r>
        <w:rPr>
          <w:rFonts w:ascii="Times New Roman" w:hAnsi="Times New Roman"/>
          <w:iCs/>
          <w:lang w:val="es-ES"/>
        </w:rPr>
        <w:t xml:space="preserve"> </w:t>
      </w:r>
      <w:r w:rsidRPr="00E1406B">
        <w:rPr>
          <w:rFonts w:ascii="Times New Roman" w:hAnsi="Times New Roman"/>
          <w:iCs/>
          <w:lang w:val="es-ES"/>
        </w:rPr>
        <w:t>del gasto, implementando entre otras medidas la aplicación de criterios de</w:t>
      </w:r>
      <w:r>
        <w:rPr>
          <w:rFonts w:ascii="Times New Roman" w:hAnsi="Times New Roman"/>
          <w:iCs/>
          <w:lang w:val="es-ES"/>
        </w:rPr>
        <w:t xml:space="preserve"> </w:t>
      </w:r>
      <w:r w:rsidRPr="00E1406B">
        <w:rPr>
          <w:rFonts w:ascii="Times New Roman" w:hAnsi="Times New Roman"/>
          <w:iCs/>
          <w:lang w:val="es-ES"/>
        </w:rPr>
        <w:t>Racionalidad, Austeridad y Disciplina Presupuestal por parte de las</w:t>
      </w:r>
      <w:r>
        <w:rPr>
          <w:rFonts w:ascii="Times New Roman" w:hAnsi="Times New Roman"/>
          <w:iCs/>
          <w:lang w:val="es-ES"/>
        </w:rPr>
        <w:t xml:space="preserve"> </w:t>
      </w:r>
      <w:r w:rsidRPr="00E1406B">
        <w:rPr>
          <w:rFonts w:ascii="Times New Roman" w:hAnsi="Times New Roman"/>
          <w:iCs/>
          <w:lang w:val="es-ES"/>
        </w:rPr>
        <w:t>Dependencias y Entidades del Ejecutivo, a fin de optimizar el uso de</w:t>
      </w:r>
      <w:r>
        <w:rPr>
          <w:rFonts w:ascii="Times New Roman" w:hAnsi="Times New Roman"/>
          <w:iCs/>
          <w:lang w:val="es-ES"/>
        </w:rPr>
        <w:t xml:space="preserve"> </w:t>
      </w:r>
      <w:r w:rsidRPr="00E1406B">
        <w:rPr>
          <w:rFonts w:ascii="Times New Roman" w:hAnsi="Times New Roman"/>
          <w:iCs/>
          <w:lang w:val="es-ES"/>
        </w:rPr>
        <w:t>recursos materiales y financieros, al interior de los entes públicos, se</w:t>
      </w:r>
      <w:r>
        <w:rPr>
          <w:rFonts w:ascii="Times New Roman" w:hAnsi="Times New Roman"/>
          <w:iCs/>
          <w:lang w:val="es-ES"/>
        </w:rPr>
        <w:t xml:space="preserve"> </w:t>
      </w:r>
      <w:r w:rsidRPr="00E1406B">
        <w:rPr>
          <w:rFonts w:ascii="Times New Roman" w:hAnsi="Times New Roman"/>
          <w:iCs/>
          <w:lang w:val="es-ES"/>
        </w:rPr>
        <w:t>disminuyeron las estru</w:t>
      </w:r>
      <w:r>
        <w:rPr>
          <w:rFonts w:ascii="Times New Roman" w:hAnsi="Times New Roman"/>
          <w:iCs/>
          <w:lang w:val="es-ES"/>
        </w:rPr>
        <w:t xml:space="preserve">cturas burocráticas de personal, así como también </w:t>
      </w:r>
      <w:r w:rsidRPr="00BC730E">
        <w:rPr>
          <w:rFonts w:ascii="Times New Roman" w:hAnsi="Times New Roman"/>
          <w:iCs/>
          <w:lang w:val="es-ES"/>
        </w:rPr>
        <w:t xml:space="preserve"> ha implementado políticas de administración y de gobierno prudentes, obteniendo resultados positivos durante los últimos años. La política fiscal mantenida ha limitado el gasto corriente respecto de los ingresos disponibles en cada ejercicio, por lo que, se estima que se registren </w:t>
      </w:r>
      <w:r w:rsidRPr="00BC730E">
        <w:rPr>
          <w:rFonts w:ascii="Times New Roman" w:hAnsi="Times New Roman"/>
          <w:i/>
          <w:iCs/>
          <w:lang w:val="es-ES"/>
        </w:rPr>
        <w:t>superávits</w:t>
      </w:r>
      <w:r w:rsidRPr="00BC730E">
        <w:rPr>
          <w:rFonts w:ascii="Times New Roman" w:hAnsi="Times New Roman"/>
          <w:iCs/>
          <w:lang w:val="es-ES"/>
        </w:rPr>
        <w:t xml:space="preserve"> financieros en los ejercicios 2019 y 2020 en niveles alrededor del 1% de sus ingresos totales</w:t>
      </w:r>
      <w:r>
        <w:rPr>
          <w:rFonts w:ascii="Times New Roman" w:hAnsi="Times New Roman"/>
          <w:iCs/>
          <w:lang w:val="es-ES"/>
        </w:rPr>
        <w:t>, lo cual resulta benéfico para continuar con Finanzas Sanas</w:t>
      </w:r>
      <w:r w:rsidRPr="00BC730E">
        <w:rPr>
          <w:rFonts w:ascii="Times New Roman" w:hAnsi="Times New Roman"/>
          <w:iCs/>
          <w:lang w:val="es-ES"/>
        </w:rPr>
        <w:t>.</w:t>
      </w:r>
    </w:p>
    <w:p w:rsidR="008E6390" w:rsidRDefault="008E6390" w:rsidP="008E6390">
      <w:pPr>
        <w:pStyle w:val="PRIMERAPLANA"/>
        <w:spacing w:line="360" w:lineRule="auto"/>
        <w:rPr>
          <w:rFonts w:ascii="Times New Roman" w:hAnsi="Times New Roman"/>
          <w:iCs/>
          <w:lang w:val="es-ES"/>
        </w:rPr>
      </w:pPr>
    </w:p>
    <w:p w:rsidR="008E6390" w:rsidRDefault="008E6390" w:rsidP="008E6390">
      <w:pPr>
        <w:pStyle w:val="PRIMERAPLANA"/>
        <w:spacing w:line="360" w:lineRule="auto"/>
        <w:rPr>
          <w:rFonts w:ascii="Times New Roman" w:hAnsi="Times New Roman"/>
          <w:iCs/>
          <w:lang w:val="es-ES"/>
        </w:rPr>
      </w:pPr>
      <w:r w:rsidRPr="00ED3128">
        <w:rPr>
          <w:rFonts w:ascii="Times New Roman" w:hAnsi="Times New Roman"/>
          <w:iCs/>
          <w:lang w:val="es-ES"/>
        </w:rPr>
        <w:t>A continuación se presenta el comportamiento en la ejecución del gasto</w:t>
      </w:r>
      <w:r>
        <w:rPr>
          <w:rFonts w:ascii="Times New Roman" w:hAnsi="Times New Roman"/>
          <w:iCs/>
          <w:lang w:val="es-ES"/>
        </w:rPr>
        <w:t xml:space="preserve"> </w:t>
      </w:r>
      <w:r w:rsidRPr="00ED3128">
        <w:rPr>
          <w:rFonts w:ascii="Times New Roman" w:hAnsi="Times New Roman"/>
          <w:iCs/>
          <w:lang w:val="es-ES"/>
        </w:rPr>
        <w:t>público etiquetado y no etiquetado en los últimos cinco años y el</w:t>
      </w:r>
      <w:r>
        <w:rPr>
          <w:rFonts w:ascii="Times New Roman" w:hAnsi="Times New Roman"/>
          <w:iCs/>
          <w:lang w:val="es-ES"/>
        </w:rPr>
        <w:t xml:space="preserve"> </w:t>
      </w:r>
      <w:r w:rsidRPr="00ED3128">
        <w:rPr>
          <w:rFonts w:ascii="Times New Roman" w:hAnsi="Times New Roman"/>
          <w:iCs/>
          <w:lang w:val="es-ES"/>
        </w:rPr>
        <w:t>pronóstico de cierre 201</w:t>
      </w:r>
      <w:r>
        <w:rPr>
          <w:rFonts w:ascii="Times New Roman" w:hAnsi="Times New Roman"/>
          <w:iCs/>
          <w:lang w:val="es-ES"/>
        </w:rPr>
        <w:t>9</w:t>
      </w:r>
      <w:r w:rsidRPr="00ED3128">
        <w:rPr>
          <w:rFonts w:ascii="Times New Roman" w:hAnsi="Times New Roman"/>
          <w:iCs/>
          <w:lang w:val="es-ES"/>
        </w:rPr>
        <w:t>.</w:t>
      </w:r>
    </w:p>
    <w:p w:rsidR="008E6390" w:rsidRDefault="008E6390" w:rsidP="008E6390">
      <w:pPr>
        <w:pStyle w:val="PRIMERAPLANA"/>
        <w:spacing w:line="360" w:lineRule="auto"/>
        <w:rPr>
          <w:rFonts w:ascii="Times New Roman" w:hAnsi="Times New Roman"/>
          <w:iCs/>
          <w:lang w:val="es-ES"/>
        </w:rPr>
      </w:pPr>
    </w:p>
    <w:p w:rsidR="008E6390" w:rsidRDefault="008E6390" w:rsidP="008E6390">
      <w:pPr>
        <w:pStyle w:val="PRIMERAPLANA"/>
        <w:spacing w:line="360" w:lineRule="auto"/>
        <w:rPr>
          <w:rFonts w:ascii="Times New Roman" w:hAnsi="Times New Roman"/>
          <w:iCs/>
          <w:lang w:val="es-ES"/>
        </w:rPr>
      </w:pPr>
    </w:p>
    <w:p w:rsidR="008E6390" w:rsidRDefault="008E6390" w:rsidP="008E6390">
      <w:pPr>
        <w:pStyle w:val="PRIMERAPLANA"/>
        <w:spacing w:line="360" w:lineRule="auto"/>
        <w:rPr>
          <w:rFonts w:ascii="Times New Roman" w:hAnsi="Times New Roman"/>
          <w:iCs/>
          <w:lang w:val="es-ES"/>
        </w:rPr>
      </w:pPr>
    </w:p>
    <w:p w:rsidR="008E6390" w:rsidRPr="00BC730E" w:rsidRDefault="008E6390" w:rsidP="008E6390">
      <w:pPr>
        <w:pStyle w:val="PRIMERAPLANA"/>
        <w:spacing w:line="360" w:lineRule="auto"/>
        <w:rPr>
          <w:rFonts w:ascii="Times New Roman" w:hAnsi="Times New Roman"/>
          <w:iCs/>
          <w:lang w:val="es-ES"/>
        </w:rPr>
      </w:pPr>
    </w:p>
    <w:tbl>
      <w:tblPr>
        <w:tblW w:w="6762" w:type="dxa"/>
        <w:jc w:val="center"/>
        <w:tblCellMar>
          <w:left w:w="70" w:type="dxa"/>
          <w:right w:w="70" w:type="dxa"/>
        </w:tblCellMar>
        <w:tblLook w:val="04A0" w:firstRow="1" w:lastRow="0" w:firstColumn="1" w:lastColumn="0" w:noHBand="0" w:noVBand="1"/>
      </w:tblPr>
      <w:tblGrid>
        <w:gridCol w:w="1691"/>
        <w:gridCol w:w="891"/>
        <w:gridCol w:w="836"/>
        <w:gridCol w:w="836"/>
        <w:gridCol w:w="836"/>
        <w:gridCol w:w="836"/>
        <w:gridCol w:w="836"/>
      </w:tblGrid>
      <w:tr w:rsidR="008E6390" w:rsidRPr="002E0CC2" w:rsidTr="008E6390">
        <w:trPr>
          <w:trHeight w:val="300"/>
          <w:jc w:val="center"/>
        </w:trPr>
        <w:tc>
          <w:tcPr>
            <w:tcW w:w="6762" w:type="dxa"/>
            <w:gridSpan w:val="7"/>
            <w:tcBorders>
              <w:top w:val="single" w:sz="8" w:space="0" w:color="auto"/>
              <w:left w:val="single" w:sz="8" w:space="0" w:color="auto"/>
              <w:bottom w:val="nil"/>
              <w:right w:val="single" w:sz="8" w:space="0" w:color="000000"/>
            </w:tcBorders>
            <w:shd w:val="clear" w:color="000000" w:fill="D9D9D9"/>
            <w:noWrap/>
            <w:vAlign w:val="center"/>
            <w:hideMark/>
          </w:tcPr>
          <w:p w:rsidR="008E6390" w:rsidRPr="002E0CC2" w:rsidRDefault="008E6390" w:rsidP="008E6390">
            <w:pPr>
              <w:jc w:val="center"/>
              <w:rPr>
                <w:rFonts w:ascii="Arial" w:hAnsi="Arial" w:cs="Arial"/>
                <w:b/>
                <w:bCs/>
                <w:color w:val="000000"/>
                <w:sz w:val="12"/>
                <w:szCs w:val="12"/>
                <w:lang w:val="es-MX" w:eastAsia="es-MX"/>
              </w:rPr>
            </w:pPr>
            <w:r>
              <w:rPr>
                <w:rFonts w:ascii="Arial" w:hAnsi="Arial" w:cs="Arial"/>
                <w:b/>
                <w:bCs/>
                <w:color w:val="000000"/>
                <w:sz w:val="12"/>
                <w:szCs w:val="12"/>
                <w:lang w:val="es-MX" w:eastAsia="es-MX"/>
              </w:rPr>
              <w:t>GOBIERNO DEL ESTADO DE TLAXCALA</w:t>
            </w:r>
          </w:p>
        </w:tc>
      </w:tr>
      <w:tr w:rsidR="008E6390" w:rsidRPr="002E0CC2" w:rsidTr="008E6390">
        <w:trPr>
          <w:trHeight w:val="300"/>
          <w:jc w:val="center"/>
        </w:trPr>
        <w:tc>
          <w:tcPr>
            <w:tcW w:w="6762" w:type="dxa"/>
            <w:gridSpan w:val="7"/>
            <w:tcBorders>
              <w:top w:val="nil"/>
              <w:left w:val="single" w:sz="8" w:space="0" w:color="auto"/>
              <w:bottom w:val="nil"/>
              <w:right w:val="single" w:sz="8" w:space="0" w:color="000000"/>
            </w:tcBorders>
            <w:shd w:val="clear" w:color="000000" w:fill="D9D9D9"/>
            <w:noWrap/>
            <w:vAlign w:val="center"/>
            <w:hideMark/>
          </w:tcPr>
          <w:p w:rsidR="008E6390" w:rsidRPr="002E0CC2" w:rsidRDefault="008E6390" w:rsidP="008E6390">
            <w:pPr>
              <w:jc w:val="center"/>
              <w:rPr>
                <w:rFonts w:ascii="Arial" w:hAnsi="Arial" w:cs="Arial"/>
                <w:b/>
                <w:bCs/>
                <w:color w:val="000000"/>
                <w:sz w:val="12"/>
                <w:szCs w:val="12"/>
                <w:lang w:val="es-MX" w:eastAsia="es-MX"/>
              </w:rPr>
            </w:pPr>
            <w:r w:rsidRPr="0029701A">
              <w:rPr>
                <w:rFonts w:ascii="Arial" w:hAnsi="Arial" w:cs="Arial"/>
                <w:b/>
                <w:bCs/>
                <w:color w:val="000000"/>
                <w:sz w:val="12"/>
                <w:szCs w:val="12"/>
                <w:lang w:val="es-MX" w:eastAsia="es-MX"/>
              </w:rPr>
              <w:t>Resultados de Egresos - LDF</w:t>
            </w:r>
          </w:p>
        </w:tc>
      </w:tr>
      <w:tr w:rsidR="008E6390" w:rsidRPr="002E0CC2" w:rsidTr="008E6390">
        <w:trPr>
          <w:trHeight w:val="315"/>
          <w:jc w:val="center"/>
        </w:trPr>
        <w:tc>
          <w:tcPr>
            <w:tcW w:w="6762" w:type="dxa"/>
            <w:gridSpan w:val="7"/>
            <w:tcBorders>
              <w:top w:val="nil"/>
              <w:left w:val="single" w:sz="8" w:space="0" w:color="auto"/>
              <w:bottom w:val="single" w:sz="8" w:space="0" w:color="auto"/>
              <w:right w:val="single" w:sz="8" w:space="0" w:color="000000"/>
            </w:tcBorders>
            <w:shd w:val="clear" w:color="000000" w:fill="D9D9D9"/>
            <w:noWrap/>
            <w:vAlign w:val="center"/>
            <w:hideMark/>
          </w:tcPr>
          <w:p w:rsidR="008E6390" w:rsidRPr="002E0CC2" w:rsidRDefault="008E6390" w:rsidP="008E6390">
            <w:pPr>
              <w:jc w:val="center"/>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(PESOS)</w:t>
            </w:r>
          </w:p>
        </w:tc>
      </w:tr>
      <w:tr w:rsidR="008E6390" w:rsidRPr="002E0CC2" w:rsidTr="008E6390">
        <w:trPr>
          <w:trHeight w:val="315"/>
          <w:jc w:val="center"/>
        </w:trPr>
        <w:tc>
          <w:tcPr>
            <w:tcW w:w="1691" w:type="dxa"/>
            <w:tcBorders>
              <w:top w:val="nil"/>
              <w:left w:val="single" w:sz="8" w:space="0" w:color="auto"/>
              <w:bottom w:val="single" w:sz="8" w:space="0" w:color="auto"/>
              <w:right w:val="single" w:sz="8" w:space="0" w:color="auto"/>
            </w:tcBorders>
            <w:shd w:val="clear" w:color="000000" w:fill="D9D9D9"/>
            <w:noWrap/>
            <w:vAlign w:val="center"/>
            <w:hideMark/>
          </w:tcPr>
          <w:p w:rsidR="008E6390" w:rsidRPr="002E0CC2" w:rsidRDefault="008E6390" w:rsidP="008E6390">
            <w:pPr>
              <w:jc w:val="center"/>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Concepto (b)</w:t>
            </w:r>
          </w:p>
        </w:tc>
        <w:tc>
          <w:tcPr>
            <w:tcW w:w="891" w:type="dxa"/>
            <w:tcBorders>
              <w:top w:val="nil"/>
              <w:left w:val="nil"/>
              <w:bottom w:val="single" w:sz="8" w:space="0" w:color="auto"/>
              <w:right w:val="single" w:sz="8" w:space="0" w:color="auto"/>
            </w:tcBorders>
            <w:shd w:val="clear" w:color="000000" w:fill="D9D9D9"/>
            <w:noWrap/>
            <w:vAlign w:val="center"/>
            <w:hideMark/>
          </w:tcPr>
          <w:p w:rsidR="008E6390" w:rsidRDefault="008E6390" w:rsidP="008E6390">
            <w:pPr>
              <w:jc w:val="center"/>
              <w:rPr>
                <w:rFonts w:ascii="Arial" w:hAnsi="Arial" w:cs="Arial"/>
                <w:b/>
                <w:bCs/>
                <w:color w:val="000000"/>
                <w:sz w:val="12"/>
                <w:szCs w:val="12"/>
                <w:lang w:val="es-MX" w:eastAsia="es-MX"/>
              </w:rPr>
            </w:pPr>
            <w:r>
              <w:rPr>
                <w:rFonts w:ascii="Arial" w:hAnsi="Arial" w:cs="Arial"/>
                <w:b/>
                <w:bCs/>
                <w:color w:val="000000"/>
                <w:sz w:val="12"/>
                <w:szCs w:val="12"/>
              </w:rPr>
              <w:t>2014</w:t>
            </w:r>
          </w:p>
        </w:tc>
        <w:tc>
          <w:tcPr>
            <w:tcW w:w="836" w:type="dxa"/>
            <w:tcBorders>
              <w:top w:val="nil"/>
              <w:left w:val="nil"/>
              <w:bottom w:val="single" w:sz="8" w:space="0" w:color="auto"/>
              <w:right w:val="single" w:sz="8" w:space="0" w:color="auto"/>
            </w:tcBorders>
            <w:shd w:val="clear" w:color="000000" w:fill="D9D9D9"/>
            <w:noWrap/>
            <w:vAlign w:val="center"/>
            <w:hideMark/>
          </w:tcPr>
          <w:p w:rsidR="008E6390" w:rsidRDefault="008E6390" w:rsidP="008E6390">
            <w:pPr>
              <w:jc w:val="center"/>
              <w:rPr>
                <w:rFonts w:ascii="Arial" w:hAnsi="Arial" w:cs="Arial"/>
                <w:b/>
                <w:bCs/>
                <w:color w:val="000000"/>
                <w:sz w:val="12"/>
                <w:szCs w:val="12"/>
              </w:rPr>
            </w:pPr>
            <w:r>
              <w:rPr>
                <w:rFonts w:ascii="Arial" w:hAnsi="Arial" w:cs="Arial"/>
                <w:b/>
                <w:bCs/>
                <w:color w:val="000000"/>
                <w:sz w:val="12"/>
                <w:szCs w:val="12"/>
              </w:rPr>
              <w:t>2015</w:t>
            </w:r>
          </w:p>
        </w:tc>
        <w:tc>
          <w:tcPr>
            <w:tcW w:w="836" w:type="dxa"/>
            <w:tcBorders>
              <w:top w:val="nil"/>
              <w:left w:val="nil"/>
              <w:bottom w:val="single" w:sz="8" w:space="0" w:color="auto"/>
              <w:right w:val="single" w:sz="8" w:space="0" w:color="auto"/>
            </w:tcBorders>
            <w:shd w:val="clear" w:color="000000" w:fill="D9D9D9"/>
            <w:noWrap/>
            <w:vAlign w:val="center"/>
            <w:hideMark/>
          </w:tcPr>
          <w:p w:rsidR="008E6390" w:rsidRDefault="008E6390" w:rsidP="008E6390">
            <w:pPr>
              <w:jc w:val="center"/>
              <w:rPr>
                <w:rFonts w:ascii="Arial" w:hAnsi="Arial" w:cs="Arial"/>
                <w:b/>
                <w:bCs/>
                <w:color w:val="000000"/>
                <w:sz w:val="12"/>
                <w:szCs w:val="12"/>
              </w:rPr>
            </w:pPr>
            <w:r>
              <w:rPr>
                <w:rFonts w:ascii="Arial" w:hAnsi="Arial" w:cs="Arial"/>
                <w:b/>
                <w:bCs/>
                <w:color w:val="000000"/>
                <w:sz w:val="12"/>
                <w:szCs w:val="12"/>
              </w:rPr>
              <w:t>2016</w:t>
            </w:r>
          </w:p>
        </w:tc>
        <w:tc>
          <w:tcPr>
            <w:tcW w:w="836" w:type="dxa"/>
            <w:tcBorders>
              <w:top w:val="nil"/>
              <w:left w:val="nil"/>
              <w:bottom w:val="single" w:sz="8" w:space="0" w:color="auto"/>
              <w:right w:val="single" w:sz="8" w:space="0" w:color="auto"/>
            </w:tcBorders>
            <w:shd w:val="clear" w:color="000000" w:fill="D9D9D9"/>
            <w:noWrap/>
            <w:vAlign w:val="center"/>
            <w:hideMark/>
          </w:tcPr>
          <w:p w:rsidR="008E6390" w:rsidRDefault="008E6390" w:rsidP="008E6390">
            <w:pPr>
              <w:jc w:val="center"/>
              <w:rPr>
                <w:rFonts w:ascii="Arial" w:hAnsi="Arial" w:cs="Arial"/>
                <w:b/>
                <w:bCs/>
                <w:color w:val="000000"/>
                <w:sz w:val="12"/>
                <w:szCs w:val="12"/>
              </w:rPr>
            </w:pPr>
            <w:r>
              <w:rPr>
                <w:rFonts w:ascii="Arial" w:hAnsi="Arial" w:cs="Arial"/>
                <w:b/>
                <w:bCs/>
                <w:color w:val="000000"/>
                <w:sz w:val="12"/>
                <w:szCs w:val="12"/>
              </w:rPr>
              <w:t>2017</w:t>
            </w:r>
          </w:p>
        </w:tc>
        <w:tc>
          <w:tcPr>
            <w:tcW w:w="836" w:type="dxa"/>
            <w:tcBorders>
              <w:top w:val="nil"/>
              <w:left w:val="nil"/>
              <w:bottom w:val="single" w:sz="8" w:space="0" w:color="auto"/>
              <w:right w:val="single" w:sz="8" w:space="0" w:color="auto"/>
            </w:tcBorders>
            <w:shd w:val="clear" w:color="000000" w:fill="D9D9D9"/>
            <w:noWrap/>
            <w:vAlign w:val="center"/>
            <w:hideMark/>
          </w:tcPr>
          <w:p w:rsidR="008E6390" w:rsidRDefault="008E6390" w:rsidP="008E6390">
            <w:pPr>
              <w:jc w:val="center"/>
              <w:rPr>
                <w:rFonts w:ascii="Arial" w:hAnsi="Arial" w:cs="Arial"/>
                <w:b/>
                <w:bCs/>
                <w:color w:val="000000"/>
                <w:sz w:val="12"/>
                <w:szCs w:val="12"/>
              </w:rPr>
            </w:pPr>
            <w:r>
              <w:rPr>
                <w:rFonts w:ascii="Arial" w:hAnsi="Arial" w:cs="Arial"/>
                <w:b/>
                <w:bCs/>
                <w:color w:val="000000"/>
                <w:sz w:val="12"/>
                <w:szCs w:val="12"/>
              </w:rPr>
              <w:t>2018</w:t>
            </w:r>
          </w:p>
        </w:tc>
        <w:tc>
          <w:tcPr>
            <w:tcW w:w="836" w:type="dxa"/>
            <w:tcBorders>
              <w:top w:val="nil"/>
              <w:left w:val="nil"/>
              <w:bottom w:val="single" w:sz="8" w:space="0" w:color="auto"/>
              <w:right w:val="single" w:sz="8" w:space="0" w:color="auto"/>
            </w:tcBorders>
            <w:shd w:val="clear" w:color="000000" w:fill="D9D9D9"/>
            <w:noWrap/>
            <w:vAlign w:val="center"/>
            <w:hideMark/>
          </w:tcPr>
          <w:p w:rsidR="008E6390" w:rsidRDefault="008E6390" w:rsidP="008E6390">
            <w:pPr>
              <w:jc w:val="center"/>
              <w:rPr>
                <w:rFonts w:ascii="Arial" w:hAnsi="Arial" w:cs="Arial"/>
                <w:b/>
                <w:bCs/>
                <w:color w:val="000000"/>
                <w:sz w:val="12"/>
                <w:szCs w:val="12"/>
              </w:rPr>
            </w:pPr>
            <w:r>
              <w:rPr>
                <w:rFonts w:ascii="Arial" w:hAnsi="Arial" w:cs="Arial"/>
                <w:b/>
                <w:bCs/>
                <w:color w:val="000000"/>
                <w:sz w:val="12"/>
                <w:szCs w:val="12"/>
              </w:rPr>
              <w:t>2019</w:t>
            </w:r>
          </w:p>
        </w:tc>
      </w:tr>
      <w:tr w:rsidR="008E6390" w:rsidRPr="002E0CC2" w:rsidTr="008E6390">
        <w:trPr>
          <w:trHeight w:val="67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9701A" w:rsidRDefault="008E6390" w:rsidP="008E6390">
            <w:pPr>
              <w:jc w:val="both"/>
              <w:rPr>
                <w:rFonts w:ascii="Arial" w:hAnsi="Arial" w:cs="Arial"/>
                <w:b/>
                <w:bCs/>
                <w:color w:val="000000"/>
                <w:sz w:val="12"/>
                <w:szCs w:val="12"/>
                <w:lang w:val="es-MX" w:eastAsia="es-MX"/>
              </w:rPr>
            </w:pPr>
            <w:r w:rsidRPr="0029701A">
              <w:rPr>
                <w:rFonts w:ascii="Arial" w:hAnsi="Arial" w:cs="Arial"/>
                <w:b/>
                <w:bCs/>
                <w:color w:val="000000"/>
                <w:sz w:val="12"/>
                <w:szCs w:val="12"/>
                <w:lang w:val="es-MX" w:eastAsia="es-MX"/>
              </w:rPr>
              <w:t>1.</w:t>
            </w:r>
            <w:r w:rsidRPr="0029701A">
              <w:rPr>
                <w:b/>
                <w:bCs/>
                <w:color w:val="000000"/>
                <w:sz w:val="12"/>
                <w:szCs w:val="12"/>
                <w:lang w:val="es-MX" w:eastAsia="es-MX"/>
              </w:rPr>
              <w:t xml:space="preserve">  </w:t>
            </w:r>
            <w:r w:rsidRPr="0029701A">
              <w:rPr>
                <w:rFonts w:ascii="Arial" w:hAnsi="Arial" w:cs="Arial"/>
                <w:b/>
                <w:bCs/>
                <w:color w:val="000000"/>
                <w:sz w:val="12"/>
                <w:szCs w:val="12"/>
                <w:lang w:val="es-MX" w:eastAsia="es-MX"/>
              </w:rPr>
              <w:t>Gasto No Etiquetado</w:t>
            </w:r>
            <w:r w:rsidRPr="0029701A">
              <w:rPr>
                <w:rFonts w:ascii="Arial" w:hAnsi="Arial" w:cs="Arial"/>
                <w:b/>
                <w:color w:val="000000"/>
                <w:sz w:val="12"/>
                <w:szCs w:val="12"/>
                <w:lang w:val="es-MX" w:eastAsia="es-MX"/>
              </w:rPr>
              <w:t xml:space="preserve"> </w:t>
            </w:r>
            <w:r w:rsidRPr="0029701A">
              <w:rPr>
                <w:rFonts w:ascii="Arial" w:hAnsi="Arial" w:cs="Arial"/>
                <w:b/>
                <w:bCs/>
                <w:color w:val="000000"/>
                <w:sz w:val="12"/>
                <w:szCs w:val="12"/>
                <w:lang w:val="es-MX" w:eastAsia="es-MX"/>
              </w:rPr>
              <w:t>(1=A+B+C+D+E+F+G+H+I)</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6,399,668,273</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6,578,578,478</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7,898,054,090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8,734,444,703</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9,626,799,585</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10,026,945,526</w:t>
            </w:r>
          </w:p>
        </w:tc>
      </w:tr>
      <w:tr w:rsidR="008E6390" w:rsidRPr="002E0CC2" w:rsidTr="008E6390">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A.</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Personales</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1,922,247,217</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2,005,123,138</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2,124,667,850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2,110,453,937</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2,137,432,995</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2,382,658,982</w:t>
            </w:r>
          </w:p>
        </w:tc>
      </w:tr>
      <w:tr w:rsidR="008E6390" w:rsidRPr="002E0CC2" w:rsidTr="008E6390">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B.</w:t>
            </w:r>
            <w:r w:rsidRPr="002E0CC2">
              <w:rPr>
                <w:color w:val="000000"/>
                <w:sz w:val="12"/>
                <w:szCs w:val="12"/>
                <w:lang w:val="es-MX" w:eastAsia="es-MX"/>
              </w:rPr>
              <w:t xml:space="preserve">     </w:t>
            </w:r>
            <w:r w:rsidRPr="002E0CC2">
              <w:rPr>
                <w:rFonts w:ascii="Arial" w:hAnsi="Arial" w:cs="Arial"/>
                <w:color w:val="000000"/>
                <w:sz w:val="12"/>
                <w:szCs w:val="12"/>
                <w:lang w:val="es-MX" w:eastAsia="es-MX"/>
              </w:rPr>
              <w:t>Materiales y Suministros</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156,730,379</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147,435,038</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171,218,391</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168,396,882</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191,756,205</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178,738,331</w:t>
            </w:r>
          </w:p>
        </w:tc>
      </w:tr>
      <w:tr w:rsidR="008E6390" w:rsidRPr="002E0CC2" w:rsidTr="008E6390">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C.</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Generales</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312,046,698</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246,840,379</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291,239,947</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281,940,578</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264,502,364</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243,774,616</w:t>
            </w:r>
          </w:p>
        </w:tc>
      </w:tr>
      <w:tr w:rsidR="008E6390" w:rsidRPr="002E0CC2" w:rsidTr="008E6390">
        <w:trPr>
          <w:trHeight w:val="67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D.</w:t>
            </w:r>
            <w:r w:rsidRPr="002E0CC2">
              <w:rPr>
                <w:color w:val="000000"/>
                <w:sz w:val="12"/>
                <w:szCs w:val="12"/>
                <w:lang w:val="es-MX" w:eastAsia="es-MX"/>
              </w:rPr>
              <w:t xml:space="preserve">    </w:t>
            </w:r>
            <w:r w:rsidRPr="002E0CC2">
              <w:rPr>
                <w:rFonts w:ascii="Arial" w:hAnsi="Arial" w:cs="Arial"/>
                <w:color w:val="000000"/>
                <w:sz w:val="12"/>
                <w:szCs w:val="12"/>
                <w:lang w:val="es-MX" w:eastAsia="es-MX"/>
              </w:rPr>
              <w:t>Transferencias, Asignaciones, Subsidios y Otras Ayudas</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2,286,513,378</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2,390,541,816</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3,231,455,994</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4,145,388,405</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4,654,444,604</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4,234,451,302</w:t>
            </w:r>
          </w:p>
        </w:tc>
      </w:tr>
      <w:tr w:rsidR="008E6390" w:rsidRPr="002E0CC2" w:rsidTr="008E6390">
        <w:trPr>
          <w:trHeight w:val="510"/>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E.</w:t>
            </w:r>
            <w:r w:rsidRPr="002E0CC2">
              <w:rPr>
                <w:color w:val="000000"/>
                <w:sz w:val="12"/>
                <w:szCs w:val="12"/>
                <w:lang w:val="es-MX" w:eastAsia="es-MX"/>
              </w:rPr>
              <w:t xml:space="preserve">     </w:t>
            </w:r>
            <w:r w:rsidRPr="002E0CC2">
              <w:rPr>
                <w:rFonts w:ascii="Arial" w:hAnsi="Arial" w:cs="Arial"/>
                <w:color w:val="000000"/>
                <w:sz w:val="12"/>
                <w:szCs w:val="12"/>
                <w:lang w:val="es-MX" w:eastAsia="es-MX"/>
              </w:rPr>
              <w:t>Bienes Muebles, Inmuebles e Intangibles</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46,435,916</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107,204,327</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79,496,428</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18,696,538</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168,425,533</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45,601,467</w:t>
            </w:r>
          </w:p>
        </w:tc>
      </w:tr>
      <w:tr w:rsidR="008E6390" w:rsidRPr="002E0CC2" w:rsidTr="008E6390">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F.</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Inversión Pública</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158,446,381</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165,993,462</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367,132,593</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32,149,638</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27,562,727</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321,492,567</w:t>
            </w:r>
          </w:p>
        </w:tc>
      </w:tr>
      <w:tr w:rsidR="008E6390" w:rsidRPr="002E0CC2" w:rsidTr="008E6390">
        <w:trPr>
          <w:trHeight w:val="510"/>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G.</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Inversiones Financieras y Otras Provisiones</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10,000,000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52,333,754</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30,488,661</w:t>
            </w:r>
          </w:p>
        </w:tc>
      </w:tr>
      <w:tr w:rsidR="008E6390" w:rsidRPr="002E0CC2" w:rsidTr="008E6390">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H.</w:t>
            </w:r>
            <w:r w:rsidRPr="002E0CC2">
              <w:rPr>
                <w:color w:val="000000"/>
                <w:sz w:val="12"/>
                <w:szCs w:val="12"/>
                <w:lang w:val="es-MX" w:eastAsia="es-MX"/>
              </w:rPr>
              <w:t xml:space="preserve">    </w:t>
            </w:r>
            <w:r w:rsidRPr="002E0CC2">
              <w:rPr>
                <w:rFonts w:ascii="Arial" w:hAnsi="Arial" w:cs="Arial"/>
                <w:color w:val="000000"/>
                <w:sz w:val="12"/>
                <w:szCs w:val="12"/>
                <w:lang w:val="es-MX" w:eastAsia="es-MX"/>
              </w:rPr>
              <w:t xml:space="preserve">Participaciones y Aportaciones </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1,517,248,304</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1,515,440,318</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1,632,842,887</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1,967,418,725</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2,130,341,404</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2,589,739,601</w:t>
            </w:r>
          </w:p>
        </w:tc>
      </w:tr>
      <w:tr w:rsidR="008E6390" w:rsidRPr="002E0CC2" w:rsidTr="008E6390">
        <w:trPr>
          <w:trHeight w:val="31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I.</w:t>
            </w:r>
            <w:r w:rsidRPr="002E0CC2">
              <w:rPr>
                <w:color w:val="000000"/>
                <w:sz w:val="12"/>
                <w:szCs w:val="12"/>
                <w:lang w:val="es-MX" w:eastAsia="es-MX"/>
              </w:rPr>
              <w:t xml:space="preserve">      </w:t>
            </w:r>
            <w:r w:rsidRPr="002E0CC2">
              <w:rPr>
                <w:rFonts w:ascii="Arial" w:hAnsi="Arial" w:cs="Arial"/>
                <w:color w:val="000000"/>
                <w:sz w:val="12"/>
                <w:szCs w:val="12"/>
                <w:lang w:val="es-MX" w:eastAsia="es-MX"/>
              </w:rPr>
              <w:t>Deuda Pública</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r>
      <w:tr w:rsidR="008E6390" w:rsidRPr="002E0CC2" w:rsidTr="008E6390">
        <w:trPr>
          <w:trHeight w:val="31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 </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r>
      <w:tr w:rsidR="008E6390" w:rsidRPr="002E0CC2" w:rsidTr="008E6390">
        <w:trPr>
          <w:trHeight w:val="67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2.</w:t>
            </w:r>
            <w:r w:rsidRPr="002E0CC2">
              <w:rPr>
                <w:b/>
                <w:bCs/>
                <w:color w:val="000000"/>
                <w:sz w:val="12"/>
                <w:szCs w:val="12"/>
                <w:lang w:val="es-MX" w:eastAsia="es-MX"/>
              </w:rPr>
              <w:t xml:space="preserve">  </w:t>
            </w:r>
            <w:r w:rsidRPr="002E0CC2">
              <w:rPr>
                <w:rFonts w:ascii="Arial" w:hAnsi="Arial" w:cs="Arial"/>
                <w:b/>
                <w:bCs/>
                <w:color w:val="000000"/>
                <w:sz w:val="12"/>
                <w:szCs w:val="12"/>
                <w:lang w:val="es-MX" w:eastAsia="es-MX"/>
              </w:rPr>
              <w:t>Gasto Etiquetado (2=A+B+C+D+E+F+G+H+I)</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lang w:val="es-MX" w:eastAsia="es-MX"/>
              </w:rPr>
            </w:pPr>
            <w:r>
              <w:rPr>
                <w:rFonts w:ascii="Arial" w:hAnsi="Arial" w:cs="Arial"/>
                <w:b/>
                <w:bCs/>
                <w:color w:val="000000"/>
                <w:sz w:val="10"/>
                <w:szCs w:val="10"/>
              </w:rPr>
              <w:t>11,116,330,873</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12,964,014,015</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12,262,850,650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12,396,046,949</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13,553,742,470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13,809,154,308</w:t>
            </w:r>
          </w:p>
        </w:tc>
      </w:tr>
      <w:tr w:rsidR="008E6390" w:rsidRPr="002E0CC2" w:rsidTr="008E6390">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A.</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Personales</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4,147,092</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4,474,227</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704,576</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180,000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365,800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378,602</w:t>
            </w:r>
          </w:p>
        </w:tc>
      </w:tr>
      <w:tr w:rsidR="008E6390" w:rsidRPr="002E0CC2" w:rsidTr="008E6390">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B.</w:t>
            </w:r>
            <w:r w:rsidRPr="002E0CC2">
              <w:rPr>
                <w:color w:val="000000"/>
                <w:sz w:val="12"/>
                <w:szCs w:val="12"/>
                <w:lang w:val="es-MX" w:eastAsia="es-MX"/>
              </w:rPr>
              <w:t xml:space="preserve">     </w:t>
            </w:r>
            <w:r w:rsidRPr="002E0CC2">
              <w:rPr>
                <w:rFonts w:ascii="Arial" w:hAnsi="Arial" w:cs="Arial"/>
                <w:color w:val="000000"/>
                <w:sz w:val="12"/>
                <w:szCs w:val="12"/>
                <w:lang w:val="es-MX" w:eastAsia="es-MX"/>
              </w:rPr>
              <w:t>Materiales y Suministros</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54,224,264</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15,116,350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33,558,645</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28,311,320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28,334,386</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31,858,119</w:t>
            </w:r>
          </w:p>
        </w:tc>
      </w:tr>
      <w:tr w:rsidR="008E6390" w:rsidRPr="002E0CC2" w:rsidTr="00A12439">
        <w:trPr>
          <w:trHeight w:val="345"/>
          <w:jc w:val="center"/>
        </w:trPr>
        <w:tc>
          <w:tcPr>
            <w:tcW w:w="1691" w:type="dxa"/>
            <w:tcBorders>
              <w:top w:val="nil"/>
              <w:left w:val="single" w:sz="8" w:space="0" w:color="auto"/>
              <w:bottom w:val="single" w:sz="4"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C.</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Generales</w:t>
            </w:r>
          </w:p>
        </w:tc>
        <w:tc>
          <w:tcPr>
            <w:tcW w:w="891" w:type="dxa"/>
            <w:tcBorders>
              <w:top w:val="nil"/>
              <w:left w:val="nil"/>
              <w:bottom w:val="single" w:sz="4"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65,411,424</w:t>
            </w:r>
          </w:p>
        </w:tc>
        <w:tc>
          <w:tcPr>
            <w:tcW w:w="836" w:type="dxa"/>
            <w:tcBorders>
              <w:top w:val="nil"/>
              <w:left w:val="nil"/>
              <w:bottom w:val="single" w:sz="4"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39,888,302</w:t>
            </w:r>
          </w:p>
        </w:tc>
        <w:tc>
          <w:tcPr>
            <w:tcW w:w="836" w:type="dxa"/>
            <w:tcBorders>
              <w:top w:val="nil"/>
              <w:left w:val="nil"/>
              <w:bottom w:val="single" w:sz="4"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46,888,894</w:t>
            </w:r>
          </w:p>
        </w:tc>
        <w:tc>
          <w:tcPr>
            <w:tcW w:w="836" w:type="dxa"/>
            <w:tcBorders>
              <w:top w:val="nil"/>
              <w:left w:val="nil"/>
              <w:bottom w:val="single" w:sz="4"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41,211,806</w:t>
            </w:r>
          </w:p>
        </w:tc>
        <w:tc>
          <w:tcPr>
            <w:tcW w:w="836" w:type="dxa"/>
            <w:tcBorders>
              <w:top w:val="nil"/>
              <w:left w:val="nil"/>
              <w:bottom w:val="single" w:sz="4"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58,346,635</w:t>
            </w:r>
          </w:p>
        </w:tc>
        <w:tc>
          <w:tcPr>
            <w:tcW w:w="836" w:type="dxa"/>
            <w:tcBorders>
              <w:top w:val="nil"/>
              <w:left w:val="nil"/>
              <w:bottom w:val="single" w:sz="4"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49,789,286</w:t>
            </w:r>
          </w:p>
        </w:tc>
      </w:tr>
      <w:tr w:rsidR="008E6390" w:rsidRPr="002E0CC2" w:rsidTr="00A12439">
        <w:trPr>
          <w:trHeight w:val="675"/>
          <w:jc w:val="center"/>
        </w:trPr>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lastRenderedPageBreak/>
              <w:t>D.</w:t>
            </w:r>
            <w:r w:rsidRPr="002E0CC2">
              <w:rPr>
                <w:color w:val="000000"/>
                <w:sz w:val="12"/>
                <w:szCs w:val="12"/>
                <w:lang w:val="es-MX" w:eastAsia="es-MX"/>
              </w:rPr>
              <w:t xml:space="preserve">    </w:t>
            </w:r>
            <w:r w:rsidRPr="002E0CC2">
              <w:rPr>
                <w:rFonts w:ascii="Arial" w:hAnsi="Arial" w:cs="Arial"/>
                <w:color w:val="000000"/>
                <w:sz w:val="12"/>
                <w:szCs w:val="12"/>
                <w:lang w:val="es-MX" w:eastAsia="es-MX"/>
              </w:rPr>
              <w:t>Transferencias, Asignaciones, Subsidios y Otras Ayudas</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8,534,551,271</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9,736,349,635</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9,597,826,009</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9,657,957,277</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10,031,118,215</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9,884,550,899</w:t>
            </w:r>
          </w:p>
        </w:tc>
      </w:tr>
      <w:tr w:rsidR="008E6390" w:rsidRPr="002E0CC2" w:rsidTr="00A12439">
        <w:trPr>
          <w:trHeight w:val="510"/>
          <w:jc w:val="center"/>
        </w:trPr>
        <w:tc>
          <w:tcPr>
            <w:tcW w:w="169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E.</w:t>
            </w:r>
            <w:r w:rsidRPr="002E0CC2">
              <w:rPr>
                <w:color w:val="000000"/>
                <w:sz w:val="12"/>
                <w:szCs w:val="12"/>
                <w:lang w:val="es-MX" w:eastAsia="es-MX"/>
              </w:rPr>
              <w:t xml:space="preserve">     </w:t>
            </w:r>
            <w:r w:rsidRPr="002E0CC2">
              <w:rPr>
                <w:rFonts w:ascii="Arial" w:hAnsi="Arial" w:cs="Arial"/>
                <w:color w:val="000000"/>
                <w:sz w:val="12"/>
                <w:szCs w:val="12"/>
                <w:lang w:val="es-MX" w:eastAsia="es-MX"/>
              </w:rPr>
              <w:t>Bienes Muebles, Inmuebles e Intangibles</w:t>
            </w:r>
          </w:p>
        </w:tc>
        <w:tc>
          <w:tcPr>
            <w:tcW w:w="891" w:type="dxa"/>
            <w:tcBorders>
              <w:top w:val="single" w:sz="4" w:space="0" w:color="auto"/>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50,679,363</w:t>
            </w:r>
          </w:p>
        </w:tc>
        <w:tc>
          <w:tcPr>
            <w:tcW w:w="836" w:type="dxa"/>
            <w:tcBorders>
              <w:top w:val="single" w:sz="4" w:space="0" w:color="auto"/>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151,053,952</w:t>
            </w:r>
          </w:p>
        </w:tc>
        <w:tc>
          <w:tcPr>
            <w:tcW w:w="836" w:type="dxa"/>
            <w:tcBorders>
              <w:top w:val="single" w:sz="4" w:space="0" w:color="auto"/>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68,430,652</w:t>
            </w:r>
          </w:p>
        </w:tc>
        <w:tc>
          <w:tcPr>
            <w:tcW w:w="836" w:type="dxa"/>
            <w:tcBorders>
              <w:top w:val="single" w:sz="4" w:space="0" w:color="auto"/>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49,748,632</w:t>
            </w:r>
          </w:p>
        </w:tc>
        <w:tc>
          <w:tcPr>
            <w:tcW w:w="836" w:type="dxa"/>
            <w:tcBorders>
              <w:top w:val="single" w:sz="4" w:space="0" w:color="auto"/>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34,743,845</w:t>
            </w:r>
          </w:p>
        </w:tc>
        <w:tc>
          <w:tcPr>
            <w:tcW w:w="836" w:type="dxa"/>
            <w:tcBorders>
              <w:top w:val="single" w:sz="4" w:space="0" w:color="auto"/>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64,712,500</w:t>
            </w:r>
          </w:p>
        </w:tc>
      </w:tr>
      <w:tr w:rsidR="008E6390" w:rsidRPr="002E0CC2" w:rsidTr="008E6390">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F.</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Inversión Pública</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893,060,701</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1,206,803,851</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745,861,262</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784,308,931</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1,266,570,617</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1,419,529,408</w:t>
            </w:r>
          </w:p>
        </w:tc>
      </w:tr>
      <w:tr w:rsidR="008E6390" w:rsidRPr="002E0CC2" w:rsidTr="008E6390">
        <w:trPr>
          <w:trHeight w:val="510"/>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G.</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Inversiones Financieras y Otras Provisiones</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135,838,469</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95,091,383</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41,896,362</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130,956,051</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135,539,513</w:t>
            </w:r>
          </w:p>
        </w:tc>
      </w:tr>
      <w:tr w:rsidR="008E6390" w:rsidRPr="002E0CC2" w:rsidTr="008E6390">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H.</w:t>
            </w:r>
            <w:r w:rsidRPr="002E0CC2">
              <w:rPr>
                <w:color w:val="000000"/>
                <w:sz w:val="12"/>
                <w:szCs w:val="12"/>
                <w:lang w:val="es-MX" w:eastAsia="es-MX"/>
              </w:rPr>
              <w:t xml:space="preserve">    </w:t>
            </w:r>
            <w:r w:rsidRPr="002E0CC2">
              <w:rPr>
                <w:rFonts w:ascii="Arial" w:hAnsi="Arial" w:cs="Arial"/>
                <w:color w:val="000000"/>
                <w:sz w:val="12"/>
                <w:szCs w:val="12"/>
                <w:lang w:val="es-MX" w:eastAsia="es-MX"/>
              </w:rPr>
              <w:t>Participaciones y Aportaciones</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1,514,256,758</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1,674,489,229</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1,674,489,229</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1,792,432,621</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2,003,306,923</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2,222,795,982</w:t>
            </w:r>
          </w:p>
        </w:tc>
      </w:tr>
      <w:tr w:rsidR="008E6390" w:rsidRPr="002E0CC2" w:rsidTr="008E6390">
        <w:trPr>
          <w:trHeight w:val="31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I.</w:t>
            </w:r>
            <w:r w:rsidRPr="002E0CC2">
              <w:rPr>
                <w:color w:val="000000"/>
                <w:sz w:val="12"/>
                <w:szCs w:val="12"/>
                <w:lang w:val="es-MX" w:eastAsia="es-MX"/>
              </w:rPr>
              <w:t xml:space="preserve">      </w:t>
            </w:r>
            <w:r w:rsidRPr="002E0CC2">
              <w:rPr>
                <w:rFonts w:ascii="Arial" w:hAnsi="Arial" w:cs="Arial"/>
                <w:color w:val="000000"/>
                <w:sz w:val="12"/>
                <w:szCs w:val="12"/>
                <w:lang w:val="es-MX" w:eastAsia="es-MX"/>
              </w:rPr>
              <w:t>Deuda Pública</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0</w:t>
            </w:r>
          </w:p>
        </w:tc>
      </w:tr>
      <w:tr w:rsidR="008E6390" w:rsidRPr="002E0CC2" w:rsidTr="008E6390">
        <w:trPr>
          <w:trHeight w:val="31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 </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color w:val="000000"/>
                <w:sz w:val="10"/>
                <w:szCs w:val="10"/>
              </w:rPr>
            </w:pPr>
            <w:r>
              <w:rPr>
                <w:rFonts w:ascii="Arial" w:hAnsi="Arial" w:cs="Arial"/>
                <w:color w:val="000000"/>
                <w:sz w:val="10"/>
                <w:szCs w:val="10"/>
              </w:rPr>
              <w:t> </w:t>
            </w:r>
          </w:p>
        </w:tc>
      </w:tr>
      <w:tr w:rsidR="008E6390" w:rsidRPr="002E0CC2" w:rsidTr="008E6390">
        <w:trPr>
          <w:trHeight w:val="67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8E6390" w:rsidRPr="002E0CC2" w:rsidRDefault="008E6390" w:rsidP="008E6390">
            <w:pPr>
              <w:jc w:val="both"/>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3.</w:t>
            </w:r>
            <w:r w:rsidRPr="002E0CC2">
              <w:rPr>
                <w:b/>
                <w:bCs/>
                <w:color w:val="000000"/>
                <w:sz w:val="12"/>
                <w:szCs w:val="12"/>
                <w:lang w:val="es-MX" w:eastAsia="es-MX"/>
              </w:rPr>
              <w:t xml:space="preserve">  </w:t>
            </w:r>
            <w:r w:rsidRPr="002E0CC2">
              <w:rPr>
                <w:rFonts w:ascii="Arial" w:hAnsi="Arial" w:cs="Arial"/>
                <w:b/>
                <w:bCs/>
                <w:color w:val="000000"/>
                <w:sz w:val="12"/>
                <w:szCs w:val="12"/>
                <w:lang w:val="es-MX" w:eastAsia="es-MX"/>
              </w:rPr>
              <w:t>Total del Resultado de Egresos (3=1+2)</w:t>
            </w:r>
          </w:p>
        </w:tc>
        <w:tc>
          <w:tcPr>
            <w:tcW w:w="891"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lang w:val="es-MX" w:eastAsia="es-MX"/>
              </w:rPr>
            </w:pPr>
            <w:r>
              <w:rPr>
                <w:rFonts w:ascii="Arial" w:hAnsi="Arial" w:cs="Arial"/>
                <w:b/>
                <w:bCs/>
                <w:color w:val="000000"/>
                <w:sz w:val="10"/>
                <w:szCs w:val="10"/>
              </w:rPr>
              <w:t>17,515,999,146</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19,542,592,493</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20,160,904,740</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21,130,491,652</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23,180,542,055</w:t>
            </w:r>
          </w:p>
        </w:tc>
        <w:tc>
          <w:tcPr>
            <w:tcW w:w="836" w:type="dxa"/>
            <w:tcBorders>
              <w:top w:val="nil"/>
              <w:left w:val="nil"/>
              <w:bottom w:val="single" w:sz="8" w:space="0" w:color="auto"/>
              <w:right w:val="single" w:sz="8" w:space="0" w:color="auto"/>
            </w:tcBorders>
            <w:shd w:val="clear" w:color="auto" w:fill="auto"/>
            <w:noWrap/>
            <w:vAlign w:val="center"/>
            <w:hideMark/>
          </w:tcPr>
          <w:p w:rsidR="008E6390" w:rsidRDefault="008E6390" w:rsidP="008E6390">
            <w:pPr>
              <w:jc w:val="right"/>
              <w:rPr>
                <w:rFonts w:ascii="Arial" w:hAnsi="Arial" w:cs="Arial"/>
                <w:b/>
                <w:bCs/>
                <w:color w:val="000000"/>
                <w:sz w:val="10"/>
                <w:szCs w:val="10"/>
              </w:rPr>
            </w:pPr>
            <w:r>
              <w:rPr>
                <w:rFonts w:ascii="Arial" w:hAnsi="Arial" w:cs="Arial"/>
                <w:b/>
                <w:bCs/>
                <w:color w:val="000000"/>
                <w:sz w:val="10"/>
                <w:szCs w:val="10"/>
              </w:rPr>
              <w:t>23,836,099,834</w:t>
            </w:r>
          </w:p>
        </w:tc>
      </w:tr>
    </w:tbl>
    <w:p w:rsidR="008E6390" w:rsidRPr="00955A4C" w:rsidRDefault="008E6390" w:rsidP="008E6390">
      <w:pPr>
        <w:spacing w:line="360" w:lineRule="auto"/>
        <w:jc w:val="both"/>
        <w:rPr>
          <w:b/>
          <w:bCs/>
          <w:sz w:val="20"/>
          <w:szCs w:val="20"/>
        </w:rPr>
      </w:pPr>
    </w:p>
    <w:p w:rsidR="008E6390" w:rsidRPr="00955A4C" w:rsidRDefault="008E6390" w:rsidP="008E6390">
      <w:pPr>
        <w:spacing w:line="360" w:lineRule="auto"/>
        <w:jc w:val="both"/>
        <w:rPr>
          <w:b/>
          <w:bCs/>
          <w:sz w:val="20"/>
          <w:szCs w:val="20"/>
        </w:rPr>
      </w:pPr>
    </w:p>
    <w:p w:rsidR="008E6390" w:rsidRPr="00955A4C" w:rsidRDefault="008E6390" w:rsidP="008E6390">
      <w:pPr>
        <w:spacing w:line="360" w:lineRule="auto"/>
        <w:jc w:val="both"/>
        <w:rPr>
          <w:b/>
          <w:sz w:val="20"/>
          <w:szCs w:val="20"/>
        </w:rPr>
      </w:pPr>
      <w:r w:rsidRPr="00955A4C">
        <w:rPr>
          <w:b/>
          <w:sz w:val="20"/>
          <w:szCs w:val="20"/>
        </w:rPr>
        <w:t xml:space="preserve">DISCIPLINA PRESUPUESTAL </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t xml:space="preserve">El desempeño económico de México se da en un entorno de incertidumbre económica y geopolítica que ha tenido repercusiones en la actividad económica mundial, los recursos financieros de que dispone el Gobierno del Estado son escasos ante las crecientes necesidades sociales y públicas, toda vez que la principal fuente de recursos la constituyen las transferencias del Gobierno Federal, las cuales provienen de contribuciones federales que, en los momentos actuales, atraviesan por circunstancias inciertas ante los efectos de desaceleración económica en algunos países. Es por ello, que el Gobierno del Estado, ha implementado diversas medidas encaminadas a racionalizar el gasto público y a la elaboración de presupuestos realistas en un ámbito de racionalidad, austeridad y disciplina presupuestal, alineadas a las políticas establecidas por el Gobierno Federal. </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t xml:space="preserve">Esta Administración, se ha caracterizado por establecer en el ejercicio del gasto principios de racionalidad, austeridad y de eficiencia, en la aplicación de los recursos públicos, es por esto que el Gobierno del Estado rige su política de gasto con base a los principios de legalidad, transparencia, </w:t>
      </w:r>
      <w:r w:rsidRPr="00955A4C">
        <w:rPr>
          <w:sz w:val="20"/>
          <w:szCs w:val="20"/>
        </w:rPr>
        <w:lastRenderedPageBreak/>
        <w:t>racionalidad y suficiencia presupuestal, con la finalidad de dar continuidad a los esfuerzos encaminados en atender con oportunidad las demandas y necesidades de sus habitantes.</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t xml:space="preserve">En la elaboración del presente </w:t>
      </w:r>
      <w:r w:rsidRPr="00096094">
        <w:rPr>
          <w:rFonts w:eastAsia="Calibri"/>
          <w:sz w:val="20"/>
          <w:szCs w:val="20"/>
        </w:rPr>
        <w:t>Proyecto de Decreto de Presupuesto de Egresos del Estado de Tlaxcala para el Ejercicio Fiscal 2020</w:t>
      </w:r>
      <w:r w:rsidRPr="00955A4C">
        <w:rPr>
          <w:sz w:val="20"/>
          <w:szCs w:val="20"/>
        </w:rPr>
        <w:t xml:space="preserve">, para evitar un desfasamiento del gasto en relación con los ingresos, que pudiese derivar en resultados deficitarios, los ejecutores de gasto en el ejercicio de sus respectivos presupuestos, consideraron medidas para racionalizar el gasto destinado a las actividades administrativas y de apoyo, con la finalidad de no afectar el cumplimiento de las metas de los programas presupuestarios considerados para su ejecución, procurando el uso de los recursos públicos con la mayor eficiencia, eficacia, transparencia y austeridad, fortaleciendo las acciones tendientes a lograr ahorros y economías, sin disminución de los resultados, y reorientarlos al gasto social. Con estas premisas se busca regular el ejercicio del gasto, permitiendo a las Dependencias y Entidades contar con una operación administrativa eficiente, acorde al marco normativo y a los sistemas de registro y control de dicho gasto. </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t xml:space="preserve">Entre las acciones de disciplina presupuestaria en el ejercicio del gasto público propuestas, se considera la contención de los recursos </w:t>
      </w:r>
      <w:r w:rsidRPr="00F816BA">
        <w:rPr>
          <w:sz w:val="20"/>
          <w:szCs w:val="20"/>
        </w:rPr>
        <w:t>destinados a servicios personales, esta tendrá como límite, el producto que resulte de aplicar al monto aprobado en el Presupuesto de Egresos del ejercicio inmediato anterior, una tasa de crecimiento equivalente al valor que resulte menor entre: a) El 3 por ciento de crecimiento real, y b) El crecimiento real del Producto Interno Bruto señalado en los Criterios Generales de Política Económica para el ejercicio que se está presupuestando. En caso de que el Producto Interno Bruto presente una variación real negativa para el ejercicio que se está presupuestando, se deberá considerar un crecimiento real igual a cero; además de la reducción del gasto corriente de operación, y la reorientación del presupuesto a los programas sociales de mayor impacto e inclusión social, conforme al diagnóstico de CONEVAL.</w:t>
      </w:r>
    </w:p>
    <w:p w:rsidR="008E6390" w:rsidRPr="00955A4C" w:rsidRDefault="008E6390" w:rsidP="008E6390">
      <w:pPr>
        <w:spacing w:line="360" w:lineRule="auto"/>
        <w:jc w:val="both"/>
        <w:rPr>
          <w:sz w:val="20"/>
          <w:szCs w:val="20"/>
        </w:rPr>
      </w:pPr>
    </w:p>
    <w:p w:rsidR="001C6AC8" w:rsidRDefault="001C6AC8" w:rsidP="008E6390">
      <w:pPr>
        <w:spacing w:line="360" w:lineRule="auto"/>
        <w:jc w:val="both"/>
        <w:rPr>
          <w:b/>
          <w:sz w:val="20"/>
          <w:szCs w:val="20"/>
        </w:rPr>
      </w:pPr>
    </w:p>
    <w:p w:rsidR="001C6AC8" w:rsidRDefault="001C6AC8" w:rsidP="008E6390">
      <w:pPr>
        <w:spacing w:line="360" w:lineRule="auto"/>
        <w:jc w:val="both"/>
        <w:rPr>
          <w:b/>
          <w:sz w:val="20"/>
          <w:szCs w:val="20"/>
        </w:rPr>
      </w:pPr>
    </w:p>
    <w:p w:rsidR="008E6390" w:rsidRPr="00955A4C" w:rsidRDefault="008E6390" w:rsidP="008E6390">
      <w:pPr>
        <w:spacing w:line="360" w:lineRule="auto"/>
        <w:jc w:val="both"/>
        <w:rPr>
          <w:b/>
          <w:sz w:val="20"/>
          <w:szCs w:val="20"/>
        </w:rPr>
      </w:pPr>
      <w:r w:rsidRPr="00955A4C">
        <w:rPr>
          <w:b/>
          <w:sz w:val="20"/>
          <w:szCs w:val="20"/>
        </w:rPr>
        <w:lastRenderedPageBreak/>
        <w:t>TRANSPARENCIA Y RENDICIÓN DE CUENTAS</w:t>
      </w:r>
    </w:p>
    <w:p w:rsidR="008E6390" w:rsidRPr="00955A4C" w:rsidRDefault="008E6390" w:rsidP="008E6390">
      <w:pPr>
        <w:spacing w:line="360" w:lineRule="auto"/>
        <w:jc w:val="both"/>
        <w:rPr>
          <w:b/>
          <w:sz w:val="20"/>
          <w:szCs w:val="20"/>
        </w:rPr>
      </w:pPr>
    </w:p>
    <w:p w:rsidR="008E6390" w:rsidRPr="00955A4C" w:rsidRDefault="008E6390" w:rsidP="008E6390">
      <w:pPr>
        <w:spacing w:line="360" w:lineRule="auto"/>
        <w:jc w:val="both"/>
        <w:rPr>
          <w:sz w:val="20"/>
          <w:szCs w:val="20"/>
        </w:rPr>
      </w:pPr>
      <w:r w:rsidRPr="00955A4C">
        <w:rPr>
          <w:sz w:val="20"/>
          <w:szCs w:val="20"/>
        </w:rPr>
        <w:t xml:space="preserve">El funcionamiento eficiente y eficaz de las instituciones de Estado y el ejercicio ético en la gestión pública, así como el fortalecimiento de los valores que dan sustento a la democracia para alcanzar el pleno respeto de las diferencias de cualquier índole y del derecho de cada quien a decidir su forma de vida, resultan pilares fundamentales para la consolidación de un sistema democrático. </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t xml:space="preserve">En este sentido, producto de la demanda ciudadana de información precisa, confiable y comprobable de la administración pública, se ha impulsado una cultura de transparencia y rendición de cuentas en la gestión pública. </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t>En la actual administración y de acuerdo a las Políticas del Gobierno Federal, se han llevado a cabo acciones que permiten proveer lo necesario para que toda persona pueda tener acceso a la información mediante procedimientos sencillos y expeditos, transparentando la gestión pública mediante la difusión de la información que generan los sujetos obligados y garantizando en todo momento la protección de los datos personales en posesión de las dependencias y entidades del Estado, permitiendo rendir cuentas a los ciudadanos de manera que puedan valorar el desempeño del Gobierno del Estado.</w:t>
      </w:r>
    </w:p>
    <w:p w:rsidR="008E6390" w:rsidRPr="00955A4C" w:rsidRDefault="008E6390" w:rsidP="008E6390">
      <w:pPr>
        <w:spacing w:line="360" w:lineRule="auto"/>
        <w:jc w:val="both"/>
        <w:rPr>
          <w:sz w:val="20"/>
          <w:szCs w:val="20"/>
        </w:rPr>
      </w:pPr>
    </w:p>
    <w:p w:rsidR="008E6390" w:rsidRDefault="008E6390" w:rsidP="008E6390">
      <w:pPr>
        <w:spacing w:line="360" w:lineRule="auto"/>
        <w:jc w:val="both"/>
        <w:rPr>
          <w:sz w:val="20"/>
          <w:szCs w:val="20"/>
        </w:rPr>
      </w:pPr>
      <w:r w:rsidRPr="00955A4C">
        <w:rPr>
          <w:sz w:val="20"/>
          <w:szCs w:val="20"/>
        </w:rPr>
        <w:t xml:space="preserve">El Estado de Tlaxcala, a lo largo de esta Administración ha avanzado de manera determinante en materia de transparencia, muestra de ello es la calificación otorgada a través del Índice de Información Presupuestal Estatal, evaluado por el Instituto Mexicano para la Competitividad A. C. (IMCO), mismo que ha situado al Estado </w:t>
      </w:r>
      <w:r>
        <w:rPr>
          <w:sz w:val="20"/>
          <w:szCs w:val="20"/>
        </w:rPr>
        <w:t>en el sexto</w:t>
      </w:r>
      <w:r w:rsidRPr="00955A4C">
        <w:rPr>
          <w:sz w:val="20"/>
          <w:szCs w:val="20"/>
        </w:rPr>
        <w:t xml:space="preserve"> lugar a nivel nacional, con estas acciones reafirmamos el compromiso del Gobierno del Estado con la transparencia presupuestal y la rendición de cuentas </w:t>
      </w:r>
      <w:r w:rsidRPr="00C236FF">
        <w:rPr>
          <w:sz w:val="20"/>
          <w:szCs w:val="20"/>
        </w:rPr>
        <w:t xml:space="preserve">(Ver Gráfica </w:t>
      </w:r>
      <w:r>
        <w:rPr>
          <w:sz w:val="20"/>
          <w:szCs w:val="20"/>
        </w:rPr>
        <w:t>II y III)</w:t>
      </w:r>
      <w:r w:rsidRPr="00C236FF">
        <w:rPr>
          <w:sz w:val="20"/>
          <w:szCs w:val="20"/>
        </w:rPr>
        <w:t>.</w:t>
      </w:r>
    </w:p>
    <w:p w:rsidR="008E6390" w:rsidRDefault="008E6390" w:rsidP="008E6390">
      <w:pPr>
        <w:spacing w:line="360" w:lineRule="auto"/>
        <w:jc w:val="both"/>
        <w:rPr>
          <w:b/>
          <w:sz w:val="12"/>
          <w:szCs w:val="12"/>
        </w:rPr>
      </w:pPr>
    </w:p>
    <w:p w:rsidR="008E6390" w:rsidRPr="00E43D19" w:rsidRDefault="008E6390" w:rsidP="008E6390">
      <w:pPr>
        <w:spacing w:line="360" w:lineRule="auto"/>
        <w:rPr>
          <w:b/>
          <w:sz w:val="12"/>
          <w:szCs w:val="12"/>
        </w:rPr>
      </w:pPr>
      <w:r w:rsidRPr="00E43D19">
        <w:rPr>
          <w:b/>
          <w:sz w:val="12"/>
          <w:szCs w:val="12"/>
        </w:rPr>
        <w:t>Gráfica II: Índice de Información Presupuestal Estatal 2019 (IMCO)</w:t>
      </w:r>
    </w:p>
    <w:p w:rsidR="008E6390" w:rsidRPr="00955A4C" w:rsidRDefault="008E6390" w:rsidP="008E6390">
      <w:pPr>
        <w:spacing w:line="360" w:lineRule="auto"/>
        <w:jc w:val="both"/>
        <w:rPr>
          <w:sz w:val="20"/>
          <w:szCs w:val="20"/>
        </w:rPr>
      </w:pPr>
      <w:r w:rsidRPr="00955A4C">
        <w:rPr>
          <w:noProof/>
          <w:sz w:val="20"/>
          <w:szCs w:val="20"/>
          <w:lang w:val="es-MX" w:eastAsia="es-MX"/>
        </w:rPr>
        <w:lastRenderedPageBreak/>
        <w:drawing>
          <wp:inline distT="0" distB="0" distL="0" distR="0" wp14:anchorId="5B9130C8" wp14:editId="6C093DC6">
            <wp:extent cx="4686300" cy="2143125"/>
            <wp:effectExtent l="0" t="0" r="0" b="9525"/>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42"/>
                    <a:srcRect l="3114" t="9021" r="1738" b="6301"/>
                    <a:stretch/>
                  </pic:blipFill>
                  <pic:spPr bwMode="auto">
                    <a:xfrm>
                      <a:off x="0" y="0"/>
                      <a:ext cx="4686300" cy="2143125"/>
                    </a:xfrm>
                    <a:prstGeom prst="rect">
                      <a:avLst/>
                    </a:prstGeom>
                    <a:ln>
                      <a:noFill/>
                    </a:ln>
                    <a:extLst>
                      <a:ext uri="{53640926-AAD7-44D8-BBD7-CCE9431645EC}">
                        <a14:shadowObscured xmlns:a14="http://schemas.microsoft.com/office/drawing/2010/main"/>
                      </a:ext>
                    </a:extLst>
                  </pic:spPr>
                </pic:pic>
              </a:graphicData>
            </a:graphic>
          </wp:inline>
        </w:drawing>
      </w:r>
    </w:p>
    <w:p w:rsidR="008E6390" w:rsidRPr="00955A4C" w:rsidRDefault="008E6390" w:rsidP="008E6390">
      <w:pPr>
        <w:spacing w:line="360" w:lineRule="auto"/>
        <w:jc w:val="center"/>
        <w:rPr>
          <w:b/>
          <w:color w:val="FF0000"/>
          <w:sz w:val="20"/>
          <w:szCs w:val="20"/>
        </w:rPr>
      </w:pPr>
    </w:p>
    <w:p w:rsidR="008E6390" w:rsidRPr="00E43D19" w:rsidRDefault="008E6390" w:rsidP="008E6390">
      <w:pPr>
        <w:spacing w:line="360" w:lineRule="auto"/>
        <w:rPr>
          <w:b/>
          <w:sz w:val="12"/>
          <w:szCs w:val="12"/>
        </w:rPr>
      </w:pPr>
      <w:proofErr w:type="spellStart"/>
      <w:r w:rsidRPr="00E43D19">
        <w:rPr>
          <w:b/>
          <w:sz w:val="12"/>
          <w:szCs w:val="12"/>
        </w:rPr>
        <w:t>GráficaIII</w:t>
      </w:r>
      <w:proofErr w:type="spellEnd"/>
      <w:r w:rsidRPr="00E43D19">
        <w:rPr>
          <w:b/>
          <w:sz w:val="12"/>
          <w:szCs w:val="12"/>
        </w:rPr>
        <w:t>: Cumplimento en Transparencia Presupuestal 2019 (IMCO)</w:t>
      </w:r>
    </w:p>
    <w:p w:rsidR="008E6390" w:rsidRPr="00955A4C" w:rsidRDefault="008E6390" w:rsidP="008E6390">
      <w:pPr>
        <w:spacing w:line="360" w:lineRule="auto"/>
        <w:jc w:val="both"/>
        <w:rPr>
          <w:sz w:val="20"/>
          <w:szCs w:val="20"/>
        </w:rPr>
      </w:pPr>
      <w:r w:rsidRPr="00955A4C">
        <w:rPr>
          <w:noProof/>
          <w:sz w:val="20"/>
          <w:szCs w:val="20"/>
          <w:lang w:val="es-MX" w:eastAsia="es-MX"/>
        </w:rPr>
        <mc:AlternateContent>
          <mc:Choice Requires="wps">
            <w:drawing>
              <wp:anchor distT="0" distB="0" distL="114300" distR="114300" simplePos="0" relativeHeight="251665408" behindDoc="0" locked="0" layoutInCell="1" allowOverlap="1" wp14:anchorId="3993BBF5" wp14:editId="739E768D">
                <wp:simplePos x="0" y="0"/>
                <wp:positionH relativeFrom="column">
                  <wp:posOffset>1393825</wp:posOffset>
                </wp:positionH>
                <wp:positionV relativeFrom="paragraph">
                  <wp:posOffset>1590675</wp:posOffset>
                </wp:positionV>
                <wp:extent cx="47501" cy="290739"/>
                <wp:effectExtent l="19050" t="19050" r="29210" b="14605"/>
                <wp:wrapNone/>
                <wp:docPr id="5" name="Flecha arriba 5"/>
                <wp:cNvGraphicFramePr/>
                <a:graphic xmlns:a="http://schemas.openxmlformats.org/drawingml/2006/main">
                  <a:graphicData uri="http://schemas.microsoft.com/office/word/2010/wordprocessingShape">
                    <wps:wsp>
                      <wps:cNvSpPr/>
                      <wps:spPr>
                        <a:xfrm>
                          <a:off x="0" y="0"/>
                          <a:ext cx="47501" cy="290739"/>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C802C3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5" o:spid="_x0000_s1026" type="#_x0000_t68" style="position:absolute;margin-left:109.75pt;margin-top:125.25pt;width:3.75pt;height:22.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" adj="1765" fillcolor="black [3200]" strokecolor="black [1600]" strokeweight="1pt"/>
            </w:pict>
          </mc:Fallback>
        </mc:AlternateContent>
      </w:r>
      <w:r w:rsidRPr="00955A4C">
        <w:rPr>
          <w:noProof/>
          <w:sz w:val="20"/>
          <w:szCs w:val="20"/>
          <w:lang w:val="es-MX" w:eastAsia="es-MX"/>
        </w:rPr>
        <w:drawing>
          <wp:inline distT="0" distB="0" distL="0" distR="0" wp14:anchorId="2136E32E" wp14:editId="51B61B2D">
            <wp:extent cx="5179695" cy="2215515"/>
            <wp:effectExtent l="0" t="0" r="1905" b="0"/>
            <wp:docPr id="4" name="Imagen 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43"/>
                    <a:srcRect l="9689" t="31574" r="11311" b="8351"/>
                    <a:stretch/>
                  </pic:blipFill>
                  <pic:spPr bwMode="auto">
                    <a:xfrm>
                      <a:off x="0" y="0"/>
                      <a:ext cx="5179695" cy="2215515"/>
                    </a:xfrm>
                    <a:prstGeom prst="rect">
                      <a:avLst/>
                    </a:prstGeom>
                    <a:ln>
                      <a:noFill/>
                    </a:ln>
                    <a:extLst>
                      <a:ext uri="{53640926-AAD7-44D8-BBD7-CCE9431645EC}">
                        <a14:shadowObscured xmlns:a14="http://schemas.microsoft.com/office/drawing/2010/main"/>
                      </a:ext>
                    </a:extLst>
                  </pic:spPr>
                </pic:pic>
              </a:graphicData>
            </a:graphic>
          </wp:inline>
        </w:drawing>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t>Lo anterior debido a que se presentó de manera oficial información sobre su Ley de Ingresos con estructura armonizada y su presupuesto de Egresos utiliza las clasificaciones reguladas por el Consejo Nacional de Armonización Contable.</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lastRenderedPageBreak/>
        <w:t>La transparencia y la rendición de cuentas en la gestión pública en el Estado se perfilan hacia una nueva cultura política en la cual la participación ciudadana conlleva la existencia de una sociedad más equitativa y más justa, de este modo la gobernabilidad democrática dependerá de que los intereses sociales se vean reflejados en acciones de gobierno transparente.</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b/>
          <w:sz w:val="20"/>
          <w:szCs w:val="20"/>
        </w:rPr>
      </w:pPr>
      <w:r w:rsidRPr="00955A4C">
        <w:rPr>
          <w:b/>
          <w:sz w:val="20"/>
          <w:szCs w:val="20"/>
        </w:rPr>
        <w:t>CRITERIOS GENERALES DE PRESUPUESTO Y GASTO ESTATAL</w:t>
      </w:r>
    </w:p>
    <w:p w:rsidR="008E6390" w:rsidRPr="00955A4C" w:rsidRDefault="008E6390" w:rsidP="008E6390">
      <w:pPr>
        <w:spacing w:line="360" w:lineRule="auto"/>
        <w:jc w:val="both"/>
        <w:rPr>
          <w:b/>
          <w:sz w:val="20"/>
          <w:szCs w:val="20"/>
        </w:rPr>
      </w:pPr>
    </w:p>
    <w:p w:rsidR="008E6390" w:rsidRPr="00955A4C" w:rsidRDefault="008E6390" w:rsidP="008E6390">
      <w:pPr>
        <w:spacing w:line="360" w:lineRule="auto"/>
        <w:jc w:val="both"/>
        <w:rPr>
          <w:sz w:val="20"/>
          <w:szCs w:val="20"/>
        </w:rPr>
      </w:pPr>
      <w:r w:rsidRPr="00955A4C">
        <w:rPr>
          <w:sz w:val="20"/>
          <w:szCs w:val="20"/>
        </w:rPr>
        <w:t xml:space="preserve">En congruencia con lo anterior, las políticas presupuestarias y de gasto del Estado, para el próximo ejercicio fiscal, son de prudencia, austeridad y estricta racionalidad en el ejercicio del gasto, focalizándose a los programas y proyectos prioritarios de mayor impacto social. </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both"/>
        <w:rPr>
          <w:sz w:val="20"/>
          <w:szCs w:val="20"/>
        </w:rPr>
      </w:pPr>
      <w:r w:rsidRPr="00955A4C">
        <w:rPr>
          <w:sz w:val="20"/>
          <w:szCs w:val="20"/>
        </w:rPr>
        <w:t xml:space="preserve">Este </w:t>
      </w:r>
      <w:r w:rsidRPr="00096094">
        <w:rPr>
          <w:rFonts w:eastAsia="Calibri"/>
          <w:sz w:val="20"/>
          <w:szCs w:val="20"/>
        </w:rPr>
        <w:t>Proyecto de Decreto de Presupuesto de Egresos del Estado de Tlaxcala para el Ejercicio Fiscal 2020</w:t>
      </w:r>
      <w:r w:rsidRPr="00955A4C">
        <w:rPr>
          <w:sz w:val="20"/>
          <w:szCs w:val="20"/>
        </w:rPr>
        <w:t>, está fundamentado en los Criterios Generales siguientes:</w:t>
      </w:r>
    </w:p>
    <w:p w:rsidR="008E6390" w:rsidRPr="00955A4C" w:rsidRDefault="008E6390" w:rsidP="008E6390">
      <w:pPr>
        <w:spacing w:line="360" w:lineRule="auto"/>
        <w:jc w:val="both"/>
        <w:rPr>
          <w:sz w:val="20"/>
          <w:szCs w:val="20"/>
        </w:rPr>
      </w:pP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t xml:space="preserve">Considera las expectativas y proyecciones económicas establecidas en los </w:t>
      </w:r>
      <w:r w:rsidRPr="007256C0">
        <w:rPr>
          <w:rFonts w:eastAsia="Calibri"/>
          <w:color w:val="000000" w:themeColor="text1"/>
          <w:sz w:val="20"/>
          <w:szCs w:val="20"/>
        </w:rPr>
        <w:t xml:space="preserve">Criterios Generales </w:t>
      </w:r>
      <w:r>
        <w:rPr>
          <w:rFonts w:eastAsia="Calibri"/>
          <w:color w:val="000000" w:themeColor="text1"/>
          <w:sz w:val="20"/>
          <w:szCs w:val="20"/>
        </w:rPr>
        <w:t>d</w:t>
      </w:r>
      <w:r w:rsidRPr="007256C0">
        <w:rPr>
          <w:rFonts w:eastAsia="Calibri"/>
          <w:color w:val="000000" w:themeColor="text1"/>
          <w:sz w:val="20"/>
          <w:szCs w:val="20"/>
        </w:rPr>
        <w:t xml:space="preserve">e Política Económica </w:t>
      </w:r>
      <w:r>
        <w:rPr>
          <w:rFonts w:eastAsia="Calibri"/>
          <w:color w:val="000000" w:themeColor="text1"/>
          <w:sz w:val="20"/>
          <w:szCs w:val="20"/>
        </w:rPr>
        <w:t>p</w:t>
      </w:r>
      <w:r w:rsidRPr="007256C0">
        <w:rPr>
          <w:rFonts w:eastAsia="Calibri"/>
          <w:color w:val="000000" w:themeColor="text1"/>
          <w:sz w:val="20"/>
          <w:szCs w:val="20"/>
        </w:rPr>
        <w:t xml:space="preserve">ara </w:t>
      </w:r>
      <w:r>
        <w:rPr>
          <w:rFonts w:eastAsia="Calibri"/>
          <w:color w:val="000000" w:themeColor="text1"/>
          <w:sz w:val="20"/>
          <w:szCs w:val="20"/>
        </w:rPr>
        <w:t>l</w:t>
      </w:r>
      <w:r w:rsidRPr="007256C0">
        <w:rPr>
          <w:rFonts w:eastAsia="Calibri"/>
          <w:color w:val="000000" w:themeColor="text1"/>
          <w:sz w:val="20"/>
          <w:szCs w:val="20"/>
        </w:rPr>
        <w:t xml:space="preserve">a Iniciativa </w:t>
      </w:r>
      <w:r>
        <w:rPr>
          <w:rFonts w:eastAsia="Calibri"/>
          <w:color w:val="000000" w:themeColor="text1"/>
          <w:sz w:val="20"/>
          <w:szCs w:val="20"/>
        </w:rPr>
        <w:t>d</w:t>
      </w:r>
      <w:r w:rsidRPr="007256C0">
        <w:rPr>
          <w:rFonts w:eastAsia="Calibri"/>
          <w:color w:val="000000" w:themeColor="text1"/>
          <w:sz w:val="20"/>
          <w:szCs w:val="20"/>
        </w:rPr>
        <w:t xml:space="preserve">e Ley </w:t>
      </w:r>
      <w:r>
        <w:rPr>
          <w:rFonts w:eastAsia="Calibri"/>
          <w:color w:val="000000" w:themeColor="text1"/>
          <w:sz w:val="20"/>
          <w:szCs w:val="20"/>
        </w:rPr>
        <w:t>d</w:t>
      </w:r>
      <w:r w:rsidRPr="007256C0">
        <w:rPr>
          <w:rFonts w:eastAsia="Calibri"/>
          <w:color w:val="000000" w:themeColor="text1"/>
          <w:sz w:val="20"/>
          <w:szCs w:val="20"/>
        </w:rPr>
        <w:t xml:space="preserve">e Ingresos </w:t>
      </w:r>
      <w:r>
        <w:rPr>
          <w:rFonts w:eastAsia="Calibri"/>
          <w:color w:val="000000" w:themeColor="text1"/>
          <w:sz w:val="20"/>
          <w:szCs w:val="20"/>
        </w:rPr>
        <w:t>y</w:t>
      </w:r>
      <w:r w:rsidRPr="007256C0">
        <w:rPr>
          <w:rFonts w:eastAsia="Calibri"/>
          <w:color w:val="000000" w:themeColor="text1"/>
          <w:sz w:val="20"/>
          <w:szCs w:val="20"/>
        </w:rPr>
        <w:t xml:space="preserve"> </w:t>
      </w:r>
      <w:r>
        <w:rPr>
          <w:rFonts w:eastAsia="Calibri"/>
          <w:color w:val="000000" w:themeColor="text1"/>
          <w:sz w:val="20"/>
          <w:szCs w:val="20"/>
        </w:rPr>
        <w:t>e</w:t>
      </w:r>
      <w:r w:rsidRPr="007256C0">
        <w:rPr>
          <w:rFonts w:eastAsia="Calibri"/>
          <w:color w:val="000000" w:themeColor="text1"/>
          <w:sz w:val="20"/>
          <w:szCs w:val="20"/>
        </w:rPr>
        <w:t xml:space="preserve">l Proyecto </w:t>
      </w:r>
      <w:r>
        <w:rPr>
          <w:rFonts w:eastAsia="Calibri"/>
          <w:color w:val="000000" w:themeColor="text1"/>
          <w:sz w:val="20"/>
          <w:szCs w:val="20"/>
        </w:rPr>
        <w:t>d</w:t>
      </w:r>
      <w:r w:rsidRPr="007256C0">
        <w:rPr>
          <w:rFonts w:eastAsia="Calibri"/>
          <w:color w:val="000000" w:themeColor="text1"/>
          <w:sz w:val="20"/>
          <w:szCs w:val="20"/>
        </w:rPr>
        <w:t xml:space="preserve">e Presupuesto </w:t>
      </w:r>
      <w:r>
        <w:rPr>
          <w:rFonts w:eastAsia="Calibri"/>
          <w:color w:val="000000" w:themeColor="text1"/>
          <w:sz w:val="20"/>
          <w:szCs w:val="20"/>
        </w:rPr>
        <w:t>d</w:t>
      </w:r>
      <w:r w:rsidRPr="007256C0">
        <w:rPr>
          <w:rFonts w:eastAsia="Calibri"/>
          <w:color w:val="000000" w:themeColor="text1"/>
          <w:sz w:val="20"/>
          <w:szCs w:val="20"/>
        </w:rPr>
        <w:t xml:space="preserve">e Egresos </w:t>
      </w:r>
      <w:r>
        <w:rPr>
          <w:rFonts w:eastAsia="Calibri"/>
          <w:color w:val="000000" w:themeColor="text1"/>
          <w:sz w:val="20"/>
          <w:szCs w:val="20"/>
        </w:rPr>
        <w:t>d</w:t>
      </w:r>
      <w:r w:rsidRPr="007256C0">
        <w:rPr>
          <w:rFonts w:eastAsia="Calibri"/>
          <w:color w:val="000000" w:themeColor="text1"/>
          <w:sz w:val="20"/>
          <w:szCs w:val="20"/>
        </w:rPr>
        <w:t xml:space="preserve">e </w:t>
      </w:r>
      <w:r>
        <w:rPr>
          <w:rFonts w:eastAsia="Calibri"/>
          <w:color w:val="000000" w:themeColor="text1"/>
          <w:sz w:val="20"/>
          <w:szCs w:val="20"/>
        </w:rPr>
        <w:t>l</w:t>
      </w:r>
      <w:r w:rsidRPr="007256C0">
        <w:rPr>
          <w:rFonts w:eastAsia="Calibri"/>
          <w:color w:val="000000" w:themeColor="text1"/>
          <w:sz w:val="20"/>
          <w:szCs w:val="20"/>
        </w:rPr>
        <w:t xml:space="preserve">a Federación </w:t>
      </w:r>
      <w:r>
        <w:rPr>
          <w:rFonts w:eastAsia="Calibri"/>
          <w:color w:val="000000" w:themeColor="text1"/>
          <w:sz w:val="20"/>
          <w:szCs w:val="20"/>
        </w:rPr>
        <w:t>c</w:t>
      </w:r>
      <w:r w:rsidRPr="007256C0">
        <w:rPr>
          <w:rFonts w:eastAsia="Calibri"/>
          <w:color w:val="000000" w:themeColor="text1"/>
          <w:sz w:val="20"/>
          <w:szCs w:val="20"/>
        </w:rPr>
        <w:t xml:space="preserve">orrespondientes </w:t>
      </w:r>
      <w:r>
        <w:rPr>
          <w:rFonts w:eastAsia="Calibri"/>
          <w:color w:val="000000" w:themeColor="text1"/>
          <w:sz w:val="20"/>
          <w:szCs w:val="20"/>
        </w:rPr>
        <w:t>a</w:t>
      </w:r>
      <w:r w:rsidRPr="007256C0">
        <w:rPr>
          <w:rFonts w:eastAsia="Calibri"/>
          <w:color w:val="000000" w:themeColor="text1"/>
          <w:sz w:val="20"/>
          <w:szCs w:val="20"/>
        </w:rPr>
        <w:t>l Ejercicio Fiscal 2020</w:t>
      </w:r>
      <w:r w:rsidRPr="00955A4C">
        <w:rPr>
          <w:rFonts w:eastAsia="Calibri"/>
          <w:color w:val="000000" w:themeColor="text1"/>
          <w:sz w:val="20"/>
          <w:szCs w:val="20"/>
        </w:rPr>
        <w:t xml:space="preserve"> (CGPE)</w:t>
      </w:r>
      <w:r w:rsidRPr="00955A4C">
        <w:rPr>
          <w:sz w:val="20"/>
          <w:szCs w:val="20"/>
        </w:rPr>
        <w:t>, la Política de Gasto del Poder Ejecutivo Federal</w:t>
      </w:r>
      <w:r w:rsidRPr="00955A4C">
        <w:rPr>
          <w:spacing w:val="-21"/>
          <w:sz w:val="20"/>
          <w:szCs w:val="20"/>
        </w:rPr>
        <w:t xml:space="preserve"> </w:t>
      </w:r>
      <w:r w:rsidRPr="00955A4C">
        <w:rPr>
          <w:sz w:val="20"/>
          <w:szCs w:val="20"/>
        </w:rPr>
        <w:t>2020.</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t>Congruencia</w:t>
      </w:r>
      <w:r w:rsidRPr="00955A4C">
        <w:rPr>
          <w:spacing w:val="-3"/>
          <w:sz w:val="20"/>
          <w:szCs w:val="20"/>
        </w:rPr>
        <w:t xml:space="preserve"> </w:t>
      </w:r>
      <w:r w:rsidRPr="00955A4C">
        <w:rPr>
          <w:sz w:val="20"/>
          <w:szCs w:val="20"/>
        </w:rPr>
        <w:t>con</w:t>
      </w:r>
      <w:r w:rsidRPr="00955A4C">
        <w:rPr>
          <w:spacing w:val="-3"/>
          <w:sz w:val="20"/>
          <w:szCs w:val="20"/>
        </w:rPr>
        <w:t xml:space="preserve"> </w:t>
      </w:r>
      <w:r w:rsidRPr="00955A4C">
        <w:rPr>
          <w:sz w:val="20"/>
          <w:szCs w:val="20"/>
        </w:rPr>
        <w:t>los</w:t>
      </w:r>
      <w:r w:rsidRPr="00955A4C">
        <w:rPr>
          <w:spacing w:val="-3"/>
          <w:sz w:val="20"/>
          <w:szCs w:val="20"/>
        </w:rPr>
        <w:t xml:space="preserve"> </w:t>
      </w:r>
      <w:r w:rsidRPr="00955A4C">
        <w:rPr>
          <w:sz w:val="20"/>
          <w:szCs w:val="20"/>
        </w:rPr>
        <w:t>criterios</w:t>
      </w:r>
      <w:r w:rsidRPr="00955A4C">
        <w:rPr>
          <w:spacing w:val="-3"/>
          <w:sz w:val="20"/>
          <w:szCs w:val="20"/>
        </w:rPr>
        <w:t xml:space="preserve"> </w:t>
      </w:r>
      <w:r w:rsidRPr="00955A4C">
        <w:rPr>
          <w:sz w:val="20"/>
          <w:szCs w:val="20"/>
        </w:rPr>
        <w:t>económicos</w:t>
      </w:r>
      <w:r w:rsidRPr="00955A4C">
        <w:rPr>
          <w:spacing w:val="-3"/>
          <w:sz w:val="20"/>
          <w:szCs w:val="20"/>
        </w:rPr>
        <w:t xml:space="preserve"> </w:t>
      </w:r>
      <w:r w:rsidRPr="00955A4C">
        <w:rPr>
          <w:sz w:val="20"/>
          <w:szCs w:val="20"/>
        </w:rPr>
        <w:t>planteados</w:t>
      </w:r>
      <w:r w:rsidRPr="00955A4C">
        <w:rPr>
          <w:spacing w:val="-3"/>
          <w:sz w:val="20"/>
          <w:szCs w:val="20"/>
        </w:rPr>
        <w:t xml:space="preserve"> </w:t>
      </w:r>
      <w:r w:rsidRPr="00955A4C">
        <w:rPr>
          <w:sz w:val="20"/>
          <w:szCs w:val="20"/>
        </w:rPr>
        <w:t>en</w:t>
      </w:r>
      <w:r w:rsidRPr="00955A4C">
        <w:rPr>
          <w:spacing w:val="-3"/>
          <w:sz w:val="20"/>
          <w:szCs w:val="20"/>
        </w:rPr>
        <w:t xml:space="preserve"> </w:t>
      </w:r>
      <w:r w:rsidRPr="00955A4C">
        <w:rPr>
          <w:sz w:val="20"/>
          <w:szCs w:val="20"/>
        </w:rPr>
        <w:t>la</w:t>
      </w:r>
      <w:r w:rsidRPr="00955A4C">
        <w:rPr>
          <w:spacing w:val="-3"/>
          <w:sz w:val="20"/>
          <w:szCs w:val="20"/>
        </w:rPr>
        <w:t xml:space="preserve"> </w:t>
      </w:r>
      <w:r w:rsidRPr="00955A4C">
        <w:rPr>
          <w:sz w:val="20"/>
          <w:szCs w:val="20"/>
        </w:rPr>
        <w:t>Iniciativa</w:t>
      </w:r>
      <w:r w:rsidRPr="00955A4C">
        <w:rPr>
          <w:spacing w:val="-3"/>
          <w:sz w:val="20"/>
          <w:szCs w:val="20"/>
        </w:rPr>
        <w:t xml:space="preserve"> </w:t>
      </w:r>
      <w:r w:rsidRPr="00955A4C">
        <w:rPr>
          <w:sz w:val="20"/>
          <w:szCs w:val="20"/>
        </w:rPr>
        <w:t>de</w:t>
      </w:r>
      <w:r w:rsidRPr="00955A4C">
        <w:rPr>
          <w:spacing w:val="-3"/>
          <w:sz w:val="20"/>
          <w:szCs w:val="20"/>
        </w:rPr>
        <w:t xml:space="preserve"> </w:t>
      </w:r>
      <w:r w:rsidRPr="00955A4C">
        <w:rPr>
          <w:sz w:val="20"/>
          <w:szCs w:val="20"/>
        </w:rPr>
        <w:t>Ley</w:t>
      </w:r>
      <w:r w:rsidRPr="00955A4C">
        <w:rPr>
          <w:spacing w:val="-6"/>
          <w:sz w:val="20"/>
          <w:szCs w:val="20"/>
        </w:rPr>
        <w:t xml:space="preserve"> </w:t>
      </w:r>
      <w:r w:rsidRPr="00955A4C">
        <w:rPr>
          <w:sz w:val="20"/>
          <w:szCs w:val="20"/>
        </w:rPr>
        <w:t>de</w:t>
      </w:r>
      <w:r w:rsidRPr="00955A4C">
        <w:rPr>
          <w:spacing w:val="-3"/>
          <w:sz w:val="20"/>
          <w:szCs w:val="20"/>
        </w:rPr>
        <w:t xml:space="preserve"> </w:t>
      </w:r>
      <w:r w:rsidRPr="00955A4C">
        <w:rPr>
          <w:sz w:val="20"/>
          <w:szCs w:val="20"/>
        </w:rPr>
        <w:t>Ingresos</w:t>
      </w:r>
      <w:r w:rsidRPr="00955A4C">
        <w:rPr>
          <w:spacing w:val="-3"/>
          <w:sz w:val="20"/>
          <w:szCs w:val="20"/>
        </w:rPr>
        <w:t xml:space="preserve"> </w:t>
      </w:r>
      <w:r w:rsidRPr="00955A4C">
        <w:rPr>
          <w:sz w:val="20"/>
          <w:szCs w:val="20"/>
        </w:rPr>
        <w:t>del</w:t>
      </w:r>
      <w:r w:rsidRPr="00955A4C">
        <w:rPr>
          <w:spacing w:val="-3"/>
          <w:sz w:val="20"/>
          <w:szCs w:val="20"/>
        </w:rPr>
        <w:t xml:space="preserve"> </w:t>
      </w:r>
      <w:r w:rsidRPr="00955A4C">
        <w:rPr>
          <w:sz w:val="20"/>
          <w:szCs w:val="20"/>
        </w:rPr>
        <w:t>Estado</w:t>
      </w:r>
      <w:r w:rsidRPr="00955A4C">
        <w:rPr>
          <w:spacing w:val="-2"/>
          <w:sz w:val="20"/>
          <w:szCs w:val="20"/>
        </w:rPr>
        <w:t xml:space="preserve"> </w:t>
      </w:r>
      <w:r w:rsidRPr="00955A4C">
        <w:rPr>
          <w:sz w:val="20"/>
          <w:szCs w:val="20"/>
        </w:rPr>
        <w:t>de</w:t>
      </w:r>
      <w:r w:rsidRPr="00955A4C">
        <w:rPr>
          <w:spacing w:val="-6"/>
          <w:sz w:val="20"/>
          <w:szCs w:val="20"/>
        </w:rPr>
        <w:t xml:space="preserve"> </w:t>
      </w:r>
      <w:r w:rsidRPr="00955A4C">
        <w:rPr>
          <w:sz w:val="20"/>
          <w:szCs w:val="20"/>
        </w:rPr>
        <w:t>Tlaxcala, para el Ejercicio Fiscal 2020; para garantizar la viabilidad, equilibrio y sustentabilidad financiera del gasto público.</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t>Se alinea con las Políticas, Objetivos, Estrategias, Líneas y Sublíneas de Acción derivados del Plan Estatal de Desarrollo del Estado de Tlaxcala 2017-2021, por lo que sus asignaciones se articulan con el objeto sustancial de mantener y fortalecer la calidad de vida de los tlaxcaltecas y consolidar el crecimiento y desarrollo de la economía del</w:t>
      </w:r>
      <w:r w:rsidRPr="00955A4C">
        <w:rPr>
          <w:spacing w:val="-27"/>
          <w:sz w:val="20"/>
          <w:szCs w:val="20"/>
        </w:rPr>
        <w:t xml:space="preserve"> </w:t>
      </w:r>
      <w:r w:rsidRPr="00955A4C">
        <w:rPr>
          <w:sz w:val="20"/>
          <w:szCs w:val="20"/>
        </w:rPr>
        <w:t>Estado.</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lastRenderedPageBreak/>
        <w:t>Prevé la racionalización del gasto público mediante la contención de los servicios personales y la reducción del gasto corriente, así como la simplificación administrativa, con el objeto de reorientar los ahorros a programas prioritarios, de educación, salud y empleo que contribuyan a hacer más eficientes los servicios de proyectos de inversión pública y programas</w:t>
      </w:r>
      <w:r w:rsidRPr="00955A4C">
        <w:rPr>
          <w:spacing w:val="-14"/>
          <w:sz w:val="20"/>
          <w:szCs w:val="20"/>
        </w:rPr>
        <w:t xml:space="preserve"> </w:t>
      </w:r>
      <w:r w:rsidRPr="00955A4C">
        <w:rPr>
          <w:sz w:val="20"/>
          <w:szCs w:val="20"/>
        </w:rPr>
        <w:t>sociales.</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t>Se</w:t>
      </w:r>
      <w:r w:rsidRPr="00955A4C">
        <w:rPr>
          <w:spacing w:val="-13"/>
          <w:sz w:val="20"/>
          <w:szCs w:val="20"/>
        </w:rPr>
        <w:t xml:space="preserve"> </w:t>
      </w:r>
      <w:r w:rsidRPr="00955A4C">
        <w:rPr>
          <w:sz w:val="20"/>
          <w:szCs w:val="20"/>
        </w:rPr>
        <w:t>priorizan</w:t>
      </w:r>
      <w:r w:rsidRPr="00955A4C">
        <w:rPr>
          <w:spacing w:val="-13"/>
          <w:sz w:val="20"/>
          <w:szCs w:val="20"/>
        </w:rPr>
        <w:t xml:space="preserve"> </w:t>
      </w:r>
      <w:r w:rsidRPr="00955A4C">
        <w:rPr>
          <w:sz w:val="20"/>
          <w:szCs w:val="20"/>
        </w:rPr>
        <w:t>proyectos</w:t>
      </w:r>
      <w:r w:rsidRPr="00955A4C">
        <w:rPr>
          <w:spacing w:val="-11"/>
          <w:sz w:val="20"/>
          <w:szCs w:val="20"/>
        </w:rPr>
        <w:t xml:space="preserve"> </w:t>
      </w:r>
      <w:r w:rsidRPr="00955A4C">
        <w:rPr>
          <w:sz w:val="20"/>
          <w:szCs w:val="20"/>
        </w:rPr>
        <w:t>y</w:t>
      </w:r>
      <w:r w:rsidRPr="00955A4C">
        <w:rPr>
          <w:spacing w:val="-16"/>
          <w:sz w:val="20"/>
          <w:szCs w:val="20"/>
        </w:rPr>
        <w:t xml:space="preserve"> </w:t>
      </w:r>
      <w:r w:rsidRPr="00955A4C">
        <w:rPr>
          <w:sz w:val="20"/>
          <w:szCs w:val="20"/>
        </w:rPr>
        <w:t>programas</w:t>
      </w:r>
      <w:r w:rsidRPr="00955A4C">
        <w:rPr>
          <w:spacing w:val="-13"/>
          <w:sz w:val="20"/>
          <w:szCs w:val="20"/>
        </w:rPr>
        <w:t xml:space="preserve"> </w:t>
      </w:r>
      <w:r w:rsidRPr="00955A4C">
        <w:rPr>
          <w:sz w:val="20"/>
          <w:szCs w:val="20"/>
        </w:rPr>
        <w:t>de</w:t>
      </w:r>
      <w:r w:rsidRPr="00955A4C">
        <w:rPr>
          <w:spacing w:val="-12"/>
          <w:sz w:val="20"/>
          <w:szCs w:val="20"/>
        </w:rPr>
        <w:t xml:space="preserve"> </w:t>
      </w:r>
      <w:r w:rsidRPr="00955A4C">
        <w:rPr>
          <w:sz w:val="20"/>
          <w:szCs w:val="20"/>
        </w:rPr>
        <w:t>salud,</w:t>
      </w:r>
      <w:r w:rsidRPr="00955A4C">
        <w:rPr>
          <w:spacing w:val="-12"/>
          <w:sz w:val="20"/>
          <w:szCs w:val="20"/>
        </w:rPr>
        <w:t xml:space="preserve"> </w:t>
      </w:r>
      <w:r w:rsidRPr="00955A4C">
        <w:rPr>
          <w:sz w:val="20"/>
          <w:szCs w:val="20"/>
        </w:rPr>
        <w:t>educación</w:t>
      </w:r>
      <w:r w:rsidRPr="00955A4C">
        <w:rPr>
          <w:spacing w:val="-11"/>
          <w:sz w:val="20"/>
          <w:szCs w:val="20"/>
        </w:rPr>
        <w:t xml:space="preserve"> </w:t>
      </w:r>
      <w:r w:rsidRPr="00955A4C">
        <w:rPr>
          <w:sz w:val="20"/>
          <w:szCs w:val="20"/>
        </w:rPr>
        <w:t>y</w:t>
      </w:r>
      <w:r w:rsidRPr="00955A4C">
        <w:rPr>
          <w:spacing w:val="-16"/>
          <w:sz w:val="20"/>
          <w:szCs w:val="20"/>
        </w:rPr>
        <w:t xml:space="preserve"> </w:t>
      </w:r>
      <w:r w:rsidRPr="00955A4C">
        <w:rPr>
          <w:sz w:val="20"/>
          <w:szCs w:val="20"/>
        </w:rPr>
        <w:t>bienestar</w:t>
      </w:r>
      <w:r w:rsidRPr="00955A4C">
        <w:rPr>
          <w:spacing w:val="-12"/>
          <w:sz w:val="20"/>
          <w:szCs w:val="20"/>
        </w:rPr>
        <w:t xml:space="preserve"> </w:t>
      </w:r>
      <w:r w:rsidRPr="00955A4C">
        <w:rPr>
          <w:sz w:val="20"/>
          <w:szCs w:val="20"/>
        </w:rPr>
        <w:t>social,</w:t>
      </w:r>
      <w:r w:rsidRPr="00955A4C">
        <w:rPr>
          <w:spacing w:val="-12"/>
          <w:sz w:val="20"/>
          <w:szCs w:val="20"/>
        </w:rPr>
        <w:t xml:space="preserve"> </w:t>
      </w:r>
      <w:r w:rsidRPr="00955A4C">
        <w:rPr>
          <w:sz w:val="20"/>
          <w:szCs w:val="20"/>
        </w:rPr>
        <w:t>desarrollo</w:t>
      </w:r>
      <w:r w:rsidRPr="00955A4C">
        <w:rPr>
          <w:spacing w:val="-12"/>
          <w:sz w:val="20"/>
          <w:szCs w:val="20"/>
        </w:rPr>
        <w:t xml:space="preserve"> </w:t>
      </w:r>
      <w:r w:rsidRPr="00955A4C">
        <w:rPr>
          <w:sz w:val="20"/>
          <w:szCs w:val="20"/>
        </w:rPr>
        <w:t>económico,</w:t>
      </w:r>
      <w:r w:rsidRPr="00955A4C">
        <w:rPr>
          <w:spacing w:val="-12"/>
          <w:sz w:val="20"/>
          <w:szCs w:val="20"/>
        </w:rPr>
        <w:t xml:space="preserve"> </w:t>
      </w:r>
      <w:r w:rsidRPr="00955A4C">
        <w:rPr>
          <w:sz w:val="20"/>
          <w:szCs w:val="20"/>
        </w:rPr>
        <w:t>apoyo</w:t>
      </w:r>
      <w:r w:rsidRPr="00955A4C">
        <w:rPr>
          <w:spacing w:val="-12"/>
          <w:sz w:val="20"/>
          <w:szCs w:val="20"/>
        </w:rPr>
        <w:t xml:space="preserve"> </w:t>
      </w:r>
      <w:r w:rsidRPr="00955A4C">
        <w:rPr>
          <w:sz w:val="20"/>
          <w:szCs w:val="20"/>
        </w:rPr>
        <w:t>a</w:t>
      </w:r>
      <w:r w:rsidRPr="00955A4C">
        <w:rPr>
          <w:spacing w:val="-12"/>
          <w:sz w:val="20"/>
          <w:szCs w:val="20"/>
        </w:rPr>
        <w:t xml:space="preserve"> </w:t>
      </w:r>
      <w:r w:rsidRPr="00955A4C">
        <w:rPr>
          <w:sz w:val="20"/>
          <w:szCs w:val="20"/>
        </w:rPr>
        <w:t>jóvenes y mujeres, grupos vulnerables, apoyo al campo e impulso de la infraestructura social y productiva, así como de seguridad pública, prevención del delito y justicia penal, para mejorar los niveles de bienestar social y propiciar la generación de</w:t>
      </w:r>
      <w:r w:rsidRPr="00955A4C">
        <w:rPr>
          <w:spacing w:val="-8"/>
          <w:sz w:val="20"/>
          <w:szCs w:val="20"/>
        </w:rPr>
        <w:t xml:space="preserve"> </w:t>
      </w:r>
      <w:r w:rsidRPr="00955A4C">
        <w:rPr>
          <w:sz w:val="20"/>
          <w:szCs w:val="20"/>
        </w:rPr>
        <w:t>empleos.</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t>Garantizar</w:t>
      </w:r>
      <w:r w:rsidRPr="00955A4C">
        <w:rPr>
          <w:spacing w:val="-2"/>
          <w:sz w:val="20"/>
          <w:szCs w:val="20"/>
        </w:rPr>
        <w:t xml:space="preserve"> </w:t>
      </w:r>
      <w:r w:rsidRPr="00955A4C">
        <w:rPr>
          <w:sz w:val="20"/>
          <w:szCs w:val="20"/>
        </w:rPr>
        <w:t>y</w:t>
      </w:r>
      <w:r w:rsidRPr="00955A4C">
        <w:rPr>
          <w:spacing w:val="-8"/>
          <w:sz w:val="20"/>
          <w:szCs w:val="20"/>
        </w:rPr>
        <w:t xml:space="preserve"> </w:t>
      </w:r>
      <w:r w:rsidRPr="00955A4C">
        <w:rPr>
          <w:sz w:val="20"/>
          <w:szCs w:val="20"/>
        </w:rPr>
        <w:t>priorizar</w:t>
      </w:r>
      <w:r w:rsidRPr="00955A4C">
        <w:rPr>
          <w:spacing w:val="-4"/>
          <w:sz w:val="20"/>
          <w:szCs w:val="20"/>
        </w:rPr>
        <w:t xml:space="preserve"> </w:t>
      </w:r>
      <w:r w:rsidRPr="00955A4C">
        <w:rPr>
          <w:sz w:val="20"/>
          <w:szCs w:val="20"/>
        </w:rPr>
        <w:t>la</w:t>
      </w:r>
      <w:r w:rsidRPr="00955A4C">
        <w:rPr>
          <w:spacing w:val="-7"/>
          <w:sz w:val="20"/>
          <w:szCs w:val="20"/>
        </w:rPr>
        <w:t xml:space="preserve"> </w:t>
      </w:r>
      <w:r w:rsidRPr="00955A4C">
        <w:rPr>
          <w:sz w:val="20"/>
          <w:szCs w:val="20"/>
        </w:rPr>
        <w:t>asignación</w:t>
      </w:r>
      <w:r w:rsidRPr="00955A4C">
        <w:rPr>
          <w:spacing w:val="-7"/>
          <w:sz w:val="20"/>
          <w:szCs w:val="20"/>
        </w:rPr>
        <w:t xml:space="preserve"> </w:t>
      </w:r>
      <w:r w:rsidRPr="00955A4C">
        <w:rPr>
          <w:sz w:val="20"/>
          <w:szCs w:val="20"/>
        </w:rPr>
        <w:t>de</w:t>
      </w:r>
      <w:r w:rsidRPr="00955A4C">
        <w:rPr>
          <w:spacing w:val="-5"/>
          <w:sz w:val="20"/>
          <w:szCs w:val="20"/>
        </w:rPr>
        <w:t xml:space="preserve"> </w:t>
      </w:r>
      <w:r w:rsidRPr="00955A4C">
        <w:rPr>
          <w:sz w:val="20"/>
          <w:szCs w:val="20"/>
        </w:rPr>
        <w:t>los</w:t>
      </w:r>
      <w:r w:rsidRPr="00955A4C">
        <w:rPr>
          <w:spacing w:val="-6"/>
          <w:sz w:val="20"/>
          <w:szCs w:val="20"/>
        </w:rPr>
        <w:t xml:space="preserve"> </w:t>
      </w:r>
      <w:r w:rsidRPr="00955A4C">
        <w:rPr>
          <w:sz w:val="20"/>
          <w:szCs w:val="20"/>
        </w:rPr>
        <w:t>recursos</w:t>
      </w:r>
      <w:r w:rsidRPr="00955A4C">
        <w:rPr>
          <w:spacing w:val="-6"/>
          <w:sz w:val="20"/>
          <w:szCs w:val="20"/>
        </w:rPr>
        <w:t xml:space="preserve"> </w:t>
      </w:r>
      <w:r w:rsidRPr="00955A4C">
        <w:rPr>
          <w:sz w:val="20"/>
          <w:szCs w:val="20"/>
        </w:rPr>
        <w:t>a</w:t>
      </w:r>
      <w:r w:rsidRPr="00955A4C">
        <w:rPr>
          <w:spacing w:val="-5"/>
          <w:sz w:val="20"/>
          <w:szCs w:val="20"/>
        </w:rPr>
        <w:t xml:space="preserve"> </w:t>
      </w:r>
      <w:r w:rsidRPr="00955A4C">
        <w:rPr>
          <w:sz w:val="20"/>
          <w:szCs w:val="20"/>
        </w:rPr>
        <w:t>los</w:t>
      </w:r>
      <w:r w:rsidRPr="00955A4C">
        <w:rPr>
          <w:spacing w:val="-7"/>
          <w:sz w:val="20"/>
          <w:szCs w:val="20"/>
        </w:rPr>
        <w:t xml:space="preserve"> </w:t>
      </w:r>
      <w:r w:rsidRPr="00955A4C">
        <w:rPr>
          <w:sz w:val="20"/>
          <w:szCs w:val="20"/>
        </w:rPr>
        <w:t>programas,</w:t>
      </w:r>
      <w:r w:rsidRPr="00955A4C">
        <w:rPr>
          <w:spacing w:val="-5"/>
          <w:sz w:val="20"/>
          <w:szCs w:val="20"/>
        </w:rPr>
        <w:t xml:space="preserve"> </w:t>
      </w:r>
      <w:r w:rsidRPr="00955A4C">
        <w:rPr>
          <w:sz w:val="20"/>
          <w:szCs w:val="20"/>
        </w:rPr>
        <w:t>obras</w:t>
      </w:r>
      <w:r w:rsidRPr="00955A4C">
        <w:rPr>
          <w:spacing w:val="-6"/>
          <w:sz w:val="20"/>
          <w:szCs w:val="20"/>
        </w:rPr>
        <w:t xml:space="preserve"> </w:t>
      </w:r>
      <w:r w:rsidRPr="00955A4C">
        <w:rPr>
          <w:sz w:val="20"/>
          <w:szCs w:val="20"/>
        </w:rPr>
        <w:t>y</w:t>
      </w:r>
      <w:r w:rsidRPr="00955A4C">
        <w:rPr>
          <w:spacing w:val="-8"/>
          <w:sz w:val="20"/>
          <w:szCs w:val="20"/>
        </w:rPr>
        <w:t xml:space="preserve"> </w:t>
      </w:r>
      <w:r w:rsidRPr="00955A4C">
        <w:rPr>
          <w:sz w:val="20"/>
          <w:szCs w:val="20"/>
        </w:rPr>
        <w:t>acciones</w:t>
      </w:r>
      <w:r w:rsidRPr="00955A4C">
        <w:rPr>
          <w:spacing w:val="-6"/>
          <w:sz w:val="20"/>
          <w:szCs w:val="20"/>
        </w:rPr>
        <w:t xml:space="preserve"> </w:t>
      </w:r>
      <w:r w:rsidRPr="00955A4C">
        <w:rPr>
          <w:sz w:val="20"/>
          <w:szCs w:val="20"/>
        </w:rPr>
        <w:t>de</w:t>
      </w:r>
      <w:r w:rsidRPr="00955A4C">
        <w:rPr>
          <w:spacing w:val="-5"/>
          <w:sz w:val="20"/>
          <w:szCs w:val="20"/>
        </w:rPr>
        <w:t xml:space="preserve"> </w:t>
      </w:r>
      <w:r w:rsidRPr="00955A4C">
        <w:rPr>
          <w:sz w:val="20"/>
          <w:szCs w:val="20"/>
        </w:rPr>
        <w:t>alto</w:t>
      </w:r>
      <w:r w:rsidRPr="00955A4C">
        <w:rPr>
          <w:spacing w:val="-4"/>
          <w:sz w:val="20"/>
          <w:szCs w:val="20"/>
        </w:rPr>
        <w:t xml:space="preserve"> </w:t>
      </w:r>
      <w:r w:rsidRPr="00955A4C">
        <w:rPr>
          <w:sz w:val="20"/>
          <w:szCs w:val="20"/>
        </w:rPr>
        <w:t>impacto</w:t>
      </w:r>
      <w:r w:rsidRPr="00955A4C">
        <w:rPr>
          <w:spacing w:val="-2"/>
          <w:sz w:val="20"/>
          <w:szCs w:val="20"/>
        </w:rPr>
        <w:t xml:space="preserve"> </w:t>
      </w:r>
      <w:r w:rsidRPr="00955A4C">
        <w:rPr>
          <w:sz w:val="20"/>
          <w:szCs w:val="20"/>
        </w:rPr>
        <w:t>y</w:t>
      </w:r>
      <w:r w:rsidRPr="00955A4C">
        <w:rPr>
          <w:spacing w:val="-8"/>
          <w:sz w:val="20"/>
          <w:szCs w:val="20"/>
        </w:rPr>
        <w:t xml:space="preserve"> </w:t>
      </w:r>
      <w:r w:rsidRPr="00955A4C">
        <w:rPr>
          <w:sz w:val="20"/>
          <w:szCs w:val="20"/>
        </w:rPr>
        <w:t>beneficio social, que incidan en el desarrollo económico y social, para elevar el nivel de vida de la</w:t>
      </w:r>
      <w:r w:rsidRPr="00955A4C">
        <w:rPr>
          <w:spacing w:val="-15"/>
          <w:sz w:val="20"/>
          <w:szCs w:val="20"/>
        </w:rPr>
        <w:t xml:space="preserve"> </w:t>
      </w:r>
      <w:r w:rsidRPr="00955A4C">
        <w:rPr>
          <w:sz w:val="20"/>
          <w:szCs w:val="20"/>
        </w:rPr>
        <w:t>población.</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t>Dar acceso a la población a sus derechos sociales y reducir la</w:t>
      </w:r>
      <w:r w:rsidRPr="00955A4C">
        <w:rPr>
          <w:spacing w:val="-18"/>
          <w:sz w:val="20"/>
          <w:szCs w:val="20"/>
        </w:rPr>
        <w:t xml:space="preserve"> </w:t>
      </w:r>
      <w:r w:rsidRPr="00955A4C">
        <w:rPr>
          <w:sz w:val="20"/>
          <w:szCs w:val="20"/>
        </w:rPr>
        <w:t>pobreza.</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t>Combatir la carencia alimentaria y mejorar el acceso a la salud, seguridad social, vivienda y apoyo al empleo; conforme el programa de inclusión social de la Secretaría de Bienestar.</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t>Identificar con precisión la población objetivo, privilegiando a los de menos</w:t>
      </w:r>
      <w:r w:rsidRPr="00955A4C">
        <w:rPr>
          <w:spacing w:val="-27"/>
          <w:sz w:val="20"/>
          <w:szCs w:val="20"/>
        </w:rPr>
        <w:t xml:space="preserve"> </w:t>
      </w:r>
      <w:r w:rsidRPr="00955A4C">
        <w:rPr>
          <w:sz w:val="20"/>
          <w:szCs w:val="20"/>
        </w:rPr>
        <w:t>ingresos.</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t>Procurar</w:t>
      </w:r>
      <w:r w:rsidRPr="00955A4C">
        <w:rPr>
          <w:spacing w:val="-14"/>
          <w:sz w:val="20"/>
          <w:szCs w:val="20"/>
        </w:rPr>
        <w:t xml:space="preserve"> </w:t>
      </w:r>
      <w:r w:rsidRPr="00955A4C">
        <w:rPr>
          <w:sz w:val="20"/>
          <w:szCs w:val="20"/>
        </w:rPr>
        <w:t>que</w:t>
      </w:r>
      <w:r w:rsidRPr="00955A4C">
        <w:rPr>
          <w:spacing w:val="-13"/>
          <w:sz w:val="20"/>
          <w:szCs w:val="20"/>
        </w:rPr>
        <w:t xml:space="preserve"> </w:t>
      </w:r>
      <w:r w:rsidRPr="00955A4C">
        <w:rPr>
          <w:sz w:val="20"/>
          <w:szCs w:val="20"/>
        </w:rPr>
        <w:t>el</w:t>
      </w:r>
      <w:r w:rsidRPr="00955A4C">
        <w:rPr>
          <w:spacing w:val="-13"/>
          <w:sz w:val="20"/>
          <w:szCs w:val="20"/>
        </w:rPr>
        <w:t xml:space="preserve"> </w:t>
      </w:r>
      <w:r w:rsidRPr="00955A4C">
        <w:rPr>
          <w:sz w:val="20"/>
          <w:szCs w:val="20"/>
        </w:rPr>
        <w:t>mecanismo</w:t>
      </w:r>
      <w:r w:rsidRPr="00955A4C">
        <w:rPr>
          <w:spacing w:val="-13"/>
          <w:sz w:val="20"/>
          <w:szCs w:val="20"/>
        </w:rPr>
        <w:t xml:space="preserve"> </w:t>
      </w:r>
      <w:r w:rsidRPr="00955A4C">
        <w:rPr>
          <w:sz w:val="20"/>
          <w:szCs w:val="20"/>
        </w:rPr>
        <w:t>de</w:t>
      </w:r>
      <w:r w:rsidRPr="00955A4C">
        <w:rPr>
          <w:spacing w:val="-13"/>
          <w:sz w:val="20"/>
          <w:szCs w:val="20"/>
        </w:rPr>
        <w:t xml:space="preserve"> </w:t>
      </w:r>
      <w:r w:rsidRPr="00955A4C">
        <w:rPr>
          <w:sz w:val="20"/>
          <w:szCs w:val="20"/>
        </w:rPr>
        <w:t>distribución,</w:t>
      </w:r>
      <w:r w:rsidRPr="00955A4C">
        <w:rPr>
          <w:spacing w:val="-13"/>
          <w:sz w:val="20"/>
          <w:szCs w:val="20"/>
        </w:rPr>
        <w:t xml:space="preserve"> </w:t>
      </w:r>
      <w:r w:rsidRPr="00955A4C">
        <w:rPr>
          <w:sz w:val="20"/>
          <w:szCs w:val="20"/>
        </w:rPr>
        <w:t>operación</w:t>
      </w:r>
      <w:r w:rsidRPr="00955A4C">
        <w:rPr>
          <w:spacing w:val="-12"/>
          <w:sz w:val="20"/>
          <w:szCs w:val="20"/>
        </w:rPr>
        <w:t xml:space="preserve"> </w:t>
      </w:r>
      <w:r w:rsidRPr="00955A4C">
        <w:rPr>
          <w:sz w:val="20"/>
          <w:szCs w:val="20"/>
        </w:rPr>
        <w:t>y</w:t>
      </w:r>
      <w:r w:rsidRPr="00955A4C">
        <w:rPr>
          <w:spacing w:val="-16"/>
          <w:sz w:val="20"/>
          <w:szCs w:val="20"/>
        </w:rPr>
        <w:t xml:space="preserve"> </w:t>
      </w:r>
      <w:r w:rsidRPr="00955A4C">
        <w:rPr>
          <w:sz w:val="20"/>
          <w:szCs w:val="20"/>
        </w:rPr>
        <w:t>administración</w:t>
      </w:r>
      <w:r w:rsidRPr="00955A4C">
        <w:rPr>
          <w:spacing w:val="-14"/>
          <w:sz w:val="20"/>
          <w:szCs w:val="20"/>
        </w:rPr>
        <w:t xml:space="preserve"> </w:t>
      </w:r>
      <w:r w:rsidRPr="00955A4C">
        <w:rPr>
          <w:sz w:val="20"/>
          <w:szCs w:val="20"/>
        </w:rPr>
        <w:t>del</w:t>
      </w:r>
      <w:r w:rsidRPr="00955A4C">
        <w:rPr>
          <w:spacing w:val="-13"/>
          <w:sz w:val="20"/>
          <w:szCs w:val="20"/>
        </w:rPr>
        <w:t xml:space="preserve"> </w:t>
      </w:r>
      <w:r w:rsidRPr="00955A4C">
        <w:rPr>
          <w:sz w:val="20"/>
          <w:szCs w:val="20"/>
        </w:rPr>
        <w:t>presupuesto</w:t>
      </w:r>
      <w:r w:rsidRPr="00955A4C">
        <w:rPr>
          <w:spacing w:val="-13"/>
          <w:sz w:val="20"/>
          <w:szCs w:val="20"/>
        </w:rPr>
        <w:t xml:space="preserve"> </w:t>
      </w:r>
      <w:r w:rsidRPr="00955A4C">
        <w:rPr>
          <w:sz w:val="20"/>
          <w:szCs w:val="20"/>
        </w:rPr>
        <w:t>otorgue</w:t>
      </w:r>
      <w:r w:rsidRPr="00955A4C">
        <w:rPr>
          <w:spacing w:val="-13"/>
          <w:sz w:val="20"/>
          <w:szCs w:val="20"/>
        </w:rPr>
        <w:t xml:space="preserve"> </w:t>
      </w:r>
      <w:r w:rsidRPr="00955A4C">
        <w:rPr>
          <w:sz w:val="20"/>
          <w:szCs w:val="20"/>
        </w:rPr>
        <w:t>acceso</w:t>
      </w:r>
      <w:r w:rsidRPr="00955A4C">
        <w:rPr>
          <w:spacing w:val="-13"/>
          <w:sz w:val="20"/>
          <w:szCs w:val="20"/>
        </w:rPr>
        <w:t xml:space="preserve"> </w:t>
      </w:r>
      <w:r w:rsidRPr="00955A4C">
        <w:rPr>
          <w:sz w:val="20"/>
          <w:szCs w:val="20"/>
        </w:rPr>
        <w:t>equitativo a todos los grupos sociales, para fomentar la igualdad de</w:t>
      </w:r>
      <w:r w:rsidRPr="00955A4C">
        <w:rPr>
          <w:spacing w:val="-16"/>
          <w:sz w:val="20"/>
          <w:szCs w:val="20"/>
        </w:rPr>
        <w:t xml:space="preserve"> </w:t>
      </w:r>
      <w:r w:rsidRPr="00955A4C">
        <w:rPr>
          <w:sz w:val="20"/>
          <w:szCs w:val="20"/>
        </w:rPr>
        <w:t>género.</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t>Simplificar</w:t>
      </w:r>
      <w:r w:rsidRPr="00955A4C">
        <w:rPr>
          <w:spacing w:val="-4"/>
          <w:sz w:val="20"/>
          <w:szCs w:val="20"/>
        </w:rPr>
        <w:t xml:space="preserve"> </w:t>
      </w:r>
      <w:r w:rsidRPr="00955A4C">
        <w:rPr>
          <w:sz w:val="20"/>
          <w:szCs w:val="20"/>
        </w:rPr>
        <w:t>los</w:t>
      </w:r>
      <w:r w:rsidRPr="00955A4C">
        <w:rPr>
          <w:spacing w:val="-6"/>
          <w:sz w:val="20"/>
          <w:szCs w:val="20"/>
        </w:rPr>
        <w:t xml:space="preserve"> </w:t>
      </w:r>
      <w:r w:rsidRPr="00955A4C">
        <w:rPr>
          <w:sz w:val="20"/>
          <w:szCs w:val="20"/>
        </w:rPr>
        <w:t>procesos</w:t>
      </w:r>
      <w:r w:rsidRPr="00955A4C">
        <w:rPr>
          <w:spacing w:val="-6"/>
          <w:sz w:val="20"/>
          <w:szCs w:val="20"/>
        </w:rPr>
        <w:t xml:space="preserve"> </w:t>
      </w:r>
      <w:r w:rsidRPr="00955A4C">
        <w:rPr>
          <w:sz w:val="20"/>
          <w:szCs w:val="20"/>
        </w:rPr>
        <w:t>y</w:t>
      </w:r>
      <w:r w:rsidRPr="00955A4C">
        <w:rPr>
          <w:spacing w:val="-9"/>
          <w:sz w:val="20"/>
          <w:szCs w:val="20"/>
        </w:rPr>
        <w:t xml:space="preserve"> </w:t>
      </w:r>
      <w:r w:rsidRPr="00955A4C">
        <w:rPr>
          <w:sz w:val="20"/>
          <w:szCs w:val="20"/>
        </w:rPr>
        <w:t>eficientar</w:t>
      </w:r>
      <w:r w:rsidRPr="00955A4C">
        <w:rPr>
          <w:spacing w:val="-5"/>
          <w:sz w:val="20"/>
          <w:szCs w:val="20"/>
        </w:rPr>
        <w:t xml:space="preserve"> </w:t>
      </w:r>
      <w:r w:rsidRPr="00955A4C">
        <w:rPr>
          <w:sz w:val="20"/>
          <w:szCs w:val="20"/>
        </w:rPr>
        <w:t>la</w:t>
      </w:r>
      <w:r w:rsidRPr="00955A4C">
        <w:rPr>
          <w:spacing w:val="-5"/>
          <w:sz w:val="20"/>
          <w:szCs w:val="20"/>
        </w:rPr>
        <w:t xml:space="preserve"> </w:t>
      </w:r>
      <w:r w:rsidRPr="00955A4C">
        <w:rPr>
          <w:sz w:val="20"/>
          <w:szCs w:val="20"/>
        </w:rPr>
        <w:t>prestación</w:t>
      </w:r>
      <w:r w:rsidRPr="00955A4C">
        <w:rPr>
          <w:spacing w:val="-7"/>
          <w:sz w:val="20"/>
          <w:szCs w:val="20"/>
        </w:rPr>
        <w:t xml:space="preserve"> </w:t>
      </w:r>
      <w:r w:rsidRPr="00955A4C">
        <w:rPr>
          <w:sz w:val="20"/>
          <w:szCs w:val="20"/>
        </w:rPr>
        <w:t>de</w:t>
      </w:r>
      <w:r w:rsidRPr="00955A4C">
        <w:rPr>
          <w:spacing w:val="-5"/>
          <w:sz w:val="20"/>
          <w:szCs w:val="20"/>
        </w:rPr>
        <w:t xml:space="preserve"> </w:t>
      </w:r>
      <w:r w:rsidRPr="00955A4C">
        <w:rPr>
          <w:sz w:val="20"/>
          <w:szCs w:val="20"/>
        </w:rPr>
        <w:t>servicios</w:t>
      </w:r>
      <w:r w:rsidRPr="00955A4C">
        <w:rPr>
          <w:spacing w:val="-6"/>
          <w:sz w:val="20"/>
          <w:szCs w:val="20"/>
        </w:rPr>
        <w:t xml:space="preserve"> </w:t>
      </w:r>
      <w:r w:rsidRPr="00955A4C">
        <w:rPr>
          <w:sz w:val="20"/>
          <w:szCs w:val="20"/>
        </w:rPr>
        <w:t>a</w:t>
      </w:r>
      <w:r w:rsidRPr="00955A4C">
        <w:rPr>
          <w:spacing w:val="-5"/>
          <w:sz w:val="20"/>
          <w:szCs w:val="20"/>
        </w:rPr>
        <w:t xml:space="preserve"> </w:t>
      </w:r>
      <w:r w:rsidRPr="00955A4C">
        <w:rPr>
          <w:sz w:val="20"/>
          <w:szCs w:val="20"/>
        </w:rPr>
        <w:t>la</w:t>
      </w:r>
      <w:r w:rsidRPr="00955A4C">
        <w:rPr>
          <w:spacing w:val="-5"/>
          <w:sz w:val="20"/>
          <w:szCs w:val="20"/>
        </w:rPr>
        <w:t xml:space="preserve"> </w:t>
      </w:r>
      <w:r w:rsidRPr="00955A4C">
        <w:rPr>
          <w:sz w:val="20"/>
          <w:szCs w:val="20"/>
        </w:rPr>
        <w:t>población,</w:t>
      </w:r>
      <w:r w:rsidRPr="00955A4C">
        <w:rPr>
          <w:spacing w:val="-7"/>
          <w:sz w:val="20"/>
          <w:szCs w:val="20"/>
        </w:rPr>
        <w:t xml:space="preserve"> </w:t>
      </w:r>
      <w:r w:rsidRPr="00955A4C">
        <w:rPr>
          <w:sz w:val="20"/>
          <w:szCs w:val="20"/>
        </w:rPr>
        <w:t>para</w:t>
      </w:r>
      <w:r w:rsidRPr="00955A4C">
        <w:rPr>
          <w:spacing w:val="-5"/>
          <w:sz w:val="20"/>
          <w:szCs w:val="20"/>
        </w:rPr>
        <w:t xml:space="preserve"> </w:t>
      </w:r>
      <w:r w:rsidRPr="00955A4C">
        <w:rPr>
          <w:sz w:val="20"/>
          <w:szCs w:val="20"/>
        </w:rPr>
        <w:t>garantizar</w:t>
      </w:r>
      <w:r w:rsidRPr="00955A4C">
        <w:rPr>
          <w:spacing w:val="-4"/>
          <w:sz w:val="20"/>
          <w:szCs w:val="20"/>
        </w:rPr>
        <w:t xml:space="preserve"> </w:t>
      </w:r>
      <w:r w:rsidRPr="00955A4C">
        <w:rPr>
          <w:sz w:val="20"/>
          <w:szCs w:val="20"/>
        </w:rPr>
        <w:t>un</w:t>
      </w:r>
      <w:r w:rsidRPr="00955A4C">
        <w:rPr>
          <w:spacing w:val="-7"/>
          <w:sz w:val="20"/>
          <w:szCs w:val="20"/>
        </w:rPr>
        <w:t xml:space="preserve"> </w:t>
      </w:r>
      <w:r w:rsidRPr="00955A4C">
        <w:rPr>
          <w:sz w:val="20"/>
          <w:szCs w:val="20"/>
        </w:rPr>
        <w:t>gobierno</w:t>
      </w:r>
      <w:r w:rsidRPr="00955A4C">
        <w:rPr>
          <w:spacing w:val="-4"/>
          <w:sz w:val="20"/>
          <w:szCs w:val="20"/>
        </w:rPr>
        <w:t xml:space="preserve"> </w:t>
      </w:r>
      <w:r w:rsidRPr="00955A4C">
        <w:rPr>
          <w:sz w:val="20"/>
          <w:szCs w:val="20"/>
        </w:rPr>
        <w:t>eficaz.</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t>Consolidar entre los servidores públicos una cultura de austeridad, racionalidad, disciplina, transparencia, honestidad y</w:t>
      </w:r>
      <w:r w:rsidRPr="00955A4C">
        <w:rPr>
          <w:spacing w:val="-9"/>
          <w:sz w:val="20"/>
          <w:szCs w:val="20"/>
        </w:rPr>
        <w:t xml:space="preserve"> </w:t>
      </w:r>
      <w:r w:rsidRPr="00955A4C">
        <w:rPr>
          <w:sz w:val="20"/>
          <w:szCs w:val="20"/>
        </w:rPr>
        <w:t>eficacia.</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lastRenderedPageBreak/>
        <w:t>Aplicar las medidas derivadas de la planeación estratégica y consolidar la armonización de la estructura presupuestaría, para el fortalecimiento del Presupuesto Basado en Resultados (PbR) y el Sistema de Evaluación del Desempeño</w:t>
      </w:r>
      <w:r w:rsidRPr="00955A4C">
        <w:rPr>
          <w:spacing w:val="-6"/>
          <w:sz w:val="20"/>
          <w:szCs w:val="20"/>
        </w:rPr>
        <w:t xml:space="preserve"> </w:t>
      </w:r>
      <w:r w:rsidRPr="00955A4C">
        <w:rPr>
          <w:sz w:val="20"/>
          <w:szCs w:val="20"/>
        </w:rPr>
        <w:t>(SED).</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t>Garantizar la transparencia y rendición de cuentas, mediante la entrega y difusión de información, observando los lineamientos y buenas prácticas en la materia, conforme las políticas del Instituto Mexicano para la Competitividad</w:t>
      </w:r>
      <w:r w:rsidRPr="00955A4C">
        <w:rPr>
          <w:spacing w:val="-9"/>
          <w:sz w:val="20"/>
          <w:szCs w:val="20"/>
        </w:rPr>
        <w:t xml:space="preserve"> </w:t>
      </w:r>
      <w:r w:rsidRPr="00955A4C">
        <w:rPr>
          <w:sz w:val="20"/>
          <w:szCs w:val="20"/>
        </w:rPr>
        <w:t>(IMCO).</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t>Atender las recomendaciones de los órganos fiscalizadores y las reglas emitidas por la Secretaría de Hacienda y Crédito Público</w:t>
      </w:r>
      <w:r w:rsidRPr="00955A4C">
        <w:rPr>
          <w:spacing w:val="-7"/>
          <w:sz w:val="20"/>
          <w:szCs w:val="20"/>
        </w:rPr>
        <w:t xml:space="preserve"> </w:t>
      </w:r>
      <w:r w:rsidRPr="00955A4C">
        <w:rPr>
          <w:sz w:val="20"/>
          <w:szCs w:val="20"/>
        </w:rPr>
        <w:t>(SHCP).</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t>Efectuar el registro contable del gasto público, la integración y la consolidación de la Cuenta pública, conforme lo dispuesto en la Ley General de Contabilidad Gubernamental y las reglas del Consejo Nacional de Armonización Contable</w:t>
      </w:r>
      <w:r w:rsidRPr="00955A4C">
        <w:rPr>
          <w:spacing w:val="-11"/>
          <w:sz w:val="20"/>
          <w:szCs w:val="20"/>
        </w:rPr>
        <w:t xml:space="preserve"> </w:t>
      </w:r>
      <w:r w:rsidRPr="00955A4C">
        <w:rPr>
          <w:sz w:val="20"/>
          <w:szCs w:val="20"/>
        </w:rPr>
        <w:t>(CONAC).</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t>Mantener un nivel de endeudamiento cero, y no creación de nuevos impuestos, así como una estricta disciplina fiscal, para garantizar finanzas públicas sanas y una hacienda</w:t>
      </w:r>
      <w:r w:rsidRPr="00955A4C">
        <w:rPr>
          <w:spacing w:val="-21"/>
          <w:sz w:val="20"/>
          <w:szCs w:val="20"/>
        </w:rPr>
        <w:t xml:space="preserve"> </w:t>
      </w:r>
      <w:r w:rsidRPr="00955A4C">
        <w:rPr>
          <w:sz w:val="20"/>
          <w:szCs w:val="20"/>
        </w:rPr>
        <w:t>equilibrada.</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t>Aplicar las medidas de racionalización del gasto público, mediante la contención de servicios personales y reducción del gasto corriente, sin detrimento de los resultados; reorientando los ahorros y economías al gasto social e inversión pública, mediante un programa de</w:t>
      </w:r>
      <w:r w:rsidRPr="00955A4C">
        <w:rPr>
          <w:spacing w:val="-19"/>
          <w:sz w:val="20"/>
          <w:szCs w:val="20"/>
        </w:rPr>
        <w:t xml:space="preserve"> </w:t>
      </w:r>
      <w:r w:rsidRPr="00955A4C">
        <w:rPr>
          <w:sz w:val="20"/>
          <w:szCs w:val="20"/>
        </w:rPr>
        <w:t>austeridad.</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t>Considerar fondos para compensar posibles caídas de las participaciones federales, aportaciones y convenios federales.</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t>Incluir recursos estatales específicos para el Sistema Estatal de Protección Integral de Niñas, Niños y Adolescentes.</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lastRenderedPageBreak/>
        <w:t>Incluir</w:t>
      </w:r>
      <w:r w:rsidRPr="00955A4C">
        <w:rPr>
          <w:spacing w:val="-10"/>
          <w:sz w:val="20"/>
          <w:szCs w:val="20"/>
        </w:rPr>
        <w:t xml:space="preserve"> </w:t>
      </w:r>
      <w:r w:rsidRPr="00955A4C">
        <w:rPr>
          <w:sz w:val="20"/>
          <w:szCs w:val="20"/>
        </w:rPr>
        <w:t>recursos</w:t>
      </w:r>
      <w:r w:rsidRPr="00955A4C">
        <w:rPr>
          <w:spacing w:val="-11"/>
          <w:sz w:val="20"/>
          <w:szCs w:val="20"/>
        </w:rPr>
        <w:t xml:space="preserve"> </w:t>
      </w:r>
      <w:r w:rsidRPr="00955A4C">
        <w:rPr>
          <w:sz w:val="20"/>
          <w:szCs w:val="20"/>
        </w:rPr>
        <w:t>para</w:t>
      </w:r>
      <w:r w:rsidRPr="00955A4C">
        <w:rPr>
          <w:spacing w:val="-10"/>
          <w:sz w:val="20"/>
          <w:szCs w:val="20"/>
        </w:rPr>
        <w:t xml:space="preserve"> </w:t>
      </w:r>
      <w:r w:rsidRPr="00955A4C">
        <w:rPr>
          <w:sz w:val="20"/>
          <w:szCs w:val="20"/>
        </w:rPr>
        <w:t>impulsar</w:t>
      </w:r>
      <w:r w:rsidRPr="00955A4C">
        <w:rPr>
          <w:spacing w:val="-7"/>
          <w:sz w:val="20"/>
          <w:szCs w:val="20"/>
        </w:rPr>
        <w:t xml:space="preserve"> </w:t>
      </w:r>
      <w:r w:rsidRPr="00955A4C">
        <w:rPr>
          <w:sz w:val="20"/>
          <w:szCs w:val="20"/>
        </w:rPr>
        <w:t>la</w:t>
      </w:r>
      <w:r w:rsidRPr="00955A4C">
        <w:rPr>
          <w:spacing w:val="-10"/>
          <w:sz w:val="20"/>
          <w:szCs w:val="20"/>
        </w:rPr>
        <w:t xml:space="preserve"> </w:t>
      </w:r>
      <w:r w:rsidRPr="00955A4C">
        <w:rPr>
          <w:sz w:val="20"/>
          <w:szCs w:val="20"/>
        </w:rPr>
        <w:t>igualdad</w:t>
      </w:r>
      <w:r w:rsidRPr="00955A4C">
        <w:rPr>
          <w:spacing w:val="-9"/>
          <w:sz w:val="20"/>
          <w:szCs w:val="20"/>
        </w:rPr>
        <w:t xml:space="preserve"> </w:t>
      </w:r>
      <w:r w:rsidRPr="00955A4C">
        <w:rPr>
          <w:sz w:val="20"/>
          <w:szCs w:val="20"/>
        </w:rPr>
        <w:t>de</w:t>
      </w:r>
      <w:r w:rsidRPr="00955A4C">
        <w:rPr>
          <w:spacing w:val="-10"/>
          <w:sz w:val="20"/>
          <w:szCs w:val="20"/>
        </w:rPr>
        <w:t xml:space="preserve"> </w:t>
      </w:r>
      <w:r w:rsidRPr="00955A4C">
        <w:rPr>
          <w:sz w:val="20"/>
          <w:szCs w:val="20"/>
        </w:rPr>
        <w:t>oportunidades</w:t>
      </w:r>
      <w:r w:rsidRPr="00955A4C">
        <w:rPr>
          <w:spacing w:val="-11"/>
          <w:sz w:val="20"/>
          <w:szCs w:val="20"/>
        </w:rPr>
        <w:t xml:space="preserve"> </w:t>
      </w:r>
      <w:r w:rsidRPr="00955A4C">
        <w:rPr>
          <w:sz w:val="20"/>
          <w:szCs w:val="20"/>
        </w:rPr>
        <w:t>entre</w:t>
      </w:r>
      <w:r w:rsidRPr="00955A4C">
        <w:rPr>
          <w:spacing w:val="-7"/>
          <w:sz w:val="20"/>
          <w:szCs w:val="20"/>
        </w:rPr>
        <w:t xml:space="preserve"> </w:t>
      </w:r>
      <w:r w:rsidRPr="00955A4C">
        <w:rPr>
          <w:sz w:val="20"/>
          <w:szCs w:val="20"/>
        </w:rPr>
        <w:t>mujeres</w:t>
      </w:r>
      <w:r w:rsidRPr="00955A4C">
        <w:rPr>
          <w:spacing w:val="-8"/>
          <w:sz w:val="20"/>
          <w:szCs w:val="20"/>
        </w:rPr>
        <w:t xml:space="preserve"> </w:t>
      </w:r>
      <w:r w:rsidRPr="00955A4C">
        <w:rPr>
          <w:sz w:val="20"/>
          <w:szCs w:val="20"/>
        </w:rPr>
        <w:t>y</w:t>
      </w:r>
      <w:r w:rsidRPr="00955A4C">
        <w:rPr>
          <w:spacing w:val="-13"/>
          <w:sz w:val="20"/>
          <w:szCs w:val="20"/>
        </w:rPr>
        <w:t xml:space="preserve"> </w:t>
      </w:r>
      <w:r w:rsidRPr="00955A4C">
        <w:rPr>
          <w:sz w:val="20"/>
          <w:szCs w:val="20"/>
        </w:rPr>
        <w:t>hombres,</w:t>
      </w:r>
      <w:r w:rsidRPr="00955A4C">
        <w:rPr>
          <w:spacing w:val="-10"/>
          <w:sz w:val="20"/>
          <w:szCs w:val="20"/>
        </w:rPr>
        <w:t xml:space="preserve"> </w:t>
      </w:r>
      <w:r w:rsidRPr="00955A4C">
        <w:rPr>
          <w:sz w:val="20"/>
          <w:szCs w:val="20"/>
        </w:rPr>
        <w:t>a</w:t>
      </w:r>
      <w:r w:rsidRPr="00955A4C">
        <w:rPr>
          <w:spacing w:val="-10"/>
          <w:sz w:val="20"/>
          <w:szCs w:val="20"/>
        </w:rPr>
        <w:t xml:space="preserve"> </w:t>
      </w:r>
      <w:r w:rsidRPr="00955A4C">
        <w:rPr>
          <w:sz w:val="20"/>
          <w:szCs w:val="20"/>
        </w:rPr>
        <w:t>través</w:t>
      </w:r>
      <w:r w:rsidRPr="00955A4C">
        <w:rPr>
          <w:spacing w:val="-11"/>
          <w:sz w:val="20"/>
          <w:szCs w:val="20"/>
        </w:rPr>
        <w:t xml:space="preserve"> </w:t>
      </w:r>
      <w:r w:rsidRPr="00955A4C">
        <w:rPr>
          <w:sz w:val="20"/>
          <w:szCs w:val="20"/>
        </w:rPr>
        <w:t>de</w:t>
      </w:r>
      <w:r w:rsidRPr="00955A4C">
        <w:rPr>
          <w:spacing w:val="-10"/>
          <w:sz w:val="20"/>
          <w:szCs w:val="20"/>
        </w:rPr>
        <w:t xml:space="preserve"> </w:t>
      </w:r>
      <w:r w:rsidRPr="00955A4C">
        <w:rPr>
          <w:sz w:val="20"/>
          <w:szCs w:val="20"/>
        </w:rPr>
        <w:t>la</w:t>
      </w:r>
      <w:r w:rsidRPr="00955A4C">
        <w:rPr>
          <w:spacing w:val="-10"/>
          <w:sz w:val="20"/>
          <w:szCs w:val="20"/>
        </w:rPr>
        <w:t xml:space="preserve"> </w:t>
      </w:r>
      <w:r w:rsidRPr="00955A4C">
        <w:rPr>
          <w:sz w:val="20"/>
          <w:szCs w:val="20"/>
        </w:rPr>
        <w:t>incorporación de</w:t>
      </w:r>
      <w:r w:rsidRPr="00955A4C">
        <w:rPr>
          <w:spacing w:val="-6"/>
          <w:sz w:val="20"/>
          <w:szCs w:val="20"/>
        </w:rPr>
        <w:t xml:space="preserve"> </w:t>
      </w:r>
      <w:r w:rsidRPr="00955A4C">
        <w:rPr>
          <w:sz w:val="20"/>
          <w:szCs w:val="20"/>
        </w:rPr>
        <w:t>la</w:t>
      </w:r>
      <w:r w:rsidRPr="00955A4C">
        <w:rPr>
          <w:spacing w:val="-7"/>
          <w:sz w:val="20"/>
          <w:szCs w:val="20"/>
        </w:rPr>
        <w:t xml:space="preserve"> </w:t>
      </w:r>
      <w:r w:rsidRPr="00955A4C">
        <w:rPr>
          <w:sz w:val="20"/>
          <w:szCs w:val="20"/>
        </w:rPr>
        <w:t>perspectiva</w:t>
      </w:r>
      <w:r w:rsidRPr="00955A4C">
        <w:rPr>
          <w:spacing w:val="-6"/>
          <w:sz w:val="20"/>
          <w:szCs w:val="20"/>
        </w:rPr>
        <w:t xml:space="preserve"> </w:t>
      </w:r>
      <w:r w:rsidRPr="00955A4C">
        <w:rPr>
          <w:sz w:val="20"/>
          <w:szCs w:val="20"/>
        </w:rPr>
        <w:t>de</w:t>
      </w:r>
      <w:r w:rsidRPr="00955A4C">
        <w:rPr>
          <w:spacing w:val="-4"/>
          <w:sz w:val="20"/>
          <w:szCs w:val="20"/>
        </w:rPr>
        <w:t xml:space="preserve"> </w:t>
      </w:r>
      <w:r w:rsidRPr="00955A4C">
        <w:rPr>
          <w:sz w:val="20"/>
          <w:szCs w:val="20"/>
        </w:rPr>
        <w:t>género</w:t>
      </w:r>
      <w:r w:rsidRPr="00955A4C">
        <w:rPr>
          <w:spacing w:val="-6"/>
          <w:sz w:val="20"/>
          <w:szCs w:val="20"/>
        </w:rPr>
        <w:t xml:space="preserve"> </w:t>
      </w:r>
      <w:r w:rsidRPr="00955A4C">
        <w:rPr>
          <w:sz w:val="20"/>
          <w:szCs w:val="20"/>
        </w:rPr>
        <w:t>en</w:t>
      </w:r>
      <w:r w:rsidRPr="00955A4C">
        <w:rPr>
          <w:spacing w:val="-5"/>
          <w:sz w:val="20"/>
          <w:szCs w:val="20"/>
        </w:rPr>
        <w:t xml:space="preserve"> </w:t>
      </w:r>
      <w:r w:rsidRPr="00955A4C">
        <w:rPr>
          <w:sz w:val="20"/>
          <w:szCs w:val="20"/>
        </w:rPr>
        <w:t>el</w:t>
      </w:r>
      <w:r w:rsidRPr="00955A4C">
        <w:rPr>
          <w:spacing w:val="-7"/>
          <w:sz w:val="20"/>
          <w:szCs w:val="20"/>
        </w:rPr>
        <w:t xml:space="preserve"> </w:t>
      </w:r>
      <w:r w:rsidRPr="00955A4C">
        <w:rPr>
          <w:sz w:val="20"/>
          <w:szCs w:val="20"/>
        </w:rPr>
        <w:t>diseño,</w:t>
      </w:r>
      <w:r w:rsidRPr="00955A4C">
        <w:rPr>
          <w:spacing w:val="-6"/>
          <w:sz w:val="20"/>
          <w:szCs w:val="20"/>
        </w:rPr>
        <w:t xml:space="preserve"> </w:t>
      </w:r>
      <w:r w:rsidRPr="00955A4C">
        <w:rPr>
          <w:sz w:val="20"/>
          <w:szCs w:val="20"/>
        </w:rPr>
        <w:t>elaboración</w:t>
      </w:r>
      <w:r w:rsidRPr="00955A4C">
        <w:rPr>
          <w:spacing w:val="-6"/>
          <w:sz w:val="20"/>
          <w:szCs w:val="20"/>
        </w:rPr>
        <w:t xml:space="preserve"> </w:t>
      </w:r>
      <w:r w:rsidRPr="00955A4C">
        <w:rPr>
          <w:sz w:val="20"/>
          <w:szCs w:val="20"/>
        </w:rPr>
        <w:t>y</w:t>
      </w:r>
      <w:r w:rsidRPr="00955A4C">
        <w:rPr>
          <w:spacing w:val="-8"/>
          <w:sz w:val="20"/>
          <w:szCs w:val="20"/>
        </w:rPr>
        <w:t xml:space="preserve"> </w:t>
      </w:r>
      <w:r w:rsidRPr="00955A4C">
        <w:rPr>
          <w:sz w:val="20"/>
          <w:szCs w:val="20"/>
        </w:rPr>
        <w:t>aplicación</w:t>
      </w:r>
      <w:r w:rsidRPr="00955A4C">
        <w:rPr>
          <w:spacing w:val="-8"/>
          <w:sz w:val="20"/>
          <w:szCs w:val="20"/>
        </w:rPr>
        <w:t xml:space="preserve"> </w:t>
      </w:r>
      <w:r w:rsidRPr="00955A4C">
        <w:rPr>
          <w:sz w:val="20"/>
          <w:szCs w:val="20"/>
        </w:rPr>
        <w:t>de</w:t>
      </w:r>
      <w:r w:rsidRPr="00955A4C">
        <w:rPr>
          <w:spacing w:val="-6"/>
          <w:sz w:val="20"/>
          <w:szCs w:val="20"/>
        </w:rPr>
        <w:t xml:space="preserve"> </w:t>
      </w:r>
      <w:r w:rsidRPr="00955A4C">
        <w:rPr>
          <w:sz w:val="20"/>
          <w:szCs w:val="20"/>
        </w:rPr>
        <w:t>los</w:t>
      </w:r>
      <w:r w:rsidRPr="00955A4C">
        <w:rPr>
          <w:spacing w:val="-7"/>
          <w:sz w:val="20"/>
          <w:szCs w:val="20"/>
        </w:rPr>
        <w:t xml:space="preserve"> </w:t>
      </w:r>
      <w:r w:rsidRPr="00955A4C">
        <w:rPr>
          <w:sz w:val="20"/>
          <w:szCs w:val="20"/>
        </w:rPr>
        <w:t>programas</w:t>
      </w:r>
      <w:r w:rsidRPr="00955A4C">
        <w:rPr>
          <w:spacing w:val="-7"/>
          <w:sz w:val="20"/>
          <w:szCs w:val="20"/>
        </w:rPr>
        <w:t xml:space="preserve"> </w:t>
      </w:r>
      <w:r w:rsidRPr="00955A4C">
        <w:rPr>
          <w:sz w:val="20"/>
          <w:szCs w:val="20"/>
        </w:rPr>
        <w:t>de</w:t>
      </w:r>
      <w:r w:rsidRPr="00955A4C">
        <w:rPr>
          <w:spacing w:val="-4"/>
          <w:sz w:val="20"/>
          <w:szCs w:val="20"/>
        </w:rPr>
        <w:t xml:space="preserve"> </w:t>
      </w:r>
      <w:r w:rsidRPr="00955A4C">
        <w:rPr>
          <w:sz w:val="20"/>
          <w:szCs w:val="20"/>
        </w:rPr>
        <w:t>la</w:t>
      </w:r>
      <w:r w:rsidRPr="00955A4C">
        <w:rPr>
          <w:spacing w:val="-4"/>
          <w:sz w:val="20"/>
          <w:szCs w:val="20"/>
        </w:rPr>
        <w:t xml:space="preserve"> </w:t>
      </w:r>
      <w:r w:rsidRPr="00955A4C">
        <w:rPr>
          <w:sz w:val="20"/>
          <w:szCs w:val="20"/>
        </w:rPr>
        <w:t>Administración</w:t>
      </w:r>
      <w:r w:rsidRPr="00955A4C">
        <w:rPr>
          <w:spacing w:val="-6"/>
          <w:sz w:val="20"/>
          <w:szCs w:val="20"/>
        </w:rPr>
        <w:t xml:space="preserve"> </w:t>
      </w:r>
      <w:r w:rsidRPr="00955A4C">
        <w:rPr>
          <w:sz w:val="20"/>
          <w:szCs w:val="20"/>
        </w:rPr>
        <w:t>Pública Estatal.</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t>Incluir fondos especiales para programas de infraestructura social y apoyo</w:t>
      </w:r>
      <w:r w:rsidRPr="00955A4C">
        <w:rPr>
          <w:spacing w:val="-31"/>
          <w:sz w:val="20"/>
          <w:szCs w:val="20"/>
        </w:rPr>
        <w:t xml:space="preserve"> </w:t>
      </w:r>
      <w:r w:rsidRPr="00955A4C">
        <w:rPr>
          <w:sz w:val="20"/>
          <w:szCs w:val="20"/>
        </w:rPr>
        <w:t>social.</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t>Incluir recursos para el Fideicomiso Estatal de Desastres</w:t>
      </w:r>
      <w:r w:rsidRPr="00955A4C">
        <w:rPr>
          <w:spacing w:val="-22"/>
          <w:sz w:val="20"/>
          <w:szCs w:val="20"/>
        </w:rPr>
        <w:t xml:space="preserve"> </w:t>
      </w:r>
      <w:r w:rsidRPr="00955A4C">
        <w:rPr>
          <w:sz w:val="20"/>
          <w:szCs w:val="20"/>
        </w:rPr>
        <w:t>Naturales.</w:t>
      </w:r>
    </w:p>
    <w:p w:rsidR="008E6390" w:rsidRPr="00955A4C" w:rsidRDefault="008E6390" w:rsidP="008E6390">
      <w:pPr>
        <w:pStyle w:val="Prrafodelista"/>
        <w:numPr>
          <w:ilvl w:val="0"/>
          <w:numId w:val="14"/>
        </w:numPr>
        <w:spacing w:before="240" w:line="360" w:lineRule="auto"/>
        <w:jc w:val="both"/>
        <w:rPr>
          <w:sz w:val="20"/>
          <w:szCs w:val="20"/>
        </w:rPr>
      </w:pPr>
      <w:r w:rsidRPr="00955A4C">
        <w:rPr>
          <w:sz w:val="20"/>
          <w:szCs w:val="20"/>
        </w:rPr>
        <w:t>Incluir recursos para la implementación, operación, mantenimiento y seguimiento del Sistema de Fiscalización Electrónico, así como para las áreas de Investigación y de Substanciación a cargo del Órgano de Fiscalización Superior,</w:t>
      </w:r>
      <w:r w:rsidRPr="00955A4C">
        <w:rPr>
          <w:spacing w:val="-4"/>
          <w:sz w:val="20"/>
          <w:szCs w:val="20"/>
        </w:rPr>
        <w:t xml:space="preserve"> </w:t>
      </w:r>
      <w:r w:rsidRPr="00955A4C">
        <w:rPr>
          <w:sz w:val="20"/>
          <w:szCs w:val="20"/>
        </w:rPr>
        <w:t>y</w:t>
      </w:r>
    </w:p>
    <w:p w:rsidR="008E6390" w:rsidRPr="00F816BA" w:rsidRDefault="008E6390" w:rsidP="008E6390">
      <w:pPr>
        <w:pStyle w:val="Prrafodelista"/>
        <w:numPr>
          <w:ilvl w:val="0"/>
          <w:numId w:val="14"/>
        </w:numPr>
        <w:spacing w:before="240" w:line="360" w:lineRule="auto"/>
        <w:jc w:val="both"/>
        <w:rPr>
          <w:sz w:val="20"/>
          <w:szCs w:val="20"/>
        </w:rPr>
      </w:pPr>
      <w:r w:rsidRPr="00F816BA">
        <w:rPr>
          <w:sz w:val="20"/>
          <w:szCs w:val="20"/>
        </w:rPr>
        <w:t xml:space="preserve">Se consideran recursos para el Fondo de Compensación Estatal, según </w:t>
      </w:r>
      <w:r w:rsidRPr="00F816BA">
        <w:rPr>
          <w:spacing w:val="2"/>
          <w:sz w:val="20"/>
          <w:szCs w:val="20"/>
        </w:rPr>
        <w:t xml:space="preserve">sea </w:t>
      </w:r>
      <w:r w:rsidRPr="00F816BA">
        <w:rPr>
          <w:sz w:val="20"/>
          <w:szCs w:val="20"/>
        </w:rPr>
        <w:t>el caso, que tiene por objeto compensar la caída de Ingresos de libre disposición de ejercicios</w:t>
      </w:r>
      <w:r w:rsidRPr="00F816BA">
        <w:rPr>
          <w:spacing w:val="-27"/>
          <w:sz w:val="20"/>
          <w:szCs w:val="20"/>
        </w:rPr>
        <w:t xml:space="preserve"> </w:t>
      </w:r>
      <w:r w:rsidRPr="00F816BA">
        <w:rPr>
          <w:sz w:val="20"/>
          <w:szCs w:val="20"/>
        </w:rPr>
        <w:t>subsecuentes.</w:t>
      </w:r>
    </w:p>
    <w:p w:rsidR="008E6390" w:rsidRPr="00955A4C" w:rsidRDefault="008E6390" w:rsidP="008E6390">
      <w:pPr>
        <w:rPr>
          <w:b/>
          <w:sz w:val="20"/>
          <w:szCs w:val="20"/>
        </w:rPr>
      </w:pPr>
    </w:p>
    <w:p w:rsidR="008E6390" w:rsidRPr="00955A4C" w:rsidRDefault="008E6390" w:rsidP="008E6390">
      <w:pPr>
        <w:jc w:val="both"/>
        <w:rPr>
          <w:b/>
          <w:sz w:val="20"/>
          <w:szCs w:val="20"/>
        </w:rPr>
      </w:pPr>
    </w:p>
    <w:p w:rsidR="008E6390" w:rsidRPr="00955A4C" w:rsidRDefault="008E6390" w:rsidP="008E6390">
      <w:pPr>
        <w:jc w:val="both"/>
        <w:rPr>
          <w:b/>
          <w:sz w:val="20"/>
          <w:szCs w:val="20"/>
        </w:rPr>
      </w:pPr>
      <w:r w:rsidRPr="00955A4C">
        <w:rPr>
          <w:b/>
          <w:sz w:val="20"/>
          <w:szCs w:val="20"/>
        </w:rPr>
        <w:t>PROYECTO DE PRESUPUESTO DE EGRESOS 2020</w:t>
      </w:r>
    </w:p>
    <w:p w:rsidR="008E6390" w:rsidRPr="00955A4C" w:rsidRDefault="008E6390" w:rsidP="008E6390">
      <w:pPr>
        <w:jc w:val="both"/>
        <w:rPr>
          <w:b/>
          <w:sz w:val="20"/>
          <w:szCs w:val="20"/>
        </w:rPr>
      </w:pPr>
    </w:p>
    <w:p w:rsidR="008E6390" w:rsidRPr="00955A4C" w:rsidRDefault="008E6390" w:rsidP="008E6390">
      <w:pPr>
        <w:jc w:val="both"/>
        <w:rPr>
          <w:b/>
          <w:sz w:val="20"/>
          <w:szCs w:val="20"/>
        </w:rPr>
      </w:pPr>
    </w:p>
    <w:p w:rsidR="008E6390" w:rsidRPr="00955A4C" w:rsidRDefault="008E6390" w:rsidP="008E6390">
      <w:pPr>
        <w:spacing w:line="360" w:lineRule="auto"/>
        <w:jc w:val="both"/>
        <w:rPr>
          <w:sz w:val="20"/>
          <w:szCs w:val="20"/>
        </w:rPr>
      </w:pPr>
      <w:r w:rsidRPr="00955A4C">
        <w:rPr>
          <w:sz w:val="20"/>
          <w:szCs w:val="20"/>
        </w:rPr>
        <w:t xml:space="preserve">Se propone a esta Legislatura un </w:t>
      </w:r>
      <w:r w:rsidRPr="00096094">
        <w:rPr>
          <w:rFonts w:eastAsia="Calibri"/>
          <w:sz w:val="20"/>
          <w:szCs w:val="20"/>
        </w:rPr>
        <w:t>Proyecto de Decreto de Presupuesto de Egresos del Estado de Tlaxcala para el Ejercicio Fiscal 2020</w:t>
      </w:r>
      <w:r w:rsidRPr="00955A4C">
        <w:rPr>
          <w:sz w:val="20"/>
          <w:szCs w:val="20"/>
        </w:rPr>
        <w:t xml:space="preserve">, por un monto de </w:t>
      </w:r>
      <w:r>
        <w:rPr>
          <w:sz w:val="20"/>
          <w:szCs w:val="20"/>
        </w:rPr>
        <w:t>$20,779,041,842.00</w:t>
      </w:r>
      <w:r w:rsidRPr="00955A4C">
        <w:rPr>
          <w:sz w:val="20"/>
          <w:szCs w:val="20"/>
        </w:rPr>
        <w:t>, que serán destinados para atender las funciones de los Poderes Legislativo, Judicial y Ejecutivo, así como para los Organismos Públicos Descentralizados, Entes Autónomos y Municipios, con el propósito de que se cumpla con las demandas de la población y garantice la viabilidad, equilibrio y sustentabilidad financiera de la hacienda pública, conforme lo siguiente:</w:t>
      </w:r>
    </w:p>
    <w:p w:rsidR="008E6390" w:rsidRPr="00955A4C" w:rsidRDefault="008E6390" w:rsidP="008E6390">
      <w:pPr>
        <w:spacing w:line="360" w:lineRule="auto"/>
        <w:jc w:val="both"/>
        <w:rPr>
          <w:sz w:val="20"/>
          <w:szCs w:val="20"/>
        </w:rPr>
      </w:pPr>
    </w:p>
    <w:p w:rsidR="008E6390" w:rsidRPr="00955A4C" w:rsidRDefault="008E6390" w:rsidP="008E6390">
      <w:pPr>
        <w:pStyle w:val="Prrafodelista"/>
        <w:numPr>
          <w:ilvl w:val="0"/>
          <w:numId w:val="15"/>
        </w:numPr>
        <w:spacing w:line="360" w:lineRule="auto"/>
        <w:jc w:val="both"/>
        <w:rPr>
          <w:sz w:val="20"/>
          <w:szCs w:val="20"/>
        </w:rPr>
      </w:pPr>
      <w:r w:rsidRPr="00955A4C">
        <w:rPr>
          <w:sz w:val="20"/>
          <w:szCs w:val="20"/>
        </w:rPr>
        <w:t>El presupuesto global estatal, integrado por participaciones federales e ingresos propios, es</w:t>
      </w:r>
      <w:r>
        <w:rPr>
          <w:sz w:val="20"/>
          <w:szCs w:val="20"/>
        </w:rPr>
        <w:t xml:space="preserve">tima un monto </w:t>
      </w:r>
      <w:r w:rsidRPr="00955A4C">
        <w:rPr>
          <w:sz w:val="20"/>
          <w:szCs w:val="20"/>
        </w:rPr>
        <w:t xml:space="preserve">de </w:t>
      </w:r>
      <w:r>
        <w:rPr>
          <w:sz w:val="20"/>
          <w:szCs w:val="20"/>
        </w:rPr>
        <w:t>$10,458,858,447</w:t>
      </w:r>
      <w:r w:rsidRPr="00955A4C">
        <w:rPr>
          <w:sz w:val="20"/>
          <w:szCs w:val="20"/>
        </w:rPr>
        <w:t xml:space="preserve">; </w:t>
      </w:r>
    </w:p>
    <w:p w:rsidR="008E6390" w:rsidRPr="00955A4C" w:rsidRDefault="008E6390" w:rsidP="008E6390">
      <w:pPr>
        <w:spacing w:line="360" w:lineRule="auto"/>
        <w:jc w:val="both"/>
        <w:rPr>
          <w:sz w:val="20"/>
          <w:szCs w:val="20"/>
        </w:rPr>
      </w:pPr>
    </w:p>
    <w:p w:rsidR="008E6390" w:rsidRPr="00955A4C" w:rsidRDefault="008E6390" w:rsidP="008E6390">
      <w:pPr>
        <w:pStyle w:val="Prrafodelista"/>
        <w:numPr>
          <w:ilvl w:val="0"/>
          <w:numId w:val="15"/>
        </w:numPr>
        <w:spacing w:line="360" w:lineRule="auto"/>
        <w:jc w:val="both"/>
        <w:rPr>
          <w:sz w:val="20"/>
          <w:szCs w:val="20"/>
        </w:rPr>
      </w:pPr>
      <w:r w:rsidRPr="00955A4C">
        <w:rPr>
          <w:sz w:val="20"/>
          <w:szCs w:val="20"/>
        </w:rPr>
        <w:t xml:space="preserve">Las Aportaciones Federales, del Ramo 33, previstas en el Presupuesto de Egresos de la Federación, </w:t>
      </w:r>
      <w:r>
        <w:rPr>
          <w:sz w:val="20"/>
          <w:szCs w:val="20"/>
        </w:rPr>
        <w:t>prevén</w:t>
      </w:r>
      <w:r w:rsidRPr="00955A4C">
        <w:rPr>
          <w:sz w:val="20"/>
          <w:szCs w:val="20"/>
        </w:rPr>
        <w:t xml:space="preserve"> un monto de</w:t>
      </w:r>
      <w:r>
        <w:rPr>
          <w:sz w:val="20"/>
          <w:szCs w:val="20"/>
        </w:rPr>
        <w:t xml:space="preserve"> $10,320,183,395.00</w:t>
      </w:r>
      <w:r w:rsidRPr="00955A4C">
        <w:rPr>
          <w:sz w:val="20"/>
          <w:szCs w:val="20"/>
        </w:rPr>
        <w:t xml:space="preserve">, ajustándose en los </w:t>
      </w:r>
      <w:r w:rsidRPr="00955A4C">
        <w:rPr>
          <w:sz w:val="20"/>
          <w:szCs w:val="20"/>
        </w:rPr>
        <w:lastRenderedPageBreak/>
        <w:t>montos estimados en el Presupuesto de Egresos de la Federación para el ejercicio fiscal 2020, destinados fundamentalmente a programas de</w:t>
      </w:r>
      <w:r w:rsidRPr="00955A4C">
        <w:rPr>
          <w:color w:val="FF0000"/>
          <w:sz w:val="20"/>
          <w:szCs w:val="20"/>
        </w:rPr>
        <w:t xml:space="preserve"> </w:t>
      </w:r>
      <w:r w:rsidRPr="00955A4C">
        <w:rPr>
          <w:sz w:val="20"/>
          <w:szCs w:val="20"/>
        </w:rPr>
        <w:t>educación, salud, seguridad, infraestructura social y Fondos Municipales.</w:t>
      </w:r>
    </w:p>
    <w:p w:rsidR="008E6390" w:rsidRPr="00955A4C" w:rsidRDefault="008E6390" w:rsidP="008E6390">
      <w:pPr>
        <w:spacing w:line="360" w:lineRule="auto"/>
        <w:jc w:val="both"/>
        <w:rPr>
          <w:sz w:val="20"/>
          <w:szCs w:val="20"/>
        </w:rPr>
      </w:pPr>
    </w:p>
    <w:p w:rsidR="008E6390" w:rsidRPr="00955A4C" w:rsidRDefault="008E6390" w:rsidP="008E6390">
      <w:pPr>
        <w:spacing w:line="360" w:lineRule="auto"/>
        <w:jc w:val="center"/>
        <w:rPr>
          <w:b/>
          <w:sz w:val="20"/>
          <w:szCs w:val="20"/>
        </w:rPr>
      </w:pPr>
      <w:r w:rsidRPr="00955A4C">
        <w:rPr>
          <w:b/>
          <w:sz w:val="20"/>
          <w:szCs w:val="20"/>
        </w:rPr>
        <w:t>PRESUPUESTO POR FUENTE DE FINANCIAMIENTO</w:t>
      </w:r>
    </w:p>
    <w:p w:rsidR="008E6390" w:rsidRPr="00955A4C" w:rsidRDefault="008E6390" w:rsidP="008E6390">
      <w:pPr>
        <w:spacing w:line="360" w:lineRule="auto"/>
        <w:jc w:val="both"/>
        <w:rPr>
          <w:sz w:val="20"/>
          <w:szCs w:val="20"/>
        </w:rPr>
      </w:pPr>
    </w:p>
    <w:p w:rsidR="00D07D8F" w:rsidRPr="00D07D8F" w:rsidRDefault="00D07D8F" w:rsidP="008E6390">
      <w:pPr>
        <w:spacing w:line="360" w:lineRule="auto"/>
        <w:jc w:val="both"/>
        <w:rPr>
          <w:sz w:val="20"/>
          <w:szCs w:val="20"/>
        </w:rPr>
      </w:pPr>
      <w:r w:rsidRPr="00D07D8F">
        <w:rPr>
          <w:sz w:val="20"/>
          <w:szCs w:val="20"/>
        </w:rPr>
        <w:t xml:space="preserve">La clasificación por fuentes de financiamiento consiste en presentar los gastos públicos según los agregados genéricos de los recursos empleados para su financiamiento. </w:t>
      </w:r>
    </w:p>
    <w:p w:rsidR="00D07D8F" w:rsidRPr="00D07D8F" w:rsidRDefault="00D07D8F" w:rsidP="008E6390">
      <w:pPr>
        <w:spacing w:line="360" w:lineRule="auto"/>
        <w:jc w:val="both"/>
        <w:rPr>
          <w:sz w:val="20"/>
          <w:szCs w:val="20"/>
        </w:rPr>
      </w:pPr>
    </w:p>
    <w:p w:rsidR="00D07D8F" w:rsidRDefault="00D07D8F" w:rsidP="008E6390">
      <w:pPr>
        <w:spacing w:line="360" w:lineRule="auto"/>
        <w:jc w:val="both"/>
        <w:rPr>
          <w:sz w:val="20"/>
          <w:szCs w:val="20"/>
        </w:rPr>
      </w:pPr>
      <w:r w:rsidRPr="00D07D8F">
        <w:rPr>
          <w:sz w:val="20"/>
          <w:szCs w:val="20"/>
        </w:rPr>
        <w:t>Esta clasificación permite identificar las fuentes u orígenes de los ingresos que financian los egresos y precisar la orientación específica de cada fuente a efecto de controlar su aplicación</w:t>
      </w:r>
      <w:r>
        <w:rPr>
          <w:sz w:val="20"/>
          <w:szCs w:val="20"/>
        </w:rPr>
        <w:t xml:space="preserve">. </w:t>
      </w:r>
    </w:p>
    <w:p w:rsidR="00D07D8F" w:rsidRDefault="00D07D8F" w:rsidP="008E6390">
      <w:pPr>
        <w:spacing w:line="360" w:lineRule="auto"/>
        <w:jc w:val="both"/>
        <w:rPr>
          <w:sz w:val="20"/>
          <w:szCs w:val="20"/>
        </w:rPr>
      </w:pPr>
    </w:p>
    <w:p w:rsidR="00D07D8F" w:rsidRDefault="00D07D8F" w:rsidP="008E6390">
      <w:pPr>
        <w:spacing w:line="360" w:lineRule="auto"/>
        <w:jc w:val="both"/>
        <w:rPr>
          <w:sz w:val="20"/>
          <w:szCs w:val="20"/>
        </w:rPr>
      </w:pPr>
      <w:r>
        <w:rPr>
          <w:sz w:val="20"/>
          <w:szCs w:val="20"/>
        </w:rPr>
        <w:t>A continuación se presenta la información correspondiente a esta Clasificación que prevé el Estado para el Ejercicio 2020:</w:t>
      </w:r>
    </w:p>
    <w:p w:rsidR="008E6390" w:rsidRPr="00955A4C" w:rsidRDefault="008E6390" w:rsidP="008E6390">
      <w:pPr>
        <w:spacing w:line="360" w:lineRule="auto"/>
        <w:jc w:val="both"/>
        <w:rPr>
          <w:sz w:val="20"/>
          <w:szCs w:val="20"/>
        </w:rPr>
      </w:pPr>
    </w:p>
    <w:tbl>
      <w:tblPr>
        <w:tblW w:w="4248" w:type="dxa"/>
        <w:jc w:val="center"/>
        <w:tblCellMar>
          <w:left w:w="70" w:type="dxa"/>
          <w:right w:w="70" w:type="dxa"/>
        </w:tblCellMar>
        <w:tblLook w:val="04A0" w:firstRow="1" w:lastRow="0" w:firstColumn="1" w:lastColumn="0" w:noHBand="0" w:noVBand="1"/>
      </w:tblPr>
      <w:tblGrid>
        <w:gridCol w:w="3120"/>
        <w:gridCol w:w="1690"/>
      </w:tblGrid>
      <w:tr w:rsidR="008E6390" w:rsidRPr="00955A4C" w:rsidTr="008E6390">
        <w:trPr>
          <w:trHeight w:val="300"/>
          <w:jc w:val="center"/>
        </w:trPr>
        <w:tc>
          <w:tcPr>
            <w:tcW w:w="3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E6390" w:rsidRPr="00955A4C" w:rsidRDefault="008E6390" w:rsidP="008E6390">
            <w:pPr>
              <w:spacing w:line="360" w:lineRule="auto"/>
              <w:jc w:val="center"/>
              <w:rPr>
                <w:b/>
                <w:bCs/>
                <w:color w:val="000000"/>
                <w:sz w:val="20"/>
                <w:szCs w:val="20"/>
                <w:lang w:val="es-MX" w:eastAsia="es-MX"/>
              </w:rPr>
            </w:pPr>
            <w:r w:rsidRPr="00955A4C">
              <w:rPr>
                <w:b/>
                <w:bCs/>
                <w:color w:val="000000"/>
                <w:sz w:val="20"/>
                <w:szCs w:val="20"/>
                <w:lang w:val="es-MX" w:eastAsia="es-MX"/>
              </w:rPr>
              <w:t>FUENTE DE FINANCIAMIENTO</w:t>
            </w:r>
          </w:p>
        </w:tc>
        <w:tc>
          <w:tcPr>
            <w:tcW w:w="11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E6390" w:rsidRPr="00955A4C" w:rsidRDefault="008E6390" w:rsidP="00B45116">
            <w:pPr>
              <w:spacing w:line="360" w:lineRule="auto"/>
              <w:jc w:val="center"/>
              <w:rPr>
                <w:b/>
                <w:bCs/>
                <w:color w:val="000000"/>
                <w:sz w:val="20"/>
                <w:szCs w:val="20"/>
                <w:lang w:val="es-MX" w:eastAsia="es-MX"/>
              </w:rPr>
            </w:pPr>
            <w:r w:rsidRPr="00955A4C">
              <w:rPr>
                <w:b/>
                <w:bCs/>
                <w:color w:val="000000"/>
                <w:sz w:val="20"/>
                <w:szCs w:val="20"/>
                <w:lang w:val="es-MX" w:eastAsia="es-MX"/>
              </w:rPr>
              <w:t>MONTO</w:t>
            </w:r>
          </w:p>
        </w:tc>
      </w:tr>
      <w:tr w:rsidR="008E6390" w:rsidRPr="00955A4C" w:rsidTr="008E6390">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8E6390" w:rsidRPr="00955A4C" w:rsidRDefault="00B45116" w:rsidP="008E6390">
            <w:pPr>
              <w:spacing w:line="360" w:lineRule="auto"/>
              <w:rPr>
                <w:color w:val="000000"/>
                <w:sz w:val="20"/>
                <w:szCs w:val="20"/>
                <w:lang w:val="es-MX" w:eastAsia="es-MX"/>
              </w:rPr>
            </w:pPr>
            <w:r w:rsidRPr="00955A4C">
              <w:rPr>
                <w:color w:val="000000"/>
                <w:sz w:val="20"/>
                <w:szCs w:val="20"/>
                <w:lang w:val="es-MX" w:eastAsia="es-MX"/>
              </w:rPr>
              <w:t>1. Recursos Fiscales</w:t>
            </w:r>
          </w:p>
        </w:tc>
        <w:tc>
          <w:tcPr>
            <w:tcW w:w="1128" w:type="dxa"/>
            <w:tcBorders>
              <w:top w:val="nil"/>
              <w:left w:val="nil"/>
              <w:bottom w:val="single" w:sz="4" w:space="0" w:color="auto"/>
              <w:right w:val="single" w:sz="4" w:space="0" w:color="auto"/>
            </w:tcBorders>
            <w:shd w:val="clear" w:color="auto" w:fill="auto"/>
            <w:noWrap/>
            <w:vAlign w:val="bottom"/>
            <w:hideMark/>
          </w:tcPr>
          <w:p w:rsidR="008E6390" w:rsidRPr="004C3031" w:rsidRDefault="008E6390" w:rsidP="008E6390">
            <w:pPr>
              <w:spacing w:line="360" w:lineRule="auto"/>
              <w:jc w:val="right"/>
              <w:rPr>
                <w:color w:val="000000"/>
                <w:sz w:val="20"/>
                <w:szCs w:val="20"/>
                <w:lang w:val="es-MX" w:eastAsia="es-MX"/>
              </w:rPr>
            </w:pPr>
            <w:r w:rsidRPr="00D841A2">
              <w:rPr>
                <w:sz w:val="20"/>
                <w:szCs w:val="20"/>
              </w:rPr>
              <w:t>1</w:t>
            </w:r>
            <w:r>
              <w:rPr>
                <w:sz w:val="20"/>
                <w:szCs w:val="20"/>
              </w:rPr>
              <w:t>,</w:t>
            </w:r>
            <w:r w:rsidRPr="00D841A2">
              <w:rPr>
                <w:sz w:val="20"/>
                <w:szCs w:val="20"/>
              </w:rPr>
              <w:t>067</w:t>
            </w:r>
            <w:r>
              <w:rPr>
                <w:sz w:val="20"/>
                <w:szCs w:val="20"/>
              </w:rPr>
              <w:t>,</w:t>
            </w:r>
            <w:r w:rsidRPr="00D841A2">
              <w:rPr>
                <w:sz w:val="20"/>
                <w:szCs w:val="20"/>
              </w:rPr>
              <w:t>580</w:t>
            </w:r>
            <w:r>
              <w:rPr>
                <w:sz w:val="20"/>
                <w:szCs w:val="20"/>
              </w:rPr>
              <w:t>,</w:t>
            </w:r>
            <w:r w:rsidRPr="00D841A2">
              <w:rPr>
                <w:sz w:val="20"/>
                <w:szCs w:val="20"/>
              </w:rPr>
              <w:t>297</w:t>
            </w:r>
            <w:r>
              <w:rPr>
                <w:sz w:val="20"/>
                <w:szCs w:val="20"/>
              </w:rPr>
              <w:t>.00</w:t>
            </w:r>
          </w:p>
        </w:tc>
      </w:tr>
      <w:tr w:rsidR="008E6390" w:rsidRPr="00955A4C" w:rsidTr="008E6390">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8E6390" w:rsidRPr="00955A4C" w:rsidRDefault="00B45116" w:rsidP="008E6390">
            <w:pPr>
              <w:spacing w:line="360" w:lineRule="auto"/>
              <w:rPr>
                <w:color w:val="000000"/>
                <w:sz w:val="20"/>
                <w:szCs w:val="20"/>
                <w:lang w:val="es-MX" w:eastAsia="es-MX"/>
              </w:rPr>
            </w:pPr>
            <w:r w:rsidRPr="00955A4C">
              <w:rPr>
                <w:color w:val="000000"/>
                <w:sz w:val="20"/>
                <w:szCs w:val="20"/>
                <w:lang w:val="es-MX" w:eastAsia="es-MX"/>
              </w:rPr>
              <w:t>2. Financiamientos Internos</w:t>
            </w:r>
          </w:p>
        </w:tc>
        <w:tc>
          <w:tcPr>
            <w:tcW w:w="1128" w:type="dxa"/>
            <w:tcBorders>
              <w:top w:val="nil"/>
              <w:left w:val="nil"/>
              <w:bottom w:val="single" w:sz="4" w:space="0" w:color="auto"/>
              <w:right w:val="single" w:sz="4" w:space="0" w:color="auto"/>
            </w:tcBorders>
            <w:shd w:val="clear" w:color="auto" w:fill="auto"/>
            <w:noWrap/>
            <w:vAlign w:val="bottom"/>
            <w:hideMark/>
          </w:tcPr>
          <w:p w:rsidR="008E6390" w:rsidRPr="00955A4C" w:rsidRDefault="008E6390" w:rsidP="008E6390">
            <w:pPr>
              <w:spacing w:line="360" w:lineRule="auto"/>
              <w:jc w:val="right"/>
              <w:rPr>
                <w:color w:val="000000"/>
                <w:sz w:val="20"/>
                <w:szCs w:val="20"/>
                <w:lang w:val="es-MX" w:eastAsia="es-MX"/>
              </w:rPr>
            </w:pPr>
            <w:r>
              <w:rPr>
                <w:color w:val="000000"/>
                <w:sz w:val="20"/>
                <w:szCs w:val="20"/>
                <w:lang w:val="es-MX" w:eastAsia="es-MX"/>
              </w:rPr>
              <w:t>0.0</w:t>
            </w:r>
            <w:r w:rsidR="00B45116">
              <w:rPr>
                <w:color w:val="000000"/>
                <w:sz w:val="20"/>
                <w:szCs w:val="20"/>
                <w:lang w:val="es-MX" w:eastAsia="es-MX"/>
              </w:rPr>
              <w:t>0</w:t>
            </w:r>
            <w:r w:rsidRPr="00955A4C">
              <w:rPr>
                <w:color w:val="000000"/>
                <w:sz w:val="20"/>
                <w:szCs w:val="20"/>
                <w:lang w:val="es-MX" w:eastAsia="es-MX"/>
              </w:rPr>
              <w:t> </w:t>
            </w:r>
          </w:p>
        </w:tc>
      </w:tr>
      <w:tr w:rsidR="008E6390" w:rsidRPr="00955A4C" w:rsidTr="008E6390">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8E6390" w:rsidRPr="00955A4C" w:rsidRDefault="00B45116" w:rsidP="008E6390">
            <w:pPr>
              <w:spacing w:line="360" w:lineRule="auto"/>
              <w:rPr>
                <w:color w:val="000000"/>
                <w:sz w:val="20"/>
                <w:szCs w:val="20"/>
                <w:lang w:val="es-MX" w:eastAsia="es-MX"/>
              </w:rPr>
            </w:pPr>
            <w:r w:rsidRPr="00955A4C">
              <w:rPr>
                <w:color w:val="000000"/>
                <w:sz w:val="20"/>
                <w:szCs w:val="20"/>
                <w:lang w:val="es-MX" w:eastAsia="es-MX"/>
              </w:rPr>
              <w:t>3. Financiamientos Externos</w:t>
            </w:r>
          </w:p>
        </w:tc>
        <w:tc>
          <w:tcPr>
            <w:tcW w:w="1128" w:type="dxa"/>
            <w:tcBorders>
              <w:top w:val="nil"/>
              <w:left w:val="nil"/>
              <w:bottom w:val="single" w:sz="4" w:space="0" w:color="auto"/>
              <w:right w:val="single" w:sz="4" w:space="0" w:color="auto"/>
            </w:tcBorders>
            <w:shd w:val="clear" w:color="auto" w:fill="auto"/>
            <w:noWrap/>
            <w:vAlign w:val="bottom"/>
            <w:hideMark/>
          </w:tcPr>
          <w:p w:rsidR="008E6390" w:rsidRPr="00955A4C" w:rsidRDefault="008E6390" w:rsidP="008E6390">
            <w:pPr>
              <w:spacing w:line="360" w:lineRule="auto"/>
              <w:jc w:val="right"/>
              <w:rPr>
                <w:color w:val="000000"/>
                <w:sz w:val="20"/>
                <w:szCs w:val="20"/>
                <w:lang w:val="es-MX" w:eastAsia="es-MX"/>
              </w:rPr>
            </w:pPr>
            <w:r>
              <w:rPr>
                <w:color w:val="000000"/>
                <w:sz w:val="20"/>
                <w:szCs w:val="20"/>
                <w:lang w:val="es-MX" w:eastAsia="es-MX"/>
              </w:rPr>
              <w:t>0.0</w:t>
            </w:r>
            <w:r w:rsidR="00B45116">
              <w:rPr>
                <w:color w:val="000000"/>
                <w:sz w:val="20"/>
                <w:szCs w:val="20"/>
                <w:lang w:val="es-MX" w:eastAsia="es-MX"/>
              </w:rPr>
              <w:t>0</w:t>
            </w:r>
            <w:r w:rsidRPr="00955A4C">
              <w:rPr>
                <w:color w:val="000000"/>
                <w:sz w:val="20"/>
                <w:szCs w:val="20"/>
                <w:lang w:val="es-MX" w:eastAsia="es-MX"/>
              </w:rPr>
              <w:t> </w:t>
            </w:r>
          </w:p>
        </w:tc>
      </w:tr>
      <w:tr w:rsidR="008E6390" w:rsidRPr="00955A4C" w:rsidTr="008E6390">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8E6390" w:rsidRPr="00955A4C" w:rsidRDefault="00B45116" w:rsidP="008E6390">
            <w:pPr>
              <w:spacing w:line="360" w:lineRule="auto"/>
              <w:rPr>
                <w:color w:val="000000"/>
                <w:sz w:val="20"/>
                <w:szCs w:val="20"/>
                <w:lang w:val="es-MX" w:eastAsia="es-MX"/>
              </w:rPr>
            </w:pPr>
            <w:r w:rsidRPr="00955A4C">
              <w:rPr>
                <w:color w:val="000000"/>
                <w:sz w:val="20"/>
                <w:szCs w:val="20"/>
                <w:lang w:val="es-MX" w:eastAsia="es-MX"/>
              </w:rPr>
              <w:t>4. Ingresos Propios</w:t>
            </w:r>
          </w:p>
        </w:tc>
        <w:tc>
          <w:tcPr>
            <w:tcW w:w="1128" w:type="dxa"/>
            <w:tcBorders>
              <w:top w:val="nil"/>
              <w:left w:val="nil"/>
              <w:bottom w:val="single" w:sz="4" w:space="0" w:color="auto"/>
              <w:right w:val="single" w:sz="4" w:space="0" w:color="auto"/>
            </w:tcBorders>
            <w:shd w:val="clear" w:color="auto" w:fill="auto"/>
            <w:noWrap/>
            <w:vAlign w:val="bottom"/>
            <w:hideMark/>
          </w:tcPr>
          <w:p w:rsidR="008E6390" w:rsidRPr="00955A4C" w:rsidRDefault="008E6390" w:rsidP="008E6390">
            <w:pPr>
              <w:spacing w:line="360" w:lineRule="auto"/>
              <w:jc w:val="right"/>
              <w:rPr>
                <w:color w:val="000000"/>
                <w:sz w:val="20"/>
                <w:szCs w:val="20"/>
                <w:lang w:val="es-MX" w:eastAsia="es-MX"/>
              </w:rPr>
            </w:pPr>
            <w:r w:rsidRPr="004C3031">
              <w:rPr>
                <w:color w:val="000000"/>
                <w:sz w:val="20"/>
                <w:szCs w:val="20"/>
                <w:lang w:val="es-MX" w:eastAsia="es-MX"/>
              </w:rPr>
              <w:t>157,838,576.00</w:t>
            </w:r>
          </w:p>
        </w:tc>
      </w:tr>
      <w:tr w:rsidR="008E6390" w:rsidRPr="00955A4C" w:rsidTr="008E6390">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8E6390" w:rsidRPr="00955A4C" w:rsidRDefault="00B45116" w:rsidP="008E6390">
            <w:pPr>
              <w:spacing w:line="360" w:lineRule="auto"/>
              <w:rPr>
                <w:color w:val="000000"/>
                <w:sz w:val="20"/>
                <w:szCs w:val="20"/>
                <w:lang w:val="es-MX" w:eastAsia="es-MX"/>
              </w:rPr>
            </w:pPr>
            <w:r w:rsidRPr="00955A4C">
              <w:rPr>
                <w:color w:val="000000"/>
                <w:sz w:val="20"/>
                <w:szCs w:val="20"/>
                <w:lang w:val="es-MX" w:eastAsia="es-MX"/>
              </w:rPr>
              <w:t>5. Recursos Federales</w:t>
            </w:r>
          </w:p>
        </w:tc>
        <w:tc>
          <w:tcPr>
            <w:tcW w:w="1128" w:type="dxa"/>
            <w:tcBorders>
              <w:top w:val="nil"/>
              <w:left w:val="nil"/>
              <w:bottom w:val="single" w:sz="4" w:space="0" w:color="auto"/>
              <w:right w:val="single" w:sz="4" w:space="0" w:color="auto"/>
            </w:tcBorders>
            <w:shd w:val="clear" w:color="auto" w:fill="auto"/>
            <w:noWrap/>
            <w:vAlign w:val="bottom"/>
            <w:hideMark/>
          </w:tcPr>
          <w:p w:rsidR="008E6390" w:rsidRPr="00955A4C" w:rsidRDefault="008E6390" w:rsidP="008E6390">
            <w:pPr>
              <w:spacing w:line="360" w:lineRule="auto"/>
              <w:jc w:val="right"/>
              <w:rPr>
                <w:color w:val="000000"/>
                <w:sz w:val="20"/>
                <w:szCs w:val="20"/>
                <w:lang w:val="es-MX" w:eastAsia="es-MX"/>
              </w:rPr>
            </w:pPr>
            <w:r>
              <w:rPr>
                <w:color w:val="000000"/>
                <w:sz w:val="20"/>
                <w:szCs w:val="20"/>
                <w:lang w:val="es-MX" w:eastAsia="es-MX"/>
              </w:rPr>
              <w:t>19,553,622,969.00</w:t>
            </w:r>
          </w:p>
        </w:tc>
      </w:tr>
      <w:tr w:rsidR="008E6390" w:rsidRPr="00955A4C" w:rsidTr="008E6390">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8E6390" w:rsidRPr="00955A4C" w:rsidRDefault="00B45116" w:rsidP="008E6390">
            <w:pPr>
              <w:spacing w:line="360" w:lineRule="auto"/>
              <w:rPr>
                <w:color w:val="000000"/>
                <w:sz w:val="20"/>
                <w:szCs w:val="20"/>
                <w:lang w:val="es-MX" w:eastAsia="es-MX"/>
              </w:rPr>
            </w:pPr>
            <w:r w:rsidRPr="00955A4C">
              <w:rPr>
                <w:color w:val="000000"/>
                <w:sz w:val="20"/>
                <w:szCs w:val="20"/>
                <w:lang w:val="es-MX" w:eastAsia="es-MX"/>
              </w:rPr>
              <w:t>6. Recursos Estatales</w:t>
            </w:r>
          </w:p>
        </w:tc>
        <w:tc>
          <w:tcPr>
            <w:tcW w:w="1128" w:type="dxa"/>
            <w:tcBorders>
              <w:top w:val="nil"/>
              <w:left w:val="nil"/>
              <w:bottom w:val="single" w:sz="4" w:space="0" w:color="auto"/>
              <w:right w:val="single" w:sz="4" w:space="0" w:color="auto"/>
            </w:tcBorders>
            <w:shd w:val="clear" w:color="auto" w:fill="auto"/>
            <w:noWrap/>
            <w:vAlign w:val="bottom"/>
            <w:hideMark/>
          </w:tcPr>
          <w:p w:rsidR="008E6390" w:rsidRPr="00955A4C" w:rsidRDefault="008E6390" w:rsidP="008E6390">
            <w:pPr>
              <w:spacing w:line="360" w:lineRule="auto"/>
              <w:jc w:val="right"/>
              <w:rPr>
                <w:color w:val="000000"/>
                <w:sz w:val="20"/>
                <w:szCs w:val="20"/>
                <w:lang w:val="es-MX" w:eastAsia="es-MX"/>
              </w:rPr>
            </w:pPr>
            <w:r>
              <w:rPr>
                <w:color w:val="000000"/>
                <w:sz w:val="20"/>
                <w:szCs w:val="20"/>
                <w:lang w:val="es-MX" w:eastAsia="es-MX"/>
              </w:rPr>
              <w:t>0.0</w:t>
            </w:r>
            <w:r w:rsidR="00B45116">
              <w:rPr>
                <w:color w:val="000000"/>
                <w:sz w:val="20"/>
                <w:szCs w:val="20"/>
                <w:lang w:val="es-MX" w:eastAsia="es-MX"/>
              </w:rPr>
              <w:t>0</w:t>
            </w:r>
            <w:r w:rsidRPr="00955A4C">
              <w:rPr>
                <w:color w:val="000000"/>
                <w:sz w:val="20"/>
                <w:szCs w:val="20"/>
                <w:lang w:val="es-MX" w:eastAsia="es-MX"/>
              </w:rPr>
              <w:t> </w:t>
            </w:r>
          </w:p>
        </w:tc>
      </w:tr>
      <w:tr w:rsidR="008E6390" w:rsidRPr="00955A4C" w:rsidTr="008E6390">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8E6390" w:rsidRPr="00955A4C" w:rsidRDefault="00B45116" w:rsidP="008E6390">
            <w:pPr>
              <w:spacing w:line="360" w:lineRule="auto"/>
              <w:rPr>
                <w:color w:val="000000"/>
                <w:sz w:val="20"/>
                <w:szCs w:val="20"/>
                <w:lang w:val="es-MX" w:eastAsia="es-MX"/>
              </w:rPr>
            </w:pPr>
            <w:r w:rsidRPr="00955A4C">
              <w:rPr>
                <w:color w:val="000000"/>
                <w:sz w:val="20"/>
                <w:szCs w:val="20"/>
                <w:lang w:val="es-MX" w:eastAsia="es-MX"/>
              </w:rPr>
              <w:t>7. Otros Recursos</w:t>
            </w:r>
          </w:p>
        </w:tc>
        <w:tc>
          <w:tcPr>
            <w:tcW w:w="1128" w:type="dxa"/>
            <w:tcBorders>
              <w:top w:val="nil"/>
              <w:left w:val="nil"/>
              <w:bottom w:val="single" w:sz="4" w:space="0" w:color="auto"/>
              <w:right w:val="single" w:sz="4" w:space="0" w:color="auto"/>
            </w:tcBorders>
            <w:shd w:val="clear" w:color="auto" w:fill="auto"/>
            <w:noWrap/>
            <w:vAlign w:val="bottom"/>
            <w:hideMark/>
          </w:tcPr>
          <w:p w:rsidR="008E6390" w:rsidRPr="00955A4C" w:rsidRDefault="008E6390" w:rsidP="008E6390">
            <w:pPr>
              <w:spacing w:line="360" w:lineRule="auto"/>
              <w:jc w:val="right"/>
              <w:rPr>
                <w:color w:val="000000"/>
                <w:sz w:val="20"/>
                <w:szCs w:val="20"/>
                <w:lang w:val="es-MX" w:eastAsia="es-MX"/>
              </w:rPr>
            </w:pPr>
            <w:r>
              <w:rPr>
                <w:color w:val="000000"/>
                <w:sz w:val="20"/>
                <w:szCs w:val="20"/>
                <w:lang w:val="es-MX" w:eastAsia="es-MX"/>
              </w:rPr>
              <w:t>0.0</w:t>
            </w:r>
            <w:r w:rsidR="00B45116">
              <w:rPr>
                <w:color w:val="000000"/>
                <w:sz w:val="20"/>
                <w:szCs w:val="20"/>
                <w:lang w:val="es-MX" w:eastAsia="es-MX"/>
              </w:rPr>
              <w:t>0</w:t>
            </w:r>
            <w:r w:rsidRPr="00955A4C">
              <w:rPr>
                <w:color w:val="000000"/>
                <w:sz w:val="20"/>
                <w:szCs w:val="20"/>
                <w:lang w:val="es-MX" w:eastAsia="es-MX"/>
              </w:rPr>
              <w:t> </w:t>
            </w:r>
          </w:p>
        </w:tc>
      </w:tr>
      <w:tr w:rsidR="008E6390" w:rsidRPr="00955A4C" w:rsidTr="008E6390">
        <w:trPr>
          <w:trHeight w:val="300"/>
          <w:jc w:val="center"/>
        </w:trPr>
        <w:tc>
          <w:tcPr>
            <w:tcW w:w="31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8E6390" w:rsidRPr="00955A4C" w:rsidRDefault="008E6390" w:rsidP="008E6390">
            <w:pPr>
              <w:spacing w:line="360" w:lineRule="auto"/>
              <w:jc w:val="center"/>
              <w:rPr>
                <w:b/>
                <w:bCs/>
                <w:color w:val="000000"/>
                <w:sz w:val="20"/>
                <w:szCs w:val="20"/>
                <w:lang w:val="es-MX" w:eastAsia="es-MX"/>
              </w:rPr>
            </w:pPr>
            <w:r w:rsidRPr="00955A4C">
              <w:rPr>
                <w:b/>
                <w:bCs/>
                <w:color w:val="000000"/>
                <w:sz w:val="20"/>
                <w:szCs w:val="20"/>
                <w:lang w:val="es-MX" w:eastAsia="es-MX"/>
              </w:rPr>
              <w:t>TOTAL</w:t>
            </w:r>
          </w:p>
        </w:tc>
        <w:tc>
          <w:tcPr>
            <w:tcW w:w="1128" w:type="dxa"/>
            <w:tcBorders>
              <w:top w:val="nil"/>
              <w:left w:val="nil"/>
              <w:bottom w:val="single" w:sz="4" w:space="0" w:color="auto"/>
              <w:right w:val="single" w:sz="4" w:space="0" w:color="auto"/>
            </w:tcBorders>
            <w:shd w:val="clear" w:color="auto" w:fill="D9D9D9" w:themeFill="background1" w:themeFillShade="D9"/>
            <w:noWrap/>
            <w:vAlign w:val="bottom"/>
            <w:hideMark/>
          </w:tcPr>
          <w:p w:rsidR="008E6390" w:rsidRPr="00955A4C" w:rsidRDefault="008E6390" w:rsidP="008E6390">
            <w:pPr>
              <w:spacing w:line="360" w:lineRule="auto"/>
              <w:jc w:val="right"/>
              <w:rPr>
                <w:b/>
                <w:color w:val="000000"/>
                <w:sz w:val="20"/>
                <w:szCs w:val="20"/>
                <w:lang w:val="es-MX" w:eastAsia="es-MX"/>
              </w:rPr>
            </w:pPr>
            <w:r w:rsidRPr="00955A4C">
              <w:rPr>
                <w:b/>
                <w:color w:val="000000"/>
                <w:sz w:val="20"/>
                <w:szCs w:val="20"/>
                <w:lang w:val="es-MX" w:eastAsia="es-MX"/>
              </w:rPr>
              <w:t> </w:t>
            </w:r>
            <w:r>
              <w:rPr>
                <w:b/>
                <w:color w:val="000000"/>
                <w:sz w:val="20"/>
                <w:szCs w:val="20"/>
                <w:lang w:val="es-MX" w:eastAsia="es-MX"/>
              </w:rPr>
              <w:t>20,779,041,842.00</w:t>
            </w:r>
          </w:p>
        </w:tc>
      </w:tr>
    </w:tbl>
    <w:p w:rsidR="008E6390" w:rsidRPr="00955A4C" w:rsidRDefault="008E6390" w:rsidP="008E6390">
      <w:pPr>
        <w:spacing w:line="360" w:lineRule="auto"/>
        <w:jc w:val="both"/>
        <w:rPr>
          <w:b/>
          <w:sz w:val="20"/>
          <w:szCs w:val="20"/>
        </w:rPr>
      </w:pPr>
    </w:p>
    <w:p w:rsidR="008E6390" w:rsidRPr="00D07D8F" w:rsidRDefault="00D07D8F" w:rsidP="00D07D8F">
      <w:pPr>
        <w:spacing w:line="360" w:lineRule="auto"/>
        <w:rPr>
          <w:sz w:val="20"/>
          <w:szCs w:val="20"/>
        </w:rPr>
      </w:pPr>
      <w:r w:rsidRPr="00D07D8F">
        <w:rPr>
          <w:sz w:val="20"/>
          <w:szCs w:val="20"/>
        </w:rPr>
        <w:t xml:space="preserve">En seguida se muestra a nivel subfuente de financiamiento: </w:t>
      </w:r>
    </w:p>
    <w:p w:rsidR="00D07D8F" w:rsidRPr="00955A4C" w:rsidRDefault="00D07D8F" w:rsidP="008E6390">
      <w:pPr>
        <w:spacing w:line="360" w:lineRule="auto"/>
        <w:jc w:val="center"/>
        <w:rPr>
          <w:b/>
          <w:sz w:val="20"/>
          <w:szCs w:val="20"/>
        </w:rPr>
      </w:pPr>
    </w:p>
    <w:tbl>
      <w:tblPr>
        <w:tblW w:w="3964" w:type="dxa"/>
        <w:jc w:val="center"/>
        <w:tblCellMar>
          <w:left w:w="70" w:type="dxa"/>
          <w:right w:w="70" w:type="dxa"/>
        </w:tblCellMar>
        <w:tblLook w:val="04A0" w:firstRow="1" w:lastRow="0" w:firstColumn="1" w:lastColumn="0" w:noHBand="0" w:noVBand="1"/>
      </w:tblPr>
      <w:tblGrid>
        <w:gridCol w:w="2405"/>
        <w:gridCol w:w="1640"/>
      </w:tblGrid>
      <w:tr w:rsidR="008E6390" w:rsidRPr="00955A4C" w:rsidTr="00B45116">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E6390" w:rsidRPr="00955A4C" w:rsidRDefault="008E6390" w:rsidP="008E6390">
            <w:pPr>
              <w:spacing w:line="360" w:lineRule="auto"/>
              <w:jc w:val="center"/>
              <w:rPr>
                <w:b/>
                <w:bCs/>
                <w:color w:val="000000"/>
                <w:sz w:val="20"/>
                <w:szCs w:val="20"/>
                <w:lang w:val="es-MX" w:eastAsia="es-MX"/>
              </w:rPr>
            </w:pPr>
            <w:r w:rsidRPr="00955A4C">
              <w:rPr>
                <w:b/>
                <w:bCs/>
                <w:color w:val="000000"/>
                <w:sz w:val="20"/>
                <w:szCs w:val="20"/>
                <w:lang w:val="es-MX" w:eastAsia="es-MX"/>
              </w:rPr>
              <w:t>SUBFUENTE DE FINANCIAMIENTO</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E6390" w:rsidRPr="00955A4C" w:rsidRDefault="00B45116" w:rsidP="00B45116">
            <w:pPr>
              <w:spacing w:line="360" w:lineRule="auto"/>
              <w:jc w:val="center"/>
              <w:rPr>
                <w:b/>
                <w:bCs/>
                <w:color w:val="000000"/>
                <w:sz w:val="20"/>
                <w:szCs w:val="20"/>
                <w:lang w:val="es-MX" w:eastAsia="es-MX"/>
              </w:rPr>
            </w:pPr>
            <w:r>
              <w:rPr>
                <w:b/>
                <w:bCs/>
                <w:color w:val="000000"/>
                <w:sz w:val="20"/>
                <w:szCs w:val="20"/>
                <w:lang w:val="es-MX" w:eastAsia="es-MX"/>
              </w:rPr>
              <w:t>MONTO</w:t>
            </w:r>
          </w:p>
        </w:tc>
      </w:tr>
      <w:tr w:rsidR="008E6390" w:rsidRPr="00955A4C" w:rsidTr="00B45116">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8E6390" w:rsidRPr="00955A4C" w:rsidRDefault="00B45116" w:rsidP="008E6390">
            <w:pPr>
              <w:spacing w:line="360" w:lineRule="auto"/>
              <w:rPr>
                <w:color w:val="000000"/>
                <w:sz w:val="20"/>
                <w:szCs w:val="20"/>
                <w:lang w:val="es-MX" w:eastAsia="es-MX"/>
              </w:rPr>
            </w:pPr>
            <w:r w:rsidRPr="00955A4C">
              <w:rPr>
                <w:color w:val="000000"/>
                <w:sz w:val="20"/>
                <w:szCs w:val="20"/>
                <w:lang w:val="es-MX" w:eastAsia="es-MX"/>
              </w:rPr>
              <w:t>Fuentes Locales</w:t>
            </w:r>
          </w:p>
        </w:tc>
        <w:tc>
          <w:tcPr>
            <w:tcW w:w="1559" w:type="dxa"/>
            <w:tcBorders>
              <w:top w:val="nil"/>
              <w:left w:val="nil"/>
              <w:bottom w:val="single" w:sz="4" w:space="0" w:color="auto"/>
              <w:right w:val="single" w:sz="4" w:space="0" w:color="auto"/>
            </w:tcBorders>
            <w:shd w:val="clear" w:color="auto" w:fill="auto"/>
            <w:noWrap/>
            <w:vAlign w:val="bottom"/>
            <w:hideMark/>
          </w:tcPr>
          <w:p w:rsidR="008E6390" w:rsidRPr="00955A4C" w:rsidRDefault="008E6390" w:rsidP="008E6390">
            <w:pPr>
              <w:spacing w:line="360" w:lineRule="auto"/>
              <w:jc w:val="right"/>
              <w:rPr>
                <w:color w:val="000000"/>
                <w:sz w:val="20"/>
                <w:szCs w:val="20"/>
                <w:lang w:val="es-MX" w:eastAsia="es-MX"/>
              </w:rPr>
            </w:pPr>
            <w:r>
              <w:rPr>
                <w:color w:val="000000"/>
                <w:sz w:val="20"/>
                <w:szCs w:val="20"/>
                <w:lang w:val="es-MX" w:eastAsia="es-MX"/>
              </w:rPr>
              <w:t>1,067,580,297.00</w:t>
            </w:r>
          </w:p>
        </w:tc>
      </w:tr>
      <w:tr w:rsidR="008E6390" w:rsidRPr="00955A4C" w:rsidTr="00B45116">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8E6390" w:rsidRPr="00955A4C" w:rsidRDefault="00B45116" w:rsidP="008E6390">
            <w:pPr>
              <w:spacing w:line="360" w:lineRule="auto"/>
              <w:rPr>
                <w:color w:val="000000"/>
                <w:sz w:val="20"/>
                <w:szCs w:val="20"/>
                <w:lang w:val="es-MX" w:eastAsia="es-MX"/>
              </w:rPr>
            </w:pPr>
            <w:r w:rsidRPr="00955A4C">
              <w:rPr>
                <w:color w:val="000000"/>
                <w:sz w:val="20"/>
                <w:szCs w:val="20"/>
                <w:lang w:val="es-MX" w:eastAsia="es-MX"/>
              </w:rPr>
              <w:t>Ingresos OPD'S</w:t>
            </w:r>
          </w:p>
        </w:tc>
        <w:tc>
          <w:tcPr>
            <w:tcW w:w="1559" w:type="dxa"/>
            <w:tcBorders>
              <w:top w:val="nil"/>
              <w:left w:val="nil"/>
              <w:bottom w:val="single" w:sz="4" w:space="0" w:color="auto"/>
              <w:right w:val="single" w:sz="4" w:space="0" w:color="auto"/>
            </w:tcBorders>
            <w:shd w:val="clear" w:color="auto" w:fill="auto"/>
            <w:noWrap/>
            <w:vAlign w:val="bottom"/>
            <w:hideMark/>
          </w:tcPr>
          <w:p w:rsidR="008E6390" w:rsidRPr="00955A4C" w:rsidRDefault="008E6390" w:rsidP="008E6390">
            <w:pPr>
              <w:spacing w:line="360" w:lineRule="auto"/>
              <w:jc w:val="right"/>
              <w:rPr>
                <w:color w:val="000000"/>
                <w:sz w:val="20"/>
                <w:szCs w:val="20"/>
                <w:lang w:val="es-MX" w:eastAsia="es-MX"/>
              </w:rPr>
            </w:pPr>
            <w:r>
              <w:rPr>
                <w:color w:val="000000"/>
                <w:sz w:val="20"/>
                <w:szCs w:val="20"/>
                <w:lang w:val="es-MX" w:eastAsia="es-MX"/>
              </w:rPr>
              <w:t>157,838,576.00</w:t>
            </w:r>
          </w:p>
        </w:tc>
      </w:tr>
      <w:tr w:rsidR="008E6390" w:rsidRPr="00955A4C" w:rsidTr="00B45116">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8E6390" w:rsidRPr="00955A4C" w:rsidRDefault="00B45116" w:rsidP="008E6390">
            <w:pPr>
              <w:spacing w:line="360" w:lineRule="auto"/>
              <w:rPr>
                <w:color w:val="000000"/>
                <w:sz w:val="20"/>
                <w:szCs w:val="20"/>
                <w:lang w:val="es-MX" w:eastAsia="es-MX"/>
              </w:rPr>
            </w:pPr>
            <w:r w:rsidRPr="00955A4C">
              <w:rPr>
                <w:color w:val="000000"/>
                <w:sz w:val="20"/>
                <w:szCs w:val="20"/>
                <w:lang w:val="es-MX" w:eastAsia="es-MX"/>
              </w:rPr>
              <w:t>Participaciones</w:t>
            </w:r>
          </w:p>
        </w:tc>
        <w:tc>
          <w:tcPr>
            <w:tcW w:w="1559" w:type="dxa"/>
            <w:tcBorders>
              <w:top w:val="nil"/>
              <w:left w:val="nil"/>
              <w:bottom w:val="single" w:sz="4" w:space="0" w:color="auto"/>
              <w:right w:val="single" w:sz="4" w:space="0" w:color="auto"/>
            </w:tcBorders>
            <w:shd w:val="clear" w:color="auto" w:fill="auto"/>
            <w:noWrap/>
            <w:vAlign w:val="bottom"/>
            <w:hideMark/>
          </w:tcPr>
          <w:p w:rsidR="008E6390" w:rsidRPr="00955A4C" w:rsidRDefault="008E6390" w:rsidP="008E6390">
            <w:pPr>
              <w:spacing w:line="360" w:lineRule="auto"/>
              <w:jc w:val="right"/>
              <w:rPr>
                <w:color w:val="000000"/>
                <w:sz w:val="20"/>
                <w:szCs w:val="20"/>
                <w:lang w:val="es-MX" w:eastAsia="es-MX"/>
              </w:rPr>
            </w:pPr>
            <w:r w:rsidRPr="008B1F22">
              <w:rPr>
                <w:color w:val="000000"/>
                <w:sz w:val="20"/>
                <w:szCs w:val="20"/>
                <w:lang w:val="es-MX" w:eastAsia="es-MX"/>
              </w:rPr>
              <w:t>9,233,439,574.00</w:t>
            </w:r>
          </w:p>
        </w:tc>
      </w:tr>
      <w:tr w:rsidR="008E6390" w:rsidRPr="00955A4C" w:rsidTr="00B45116">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8E6390" w:rsidRPr="00955A4C" w:rsidRDefault="008E6390" w:rsidP="008E6390">
            <w:pPr>
              <w:spacing w:line="360" w:lineRule="auto"/>
              <w:jc w:val="center"/>
              <w:rPr>
                <w:b/>
                <w:bCs/>
                <w:color w:val="000000"/>
                <w:sz w:val="20"/>
                <w:szCs w:val="20"/>
                <w:lang w:val="es-MX" w:eastAsia="es-MX"/>
              </w:rPr>
            </w:pPr>
            <w:r w:rsidRPr="00955A4C">
              <w:rPr>
                <w:b/>
                <w:bCs/>
                <w:color w:val="000000"/>
                <w:sz w:val="20"/>
                <w:szCs w:val="20"/>
                <w:lang w:val="es-MX" w:eastAsia="es-MX"/>
              </w:rPr>
              <w:t>SUBTOTAL</w:t>
            </w:r>
          </w:p>
        </w:tc>
        <w:tc>
          <w:tcPr>
            <w:tcW w:w="1559" w:type="dxa"/>
            <w:tcBorders>
              <w:top w:val="nil"/>
              <w:left w:val="nil"/>
              <w:bottom w:val="single" w:sz="4" w:space="0" w:color="auto"/>
              <w:right w:val="single" w:sz="4" w:space="0" w:color="auto"/>
            </w:tcBorders>
            <w:shd w:val="clear" w:color="auto" w:fill="auto"/>
            <w:noWrap/>
            <w:vAlign w:val="bottom"/>
            <w:hideMark/>
          </w:tcPr>
          <w:p w:rsidR="008E6390" w:rsidRPr="00955A4C" w:rsidRDefault="008E6390" w:rsidP="008E6390">
            <w:pPr>
              <w:spacing w:line="360" w:lineRule="auto"/>
              <w:jc w:val="right"/>
              <w:rPr>
                <w:color w:val="000000"/>
                <w:sz w:val="20"/>
                <w:szCs w:val="20"/>
                <w:lang w:val="es-MX" w:eastAsia="es-MX"/>
              </w:rPr>
            </w:pPr>
            <w:r>
              <w:rPr>
                <w:color w:val="000000"/>
                <w:sz w:val="20"/>
                <w:szCs w:val="20"/>
                <w:lang w:val="es-MX" w:eastAsia="es-MX"/>
              </w:rPr>
              <w:t>10,458,858,447.00</w:t>
            </w:r>
          </w:p>
        </w:tc>
      </w:tr>
      <w:tr w:rsidR="008E6390" w:rsidRPr="00955A4C" w:rsidTr="00B45116">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8E6390" w:rsidRPr="00955A4C" w:rsidRDefault="00B45116" w:rsidP="008E6390">
            <w:pPr>
              <w:spacing w:line="360" w:lineRule="auto"/>
              <w:rPr>
                <w:color w:val="000000"/>
                <w:sz w:val="20"/>
                <w:szCs w:val="20"/>
                <w:lang w:val="es-MX" w:eastAsia="es-MX"/>
              </w:rPr>
            </w:pPr>
            <w:r w:rsidRPr="00955A4C">
              <w:rPr>
                <w:color w:val="000000"/>
                <w:sz w:val="20"/>
                <w:szCs w:val="20"/>
                <w:lang w:val="es-MX" w:eastAsia="es-MX"/>
              </w:rPr>
              <w:t>Aportaciones Federales</w:t>
            </w:r>
          </w:p>
        </w:tc>
        <w:tc>
          <w:tcPr>
            <w:tcW w:w="1559" w:type="dxa"/>
            <w:tcBorders>
              <w:top w:val="nil"/>
              <w:left w:val="nil"/>
              <w:bottom w:val="single" w:sz="4" w:space="0" w:color="auto"/>
              <w:right w:val="single" w:sz="4" w:space="0" w:color="auto"/>
            </w:tcBorders>
            <w:shd w:val="clear" w:color="auto" w:fill="auto"/>
            <w:noWrap/>
            <w:vAlign w:val="bottom"/>
            <w:hideMark/>
          </w:tcPr>
          <w:p w:rsidR="008E6390" w:rsidRPr="00955A4C" w:rsidRDefault="008E6390" w:rsidP="008E6390">
            <w:pPr>
              <w:spacing w:line="360" w:lineRule="auto"/>
              <w:jc w:val="right"/>
              <w:rPr>
                <w:color w:val="000000"/>
                <w:sz w:val="20"/>
                <w:szCs w:val="20"/>
                <w:lang w:val="es-MX" w:eastAsia="es-MX"/>
              </w:rPr>
            </w:pPr>
            <w:r>
              <w:rPr>
                <w:color w:val="000000"/>
                <w:sz w:val="20"/>
                <w:szCs w:val="20"/>
                <w:lang w:val="es-MX" w:eastAsia="es-MX"/>
              </w:rPr>
              <w:t>10,320,183,395.00</w:t>
            </w:r>
          </w:p>
        </w:tc>
      </w:tr>
      <w:tr w:rsidR="008E6390" w:rsidRPr="00955A4C" w:rsidTr="00B45116">
        <w:trPr>
          <w:trHeight w:val="300"/>
          <w:jc w:val="center"/>
        </w:trPr>
        <w:tc>
          <w:tcPr>
            <w:tcW w:w="240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8E6390" w:rsidRPr="00955A4C" w:rsidRDefault="008E6390" w:rsidP="008E6390">
            <w:pPr>
              <w:spacing w:line="360" w:lineRule="auto"/>
              <w:jc w:val="center"/>
              <w:rPr>
                <w:b/>
                <w:bCs/>
                <w:color w:val="000000"/>
                <w:sz w:val="20"/>
                <w:szCs w:val="20"/>
                <w:lang w:val="es-MX" w:eastAsia="es-MX"/>
              </w:rPr>
            </w:pPr>
            <w:r w:rsidRPr="00955A4C">
              <w:rPr>
                <w:b/>
                <w:bCs/>
                <w:color w:val="000000"/>
                <w:sz w:val="20"/>
                <w:szCs w:val="20"/>
                <w:lang w:val="es-MX" w:eastAsia="es-MX"/>
              </w:rPr>
              <w:t>TOTAL</w:t>
            </w: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rsidR="008E6390" w:rsidRPr="00955A4C" w:rsidRDefault="008E6390" w:rsidP="008E6390">
            <w:pPr>
              <w:spacing w:line="360" w:lineRule="auto"/>
              <w:jc w:val="right"/>
              <w:rPr>
                <w:b/>
                <w:color w:val="000000"/>
                <w:sz w:val="20"/>
                <w:szCs w:val="20"/>
                <w:lang w:val="es-MX" w:eastAsia="es-MX"/>
              </w:rPr>
            </w:pPr>
            <w:r>
              <w:rPr>
                <w:b/>
                <w:color w:val="000000"/>
                <w:sz w:val="20"/>
                <w:szCs w:val="20"/>
                <w:lang w:val="es-MX" w:eastAsia="es-MX"/>
              </w:rPr>
              <w:t>20,779,041,842.00</w:t>
            </w:r>
          </w:p>
        </w:tc>
      </w:tr>
    </w:tbl>
    <w:p w:rsidR="008E6390" w:rsidRPr="00955A4C" w:rsidRDefault="008E6390" w:rsidP="008E6390">
      <w:pPr>
        <w:spacing w:line="360" w:lineRule="auto"/>
        <w:jc w:val="center"/>
        <w:rPr>
          <w:b/>
          <w:sz w:val="20"/>
          <w:szCs w:val="20"/>
        </w:rPr>
      </w:pPr>
    </w:p>
    <w:p w:rsidR="008E6390" w:rsidRPr="00955A4C" w:rsidRDefault="008E6390" w:rsidP="008E6390">
      <w:pPr>
        <w:spacing w:line="360" w:lineRule="auto"/>
        <w:jc w:val="center"/>
        <w:rPr>
          <w:b/>
          <w:sz w:val="20"/>
          <w:szCs w:val="20"/>
        </w:rPr>
      </w:pPr>
      <w:r w:rsidRPr="00955A4C">
        <w:rPr>
          <w:b/>
          <w:sz w:val="20"/>
          <w:szCs w:val="20"/>
        </w:rPr>
        <w:t>PRESUPUESTO DEL PODER EJECUTIVO POR POLÍTICAS ESTRATÉGICAS DEL GOBIERNO</w:t>
      </w:r>
    </w:p>
    <w:p w:rsidR="008E6390" w:rsidRPr="00955A4C" w:rsidRDefault="008E6390" w:rsidP="008E6390">
      <w:pPr>
        <w:spacing w:line="360" w:lineRule="auto"/>
        <w:jc w:val="center"/>
        <w:rPr>
          <w:b/>
          <w:sz w:val="20"/>
          <w:szCs w:val="20"/>
        </w:rPr>
      </w:pPr>
    </w:p>
    <w:p w:rsidR="008E6390" w:rsidRPr="00955A4C" w:rsidRDefault="008E6390" w:rsidP="008E6390">
      <w:pPr>
        <w:spacing w:line="360" w:lineRule="auto"/>
        <w:jc w:val="both"/>
        <w:rPr>
          <w:sz w:val="20"/>
          <w:szCs w:val="20"/>
        </w:rPr>
      </w:pPr>
      <w:r w:rsidRPr="00955A4C">
        <w:rPr>
          <w:sz w:val="20"/>
          <w:szCs w:val="20"/>
        </w:rPr>
        <w:t>El proyecto de Presupuesto de Egresos 2020, por Políticas Estratégicas del Gobierno, es el siguiente:</w:t>
      </w:r>
    </w:p>
    <w:p w:rsidR="008E6390" w:rsidRPr="00955A4C" w:rsidRDefault="008E6390" w:rsidP="008E6390">
      <w:pPr>
        <w:spacing w:line="360" w:lineRule="auto"/>
        <w:jc w:val="both"/>
        <w:rPr>
          <w:sz w:val="20"/>
          <w:szCs w:val="20"/>
        </w:rPr>
      </w:pPr>
    </w:p>
    <w:tbl>
      <w:tblPr>
        <w:tblW w:w="5605" w:type="dxa"/>
        <w:jc w:val="center"/>
        <w:tblCellMar>
          <w:left w:w="70" w:type="dxa"/>
          <w:right w:w="70" w:type="dxa"/>
        </w:tblCellMar>
        <w:tblLook w:val="04A0" w:firstRow="1" w:lastRow="0" w:firstColumn="1" w:lastColumn="0" w:noHBand="0" w:noVBand="1"/>
      </w:tblPr>
      <w:tblGrid>
        <w:gridCol w:w="2920"/>
        <w:gridCol w:w="1640"/>
        <w:gridCol w:w="1045"/>
      </w:tblGrid>
      <w:tr w:rsidR="008E6390" w:rsidRPr="00955A4C" w:rsidTr="008E6390">
        <w:trPr>
          <w:trHeight w:val="645"/>
          <w:jc w:val="center"/>
        </w:trPr>
        <w:tc>
          <w:tcPr>
            <w:tcW w:w="3196" w:type="dxa"/>
            <w:tcBorders>
              <w:top w:val="single" w:sz="8" w:space="0" w:color="A6A6A6"/>
              <w:left w:val="single" w:sz="8" w:space="0" w:color="A6A6A6"/>
              <w:bottom w:val="single" w:sz="8" w:space="0" w:color="A6A6A6"/>
              <w:right w:val="single" w:sz="8" w:space="0" w:color="A6A6A6"/>
            </w:tcBorders>
            <w:shd w:val="clear" w:color="000000" w:fill="CCCCCC"/>
            <w:vAlign w:val="center"/>
            <w:hideMark/>
          </w:tcPr>
          <w:p w:rsidR="008E6390" w:rsidRPr="00955A4C" w:rsidRDefault="008E6390" w:rsidP="008E6390">
            <w:pPr>
              <w:jc w:val="center"/>
              <w:rPr>
                <w:b/>
                <w:sz w:val="20"/>
                <w:szCs w:val="20"/>
              </w:rPr>
            </w:pPr>
            <w:r w:rsidRPr="00955A4C">
              <w:rPr>
                <w:b/>
                <w:sz w:val="20"/>
                <w:szCs w:val="20"/>
              </w:rPr>
              <w:t>Ejes</w:t>
            </w:r>
          </w:p>
        </w:tc>
        <w:tc>
          <w:tcPr>
            <w:tcW w:w="1275" w:type="dxa"/>
            <w:tcBorders>
              <w:top w:val="single" w:sz="8" w:space="0" w:color="A6A6A6"/>
              <w:left w:val="nil"/>
              <w:bottom w:val="single" w:sz="8" w:space="0" w:color="A6A6A6"/>
              <w:right w:val="single" w:sz="8" w:space="0" w:color="A6A6A6"/>
            </w:tcBorders>
            <w:shd w:val="clear" w:color="000000" w:fill="CCCCCC"/>
            <w:vAlign w:val="center"/>
            <w:hideMark/>
          </w:tcPr>
          <w:p w:rsidR="008E6390" w:rsidRPr="00955A4C" w:rsidRDefault="008E6390" w:rsidP="00B45116">
            <w:pPr>
              <w:jc w:val="center"/>
              <w:rPr>
                <w:b/>
                <w:sz w:val="20"/>
                <w:szCs w:val="20"/>
              </w:rPr>
            </w:pPr>
            <w:r w:rsidRPr="00955A4C">
              <w:rPr>
                <w:b/>
                <w:sz w:val="20"/>
                <w:szCs w:val="20"/>
              </w:rPr>
              <w:t>Monto</w:t>
            </w:r>
          </w:p>
        </w:tc>
        <w:tc>
          <w:tcPr>
            <w:tcW w:w="1134" w:type="dxa"/>
            <w:tcBorders>
              <w:top w:val="single" w:sz="8" w:space="0" w:color="A6A6A6"/>
              <w:left w:val="nil"/>
              <w:bottom w:val="single" w:sz="8" w:space="0" w:color="A6A6A6"/>
              <w:right w:val="single" w:sz="8" w:space="0" w:color="A6A6A6"/>
            </w:tcBorders>
            <w:shd w:val="clear" w:color="000000" w:fill="CCCCCC"/>
            <w:vAlign w:val="center"/>
            <w:hideMark/>
          </w:tcPr>
          <w:p w:rsidR="008E6390" w:rsidRPr="00955A4C" w:rsidRDefault="008E6390" w:rsidP="008E6390">
            <w:pPr>
              <w:jc w:val="center"/>
              <w:rPr>
                <w:b/>
                <w:sz w:val="20"/>
                <w:szCs w:val="20"/>
              </w:rPr>
            </w:pPr>
            <w:r w:rsidRPr="00955A4C">
              <w:rPr>
                <w:b/>
                <w:sz w:val="20"/>
                <w:szCs w:val="20"/>
              </w:rPr>
              <w:t>%</w:t>
            </w:r>
          </w:p>
        </w:tc>
      </w:tr>
      <w:tr w:rsidR="008E6390" w:rsidRPr="00955A4C" w:rsidTr="008E6390">
        <w:trPr>
          <w:trHeight w:val="615"/>
          <w:jc w:val="center"/>
        </w:trPr>
        <w:tc>
          <w:tcPr>
            <w:tcW w:w="3196"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rPr>
                <w:sz w:val="20"/>
                <w:szCs w:val="20"/>
              </w:rPr>
            </w:pPr>
            <w:r w:rsidRPr="00955A4C">
              <w:rPr>
                <w:sz w:val="20"/>
                <w:szCs w:val="20"/>
              </w:rPr>
              <w:t>Empleo, Desarrollo Económico y Prosperidad para las Familias</w:t>
            </w:r>
          </w:p>
        </w:tc>
        <w:tc>
          <w:tcPr>
            <w:tcW w:w="1275"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rPr>
            </w:pPr>
            <w:r w:rsidRPr="00A92B6E">
              <w:rPr>
                <w:sz w:val="20"/>
                <w:szCs w:val="20"/>
              </w:rPr>
              <w:t>400,836,073.91</w:t>
            </w:r>
          </w:p>
        </w:tc>
        <w:tc>
          <w:tcPr>
            <w:tcW w:w="1134" w:type="dxa"/>
            <w:tcBorders>
              <w:top w:val="nil"/>
              <w:left w:val="nil"/>
              <w:bottom w:val="single" w:sz="8" w:space="0" w:color="A6A6A6"/>
              <w:right w:val="single" w:sz="8" w:space="0" w:color="A6A6A6"/>
            </w:tcBorders>
            <w:shd w:val="clear" w:color="auto" w:fill="auto"/>
            <w:vAlign w:val="center"/>
          </w:tcPr>
          <w:p w:rsidR="008E6390" w:rsidRPr="00955A4C" w:rsidRDefault="001C7D44" w:rsidP="008E6390">
            <w:pPr>
              <w:jc w:val="center"/>
              <w:rPr>
                <w:sz w:val="20"/>
                <w:szCs w:val="20"/>
              </w:rPr>
            </w:pPr>
            <w:r>
              <w:rPr>
                <w:sz w:val="20"/>
                <w:szCs w:val="20"/>
              </w:rPr>
              <w:t>2.5</w:t>
            </w:r>
          </w:p>
        </w:tc>
      </w:tr>
      <w:tr w:rsidR="008E6390" w:rsidRPr="00955A4C" w:rsidTr="008E6390">
        <w:trPr>
          <w:trHeight w:val="615"/>
          <w:jc w:val="center"/>
        </w:trPr>
        <w:tc>
          <w:tcPr>
            <w:tcW w:w="3196"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rPr>
                <w:sz w:val="20"/>
                <w:szCs w:val="20"/>
              </w:rPr>
            </w:pPr>
            <w:r w:rsidRPr="00955A4C">
              <w:rPr>
                <w:sz w:val="20"/>
                <w:szCs w:val="20"/>
              </w:rPr>
              <w:t>Educación pertinente, Salud de Calidad y Sociedad Incluyente</w:t>
            </w:r>
          </w:p>
        </w:tc>
        <w:tc>
          <w:tcPr>
            <w:tcW w:w="1275"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rPr>
            </w:pPr>
            <w:r w:rsidRPr="00A92B6E">
              <w:rPr>
                <w:sz w:val="20"/>
                <w:szCs w:val="20"/>
              </w:rPr>
              <w:t>10,756,172,281.52</w:t>
            </w:r>
          </w:p>
        </w:tc>
        <w:tc>
          <w:tcPr>
            <w:tcW w:w="1134" w:type="dxa"/>
            <w:tcBorders>
              <w:top w:val="nil"/>
              <w:left w:val="nil"/>
              <w:bottom w:val="single" w:sz="8" w:space="0" w:color="A6A6A6"/>
              <w:right w:val="single" w:sz="8" w:space="0" w:color="A6A6A6"/>
            </w:tcBorders>
            <w:shd w:val="clear" w:color="auto" w:fill="auto"/>
            <w:vAlign w:val="center"/>
          </w:tcPr>
          <w:p w:rsidR="008E6390" w:rsidRPr="00955A4C" w:rsidRDefault="008E6390" w:rsidP="001C7D44">
            <w:pPr>
              <w:jc w:val="center"/>
              <w:rPr>
                <w:sz w:val="20"/>
                <w:szCs w:val="20"/>
              </w:rPr>
            </w:pPr>
            <w:r w:rsidRPr="00955A4C">
              <w:rPr>
                <w:sz w:val="20"/>
                <w:szCs w:val="20"/>
              </w:rPr>
              <w:t>67.</w:t>
            </w:r>
            <w:r w:rsidR="001C7D44">
              <w:rPr>
                <w:sz w:val="20"/>
                <w:szCs w:val="20"/>
              </w:rPr>
              <w:t>2</w:t>
            </w:r>
          </w:p>
        </w:tc>
      </w:tr>
      <w:tr w:rsidR="008E6390" w:rsidRPr="00955A4C" w:rsidTr="008E6390">
        <w:trPr>
          <w:trHeight w:val="615"/>
          <w:jc w:val="center"/>
        </w:trPr>
        <w:tc>
          <w:tcPr>
            <w:tcW w:w="3196"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rPr>
                <w:sz w:val="20"/>
                <w:szCs w:val="20"/>
              </w:rPr>
            </w:pPr>
            <w:r w:rsidRPr="00955A4C">
              <w:rPr>
                <w:sz w:val="20"/>
                <w:szCs w:val="20"/>
              </w:rPr>
              <w:t>Integración Regional Ordenada y Sustentable</w:t>
            </w:r>
          </w:p>
        </w:tc>
        <w:tc>
          <w:tcPr>
            <w:tcW w:w="1275" w:type="dxa"/>
            <w:tcBorders>
              <w:top w:val="nil"/>
              <w:left w:val="nil"/>
              <w:bottom w:val="single" w:sz="8" w:space="0" w:color="A6A6A6"/>
              <w:right w:val="single" w:sz="8" w:space="0" w:color="A6A6A6"/>
            </w:tcBorders>
            <w:shd w:val="clear" w:color="auto" w:fill="auto"/>
            <w:vAlign w:val="center"/>
          </w:tcPr>
          <w:p w:rsidR="008E6390" w:rsidRPr="00A92B6E" w:rsidRDefault="008E6390" w:rsidP="008E6390">
            <w:pPr>
              <w:jc w:val="right"/>
              <w:rPr>
                <w:sz w:val="20"/>
                <w:szCs w:val="20"/>
              </w:rPr>
            </w:pPr>
            <w:r w:rsidRPr="00A92B6E">
              <w:rPr>
                <w:sz w:val="20"/>
                <w:szCs w:val="20"/>
              </w:rPr>
              <w:t>1,040,148,844.43</w:t>
            </w:r>
          </w:p>
        </w:tc>
        <w:tc>
          <w:tcPr>
            <w:tcW w:w="1134"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center"/>
              <w:rPr>
                <w:sz w:val="20"/>
                <w:szCs w:val="20"/>
              </w:rPr>
            </w:pPr>
            <w:r w:rsidRPr="00955A4C">
              <w:rPr>
                <w:sz w:val="20"/>
                <w:szCs w:val="20"/>
              </w:rPr>
              <w:t>6.5</w:t>
            </w:r>
          </w:p>
        </w:tc>
      </w:tr>
      <w:tr w:rsidR="008E6390" w:rsidRPr="00955A4C" w:rsidTr="008E6390">
        <w:trPr>
          <w:trHeight w:val="615"/>
          <w:jc w:val="center"/>
        </w:trPr>
        <w:tc>
          <w:tcPr>
            <w:tcW w:w="3196"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rPr>
                <w:sz w:val="20"/>
                <w:szCs w:val="20"/>
              </w:rPr>
            </w:pPr>
            <w:r w:rsidRPr="00955A4C">
              <w:rPr>
                <w:sz w:val="20"/>
                <w:szCs w:val="20"/>
              </w:rPr>
              <w:t>Gobernanza, Seguridad y Protección para Vivir en Paz</w:t>
            </w:r>
          </w:p>
        </w:tc>
        <w:tc>
          <w:tcPr>
            <w:tcW w:w="1275"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rPr>
            </w:pPr>
            <w:r w:rsidRPr="00A92B6E">
              <w:rPr>
                <w:sz w:val="20"/>
                <w:szCs w:val="20"/>
              </w:rPr>
              <w:t>1,299,689,520.49</w:t>
            </w:r>
          </w:p>
        </w:tc>
        <w:tc>
          <w:tcPr>
            <w:tcW w:w="1134"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center"/>
              <w:rPr>
                <w:sz w:val="20"/>
                <w:szCs w:val="20"/>
              </w:rPr>
            </w:pPr>
            <w:r w:rsidRPr="00955A4C">
              <w:rPr>
                <w:sz w:val="20"/>
                <w:szCs w:val="20"/>
              </w:rPr>
              <w:t>8.1</w:t>
            </w:r>
          </w:p>
        </w:tc>
      </w:tr>
      <w:tr w:rsidR="008E6390" w:rsidRPr="00955A4C" w:rsidTr="008E6390">
        <w:trPr>
          <w:trHeight w:val="615"/>
          <w:jc w:val="center"/>
        </w:trPr>
        <w:tc>
          <w:tcPr>
            <w:tcW w:w="3196"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rPr>
                <w:sz w:val="20"/>
                <w:szCs w:val="20"/>
              </w:rPr>
            </w:pPr>
            <w:r w:rsidRPr="00955A4C">
              <w:rPr>
                <w:sz w:val="20"/>
                <w:szCs w:val="20"/>
              </w:rPr>
              <w:t>Gobierno Honesto, Eficiente y Transparente</w:t>
            </w:r>
          </w:p>
        </w:tc>
        <w:tc>
          <w:tcPr>
            <w:tcW w:w="1275" w:type="dxa"/>
            <w:tcBorders>
              <w:top w:val="nil"/>
              <w:left w:val="nil"/>
              <w:bottom w:val="single" w:sz="8" w:space="0" w:color="A6A6A6"/>
              <w:right w:val="single" w:sz="8" w:space="0" w:color="A6A6A6"/>
            </w:tcBorders>
            <w:shd w:val="clear" w:color="auto" w:fill="auto"/>
            <w:vAlign w:val="center"/>
          </w:tcPr>
          <w:p w:rsidR="001C7D44" w:rsidRPr="00955A4C" w:rsidRDefault="001C7D44" w:rsidP="001C7D44">
            <w:pPr>
              <w:jc w:val="right"/>
              <w:rPr>
                <w:sz w:val="20"/>
                <w:szCs w:val="20"/>
              </w:rPr>
            </w:pPr>
            <w:r w:rsidRPr="001C7D44">
              <w:rPr>
                <w:sz w:val="20"/>
                <w:szCs w:val="20"/>
              </w:rPr>
              <w:t>2,508,630,852.9</w:t>
            </w:r>
            <w:r>
              <w:rPr>
                <w:sz w:val="20"/>
                <w:szCs w:val="20"/>
              </w:rPr>
              <w:t>1</w:t>
            </w:r>
          </w:p>
        </w:tc>
        <w:tc>
          <w:tcPr>
            <w:tcW w:w="1134" w:type="dxa"/>
            <w:tcBorders>
              <w:top w:val="nil"/>
              <w:left w:val="nil"/>
              <w:bottom w:val="single" w:sz="8" w:space="0" w:color="A6A6A6"/>
              <w:right w:val="single" w:sz="8" w:space="0" w:color="A6A6A6"/>
            </w:tcBorders>
            <w:shd w:val="clear" w:color="auto" w:fill="auto"/>
            <w:vAlign w:val="center"/>
          </w:tcPr>
          <w:p w:rsidR="008E6390" w:rsidRPr="00955A4C" w:rsidRDefault="008E6390" w:rsidP="001C7D44">
            <w:pPr>
              <w:jc w:val="center"/>
              <w:rPr>
                <w:sz w:val="20"/>
                <w:szCs w:val="20"/>
              </w:rPr>
            </w:pPr>
            <w:r w:rsidRPr="00955A4C">
              <w:rPr>
                <w:sz w:val="20"/>
                <w:szCs w:val="20"/>
              </w:rPr>
              <w:t>15.</w:t>
            </w:r>
            <w:r w:rsidR="001C7D44">
              <w:rPr>
                <w:sz w:val="20"/>
                <w:szCs w:val="20"/>
              </w:rPr>
              <w:t>7</w:t>
            </w:r>
          </w:p>
        </w:tc>
      </w:tr>
      <w:tr w:rsidR="008E6390" w:rsidRPr="00955A4C" w:rsidTr="008E6390">
        <w:trPr>
          <w:trHeight w:val="330"/>
          <w:jc w:val="center"/>
        </w:trPr>
        <w:tc>
          <w:tcPr>
            <w:tcW w:w="3196" w:type="dxa"/>
            <w:tcBorders>
              <w:top w:val="nil"/>
              <w:left w:val="single" w:sz="8" w:space="0" w:color="A6A6A6"/>
              <w:bottom w:val="single" w:sz="8" w:space="0" w:color="A6A6A6"/>
              <w:right w:val="single" w:sz="8" w:space="0" w:color="A6A6A6"/>
            </w:tcBorders>
            <w:shd w:val="clear" w:color="000000" w:fill="CCCCCC"/>
            <w:hideMark/>
          </w:tcPr>
          <w:p w:rsidR="008E6390" w:rsidRPr="00955A4C" w:rsidRDefault="008E6390" w:rsidP="008E6390">
            <w:pPr>
              <w:jc w:val="center"/>
              <w:rPr>
                <w:b/>
                <w:sz w:val="20"/>
                <w:szCs w:val="20"/>
              </w:rPr>
            </w:pPr>
            <w:r w:rsidRPr="00955A4C">
              <w:rPr>
                <w:b/>
                <w:sz w:val="20"/>
                <w:szCs w:val="20"/>
              </w:rPr>
              <w:t>TOTAL</w:t>
            </w:r>
          </w:p>
        </w:tc>
        <w:tc>
          <w:tcPr>
            <w:tcW w:w="1275" w:type="dxa"/>
            <w:tcBorders>
              <w:top w:val="nil"/>
              <w:left w:val="nil"/>
              <w:bottom w:val="single" w:sz="8" w:space="0" w:color="A6A6A6"/>
              <w:right w:val="single" w:sz="8" w:space="0" w:color="A6A6A6"/>
            </w:tcBorders>
            <w:shd w:val="clear" w:color="000000" w:fill="CCCCCC"/>
            <w:vAlign w:val="center"/>
          </w:tcPr>
          <w:p w:rsidR="001C7D44" w:rsidRPr="00955A4C" w:rsidRDefault="001C7D44" w:rsidP="001C7D44">
            <w:pPr>
              <w:jc w:val="right"/>
              <w:rPr>
                <w:b/>
                <w:sz w:val="20"/>
                <w:szCs w:val="20"/>
              </w:rPr>
            </w:pPr>
            <w:r>
              <w:rPr>
                <w:b/>
                <w:sz w:val="20"/>
                <w:szCs w:val="20"/>
              </w:rPr>
              <w:t>16,005,477,573.26</w:t>
            </w:r>
          </w:p>
        </w:tc>
        <w:tc>
          <w:tcPr>
            <w:tcW w:w="1134" w:type="dxa"/>
            <w:tcBorders>
              <w:top w:val="nil"/>
              <w:left w:val="nil"/>
              <w:bottom w:val="single" w:sz="8" w:space="0" w:color="A6A6A6"/>
              <w:right w:val="single" w:sz="8" w:space="0" w:color="A6A6A6"/>
            </w:tcBorders>
            <w:shd w:val="clear" w:color="000000" w:fill="CCCCCC"/>
            <w:vAlign w:val="center"/>
            <w:hideMark/>
          </w:tcPr>
          <w:p w:rsidR="008E6390" w:rsidRPr="00955A4C" w:rsidRDefault="008E6390" w:rsidP="008E6390">
            <w:pPr>
              <w:jc w:val="center"/>
              <w:rPr>
                <w:b/>
                <w:sz w:val="20"/>
                <w:szCs w:val="20"/>
              </w:rPr>
            </w:pPr>
            <w:r w:rsidRPr="00955A4C">
              <w:rPr>
                <w:b/>
                <w:sz w:val="20"/>
                <w:szCs w:val="20"/>
              </w:rPr>
              <w:t>100</w:t>
            </w:r>
          </w:p>
        </w:tc>
      </w:tr>
    </w:tbl>
    <w:p w:rsidR="008E6390" w:rsidRPr="00955A4C" w:rsidRDefault="008E6390" w:rsidP="008E6390">
      <w:pPr>
        <w:spacing w:line="360" w:lineRule="auto"/>
        <w:jc w:val="both"/>
        <w:rPr>
          <w:b/>
          <w:sz w:val="20"/>
          <w:szCs w:val="20"/>
        </w:rPr>
      </w:pPr>
    </w:p>
    <w:p w:rsidR="008E6390" w:rsidRPr="00955A4C" w:rsidRDefault="008E6390" w:rsidP="008E6390">
      <w:pPr>
        <w:spacing w:after="200" w:line="360" w:lineRule="auto"/>
        <w:jc w:val="center"/>
        <w:rPr>
          <w:rFonts w:eastAsia="Calibri"/>
          <w:b/>
          <w:sz w:val="20"/>
          <w:szCs w:val="20"/>
        </w:rPr>
      </w:pPr>
      <w:r w:rsidRPr="00955A4C">
        <w:rPr>
          <w:rFonts w:eastAsia="Calibri"/>
          <w:b/>
          <w:sz w:val="20"/>
          <w:szCs w:val="20"/>
        </w:rPr>
        <w:t>PRESUPUESTO POR RAMO</w:t>
      </w:r>
    </w:p>
    <w:p w:rsidR="008E6390" w:rsidRPr="00955A4C" w:rsidRDefault="008E6390" w:rsidP="00B45116">
      <w:pPr>
        <w:spacing w:after="200" w:line="360" w:lineRule="auto"/>
        <w:jc w:val="both"/>
        <w:rPr>
          <w:rFonts w:eastAsia="Calibri"/>
          <w:sz w:val="20"/>
          <w:szCs w:val="20"/>
        </w:rPr>
      </w:pPr>
      <w:r w:rsidRPr="00955A4C">
        <w:rPr>
          <w:rFonts w:eastAsia="Calibri"/>
          <w:sz w:val="20"/>
          <w:szCs w:val="20"/>
        </w:rPr>
        <w:t>El proyecto de Presupuesto de Egresos 2020, distribuido por Ramo, se integra como sigue:</w:t>
      </w:r>
    </w:p>
    <w:tbl>
      <w:tblPr>
        <w:tblW w:w="5083" w:type="pct"/>
        <w:tblCellMar>
          <w:left w:w="70" w:type="dxa"/>
          <w:right w:w="70" w:type="dxa"/>
        </w:tblCellMar>
        <w:tblLook w:val="04A0" w:firstRow="1" w:lastRow="0" w:firstColumn="1" w:lastColumn="0" w:noHBand="0" w:noVBand="1"/>
      </w:tblPr>
      <w:tblGrid>
        <w:gridCol w:w="1939"/>
        <w:gridCol w:w="412"/>
        <w:gridCol w:w="1640"/>
        <w:gridCol w:w="355"/>
        <w:gridCol w:w="1752"/>
        <w:gridCol w:w="476"/>
        <w:gridCol w:w="1640"/>
      </w:tblGrid>
      <w:tr w:rsidR="008E6390" w:rsidRPr="00955A4C" w:rsidTr="0019116A">
        <w:trPr>
          <w:trHeight w:val="475"/>
        </w:trPr>
        <w:tc>
          <w:tcPr>
            <w:tcW w:w="1180" w:type="pct"/>
            <w:tcBorders>
              <w:top w:val="single" w:sz="8" w:space="0" w:color="A6A6A6"/>
              <w:left w:val="single" w:sz="8" w:space="0" w:color="A6A6A6"/>
              <w:bottom w:val="nil"/>
              <w:right w:val="single" w:sz="8" w:space="0" w:color="A6A6A6"/>
            </w:tcBorders>
            <w:shd w:val="clear" w:color="000000" w:fill="CCCCCC"/>
            <w:vAlign w:val="center"/>
            <w:hideMark/>
          </w:tcPr>
          <w:p w:rsidR="008E6390" w:rsidRPr="00955A4C" w:rsidRDefault="00B45116" w:rsidP="008E6390">
            <w:pPr>
              <w:jc w:val="center"/>
              <w:rPr>
                <w:b/>
                <w:bCs/>
                <w:sz w:val="20"/>
                <w:szCs w:val="20"/>
                <w:lang w:eastAsia="es-MX"/>
              </w:rPr>
            </w:pPr>
            <w:r w:rsidRPr="00955A4C">
              <w:rPr>
                <w:b/>
                <w:bCs/>
                <w:sz w:val="20"/>
                <w:szCs w:val="20"/>
                <w:lang w:eastAsia="es-MX"/>
              </w:rPr>
              <w:t>RAMO</w:t>
            </w:r>
          </w:p>
        </w:tc>
        <w:tc>
          <w:tcPr>
            <w:tcW w:w="251" w:type="pct"/>
            <w:tcBorders>
              <w:top w:val="nil"/>
              <w:left w:val="nil"/>
              <w:bottom w:val="nil"/>
              <w:right w:val="nil"/>
            </w:tcBorders>
            <w:shd w:val="clear" w:color="auto" w:fill="auto"/>
            <w:noWrap/>
            <w:vAlign w:val="bottom"/>
            <w:hideMark/>
          </w:tcPr>
          <w:p w:rsidR="008E6390" w:rsidRPr="00955A4C" w:rsidRDefault="008E6390" w:rsidP="008E6390">
            <w:pPr>
              <w:rPr>
                <w:sz w:val="20"/>
                <w:szCs w:val="20"/>
                <w:lang w:eastAsia="es-MX"/>
              </w:rPr>
            </w:pPr>
          </w:p>
        </w:tc>
        <w:tc>
          <w:tcPr>
            <w:tcW w:w="998" w:type="pct"/>
            <w:tcBorders>
              <w:top w:val="single" w:sz="8" w:space="0" w:color="A6A6A6"/>
              <w:left w:val="single" w:sz="8" w:space="0" w:color="A6A6A6"/>
              <w:bottom w:val="nil"/>
              <w:right w:val="single" w:sz="8" w:space="0" w:color="A6A6A6"/>
            </w:tcBorders>
            <w:shd w:val="clear" w:color="000000" w:fill="CCCCCC"/>
            <w:vAlign w:val="center"/>
            <w:hideMark/>
          </w:tcPr>
          <w:p w:rsidR="008E6390" w:rsidRPr="00955A4C" w:rsidRDefault="00B45116" w:rsidP="008E6390">
            <w:pPr>
              <w:jc w:val="center"/>
              <w:rPr>
                <w:b/>
                <w:bCs/>
                <w:sz w:val="20"/>
                <w:szCs w:val="20"/>
                <w:lang w:eastAsia="es-MX"/>
              </w:rPr>
            </w:pPr>
            <w:r w:rsidRPr="00955A4C">
              <w:rPr>
                <w:b/>
                <w:bCs/>
                <w:sz w:val="20"/>
                <w:szCs w:val="20"/>
                <w:lang w:eastAsia="es-MX"/>
              </w:rPr>
              <w:t>ESTATAL</w:t>
            </w:r>
          </w:p>
        </w:tc>
        <w:tc>
          <w:tcPr>
            <w:tcW w:w="216" w:type="pct"/>
            <w:tcBorders>
              <w:top w:val="nil"/>
              <w:left w:val="nil"/>
              <w:bottom w:val="nil"/>
              <w:right w:val="nil"/>
            </w:tcBorders>
            <w:shd w:val="clear" w:color="auto" w:fill="auto"/>
            <w:noWrap/>
            <w:vAlign w:val="bottom"/>
            <w:hideMark/>
          </w:tcPr>
          <w:p w:rsidR="008E6390" w:rsidRPr="00955A4C" w:rsidRDefault="008E6390" w:rsidP="008E6390">
            <w:pPr>
              <w:rPr>
                <w:sz w:val="20"/>
                <w:szCs w:val="20"/>
                <w:lang w:eastAsia="es-MX"/>
              </w:rPr>
            </w:pPr>
          </w:p>
        </w:tc>
        <w:tc>
          <w:tcPr>
            <w:tcW w:w="1066" w:type="pct"/>
            <w:tcBorders>
              <w:top w:val="single" w:sz="8" w:space="0" w:color="A6A6A6"/>
              <w:left w:val="single" w:sz="8" w:space="0" w:color="A6A6A6"/>
              <w:bottom w:val="nil"/>
              <w:right w:val="single" w:sz="8" w:space="0" w:color="A6A6A6"/>
            </w:tcBorders>
            <w:shd w:val="clear" w:color="000000" w:fill="CCCCCC"/>
            <w:vAlign w:val="center"/>
            <w:hideMark/>
          </w:tcPr>
          <w:p w:rsidR="008E6390" w:rsidRPr="00955A4C" w:rsidRDefault="00B45116" w:rsidP="008E6390">
            <w:pPr>
              <w:jc w:val="center"/>
              <w:rPr>
                <w:b/>
                <w:bCs/>
                <w:sz w:val="20"/>
                <w:szCs w:val="20"/>
                <w:lang w:eastAsia="es-MX"/>
              </w:rPr>
            </w:pPr>
            <w:r w:rsidRPr="00955A4C">
              <w:rPr>
                <w:b/>
                <w:bCs/>
                <w:sz w:val="20"/>
                <w:szCs w:val="20"/>
                <w:lang w:eastAsia="es-MX"/>
              </w:rPr>
              <w:t>APORTACIONES FEDERALES</w:t>
            </w:r>
          </w:p>
        </w:tc>
        <w:tc>
          <w:tcPr>
            <w:tcW w:w="290" w:type="pct"/>
            <w:tcBorders>
              <w:top w:val="nil"/>
              <w:left w:val="nil"/>
              <w:bottom w:val="nil"/>
              <w:right w:val="nil"/>
            </w:tcBorders>
            <w:shd w:val="clear" w:color="auto" w:fill="auto"/>
            <w:noWrap/>
            <w:vAlign w:val="bottom"/>
            <w:hideMark/>
          </w:tcPr>
          <w:p w:rsidR="008E6390" w:rsidRPr="00955A4C" w:rsidRDefault="008E6390" w:rsidP="008E6390">
            <w:pPr>
              <w:rPr>
                <w:sz w:val="20"/>
                <w:szCs w:val="20"/>
                <w:lang w:eastAsia="es-MX"/>
              </w:rPr>
            </w:pPr>
          </w:p>
        </w:tc>
        <w:tc>
          <w:tcPr>
            <w:tcW w:w="998" w:type="pct"/>
            <w:tcBorders>
              <w:top w:val="single" w:sz="8" w:space="0" w:color="A6A6A6"/>
              <w:left w:val="single" w:sz="8" w:space="0" w:color="A6A6A6"/>
              <w:bottom w:val="nil"/>
              <w:right w:val="single" w:sz="8" w:space="0" w:color="A6A6A6"/>
            </w:tcBorders>
            <w:shd w:val="clear" w:color="000000" w:fill="CCCCCC"/>
            <w:vAlign w:val="center"/>
            <w:hideMark/>
          </w:tcPr>
          <w:p w:rsidR="008E6390" w:rsidRPr="00955A4C" w:rsidRDefault="00B45116" w:rsidP="008E6390">
            <w:pPr>
              <w:jc w:val="center"/>
              <w:rPr>
                <w:b/>
                <w:bCs/>
                <w:sz w:val="20"/>
                <w:szCs w:val="20"/>
                <w:lang w:eastAsia="es-MX"/>
              </w:rPr>
            </w:pPr>
            <w:r w:rsidRPr="00955A4C">
              <w:rPr>
                <w:b/>
                <w:bCs/>
                <w:sz w:val="20"/>
                <w:szCs w:val="20"/>
                <w:lang w:eastAsia="es-MX"/>
              </w:rPr>
              <w:t>TOTAL</w:t>
            </w:r>
          </w:p>
        </w:tc>
      </w:tr>
      <w:tr w:rsidR="008E6390" w:rsidRPr="00955A4C" w:rsidTr="0019116A">
        <w:trPr>
          <w:trHeight w:val="494"/>
        </w:trPr>
        <w:tc>
          <w:tcPr>
            <w:tcW w:w="1180" w:type="pct"/>
            <w:tcBorders>
              <w:top w:val="single" w:sz="8" w:space="0" w:color="A6A6A6"/>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Poder Legislativo</w:t>
            </w:r>
          </w:p>
        </w:tc>
        <w:tc>
          <w:tcPr>
            <w:tcW w:w="251" w:type="pct"/>
            <w:tcBorders>
              <w:top w:val="nil"/>
              <w:left w:val="nil"/>
              <w:bottom w:val="nil"/>
              <w:right w:val="nil"/>
            </w:tcBorders>
            <w:shd w:val="clear" w:color="auto" w:fill="auto"/>
            <w:noWrap/>
            <w:vAlign w:val="bottom"/>
            <w:hideMark/>
          </w:tcPr>
          <w:p w:rsidR="008E6390" w:rsidRPr="00955A4C" w:rsidRDefault="008E6390" w:rsidP="008E6390">
            <w:pPr>
              <w:rPr>
                <w:sz w:val="20"/>
                <w:szCs w:val="20"/>
                <w:lang w:eastAsia="es-MX"/>
              </w:rPr>
            </w:pPr>
          </w:p>
        </w:tc>
        <w:tc>
          <w:tcPr>
            <w:tcW w:w="998" w:type="pct"/>
            <w:tcBorders>
              <w:top w:val="single" w:sz="8" w:space="0" w:color="A6A6A6"/>
              <w:left w:val="single" w:sz="8" w:space="0" w:color="A6A6A6"/>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325,924,985.00</w:t>
            </w:r>
          </w:p>
        </w:tc>
        <w:tc>
          <w:tcPr>
            <w:tcW w:w="216" w:type="pct"/>
            <w:tcBorders>
              <w:top w:val="nil"/>
              <w:left w:val="nil"/>
              <w:bottom w:val="nil"/>
              <w:right w:val="nil"/>
            </w:tcBorders>
            <w:shd w:val="clear" w:color="auto" w:fill="auto"/>
            <w:noWrap/>
            <w:vAlign w:val="bottom"/>
            <w:hideMark/>
          </w:tcPr>
          <w:p w:rsidR="008E6390" w:rsidRPr="00955A4C" w:rsidRDefault="008E6390" w:rsidP="008E6390">
            <w:pPr>
              <w:rPr>
                <w:sz w:val="20"/>
                <w:szCs w:val="20"/>
                <w:lang w:eastAsia="es-MX"/>
              </w:rPr>
            </w:pPr>
          </w:p>
        </w:tc>
        <w:tc>
          <w:tcPr>
            <w:tcW w:w="1066" w:type="pct"/>
            <w:tcBorders>
              <w:top w:val="single" w:sz="8" w:space="0" w:color="A6A6A6"/>
              <w:left w:val="single" w:sz="8" w:space="0" w:color="A6A6A6"/>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sidRPr="00955A4C">
              <w:rPr>
                <w:sz w:val="20"/>
                <w:szCs w:val="20"/>
                <w:lang w:eastAsia="es-MX"/>
              </w:rPr>
              <w:t>0</w:t>
            </w:r>
            <w:r>
              <w:rPr>
                <w:sz w:val="20"/>
                <w:szCs w:val="20"/>
                <w:lang w:eastAsia="es-MX"/>
              </w:rPr>
              <w:t>.00</w:t>
            </w:r>
          </w:p>
        </w:tc>
        <w:tc>
          <w:tcPr>
            <w:tcW w:w="290" w:type="pct"/>
            <w:tcBorders>
              <w:top w:val="nil"/>
              <w:left w:val="nil"/>
              <w:bottom w:val="nil"/>
              <w:right w:val="nil"/>
            </w:tcBorders>
            <w:shd w:val="clear" w:color="auto" w:fill="auto"/>
            <w:noWrap/>
            <w:vAlign w:val="bottom"/>
            <w:hideMark/>
          </w:tcPr>
          <w:p w:rsidR="008E6390" w:rsidRPr="00955A4C" w:rsidRDefault="008E6390" w:rsidP="008E6390">
            <w:pPr>
              <w:rPr>
                <w:sz w:val="20"/>
                <w:szCs w:val="20"/>
                <w:lang w:eastAsia="es-MX"/>
              </w:rPr>
            </w:pPr>
          </w:p>
        </w:tc>
        <w:tc>
          <w:tcPr>
            <w:tcW w:w="998" w:type="pct"/>
            <w:tcBorders>
              <w:top w:val="single" w:sz="8" w:space="0" w:color="A6A6A6"/>
              <w:left w:val="single" w:sz="8" w:space="0" w:color="A6A6A6"/>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325,924,985.00</w:t>
            </w:r>
          </w:p>
        </w:tc>
      </w:tr>
      <w:tr w:rsidR="0019116A" w:rsidRPr="00955A4C" w:rsidTr="0019116A">
        <w:trPr>
          <w:trHeight w:val="560"/>
        </w:trPr>
        <w:tc>
          <w:tcPr>
            <w:tcW w:w="1180" w:type="pct"/>
            <w:tcBorders>
              <w:top w:val="nil"/>
              <w:left w:val="single" w:sz="8" w:space="0" w:color="A6A6A6"/>
              <w:bottom w:val="single" w:sz="8" w:space="0" w:color="A6A6A6"/>
              <w:right w:val="single" w:sz="8" w:space="0" w:color="A6A6A6"/>
            </w:tcBorders>
            <w:shd w:val="clear" w:color="auto" w:fill="auto"/>
            <w:vAlign w:val="center"/>
            <w:hideMark/>
          </w:tcPr>
          <w:p w:rsidR="0019116A" w:rsidRPr="00955A4C" w:rsidRDefault="0019116A" w:rsidP="0019116A">
            <w:pPr>
              <w:jc w:val="both"/>
              <w:rPr>
                <w:sz w:val="20"/>
                <w:szCs w:val="20"/>
                <w:lang w:eastAsia="es-MX"/>
              </w:rPr>
            </w:pPr>
            <w:r w:rsidRPr="00955A4C">
              <w:rPr>
                <w:sz w:val="20"/>
                <w:szCs w:val="20"/>
                <w:lang w:eastAsia="es-MX"/>
              </w:rPr>
              <w:t>Poder Judicial</w:t>
            </w:r>
          </w:p>
        </w:tc>
        <w:tc>
          <w:tcPr>
            <w:tcW w:w="251" w:type="pct"/>
            <w:tcBorders>
              <w:top w:val="nil"/>
              <w:left w:val="nil"/>
              <w:bottom w:val="nil"/>
              <w:right w:val="nil"/>
            </w:tcBorders>
            <w:shd w:val="clear" w:color="auto" w:fill="auto"/>
            <w:noWrap/>
            <w:vAlign w:val="bottom"/>
            <w:hideMark/>
          </w:tcPr>
          <w:p w:rsidR="0019116A" w:rsidRPr="00955A4C" w:rsidRDefault="0019116A" w:rsidP="0019116A">
            <w:pPr>
              <w:rPr>
                <w:sz w:val="20"/>
                <w:szCs w:val="20"/>
                <w:lang w:eastAsia="es-MX"/>
              </w:rPr>
            </w:pPr>
          </w:p>
        </w:tc>
        <w:tc>
          <w:tcPr>
            <w:tcW w:w="998" w:type="pct"/>
            <w:tcBorders>
              <w:top w:val="nil"/>
              <w:left w:val="single" w:sz="8" w:space="0" w:color="A6A6A6"/>
              <w:bottom w:val="single" w:sz="8" w:space="0" w:color="A6A6A6"/>
              <w:right w:val="single" w:sz="8" w:space="0" w:color="A6A6A6"/>
            </w:tcBorders>
            <w:shd w:val="clear" w:color="auto" w:fill="auto"/>
            <w:vAlign w:val="center"/>
          </w:tcPr>
          <w:p w:rsidR="0019116A" w:rsidRPr="00955A4C" w:rsidRDefault="0019116A" w:rsidP="0019116A">
            <w:pPr>
              <w:jc w:val="right"/>
              <w:rPr>
                <w:sz w:val="20"/>
                <w:szCs w:val="20"/>
                <w:lang w:eastAsia="es-MX"/>
              </w:rPr>
            </w:pPr>
            <w:r>
              <w:rPr>
                <w:sz w:val="20"/>
                <w:szCs w:val="20"/>
                <w:lang w:eastAsia="es-MX"/>
              </w:rPr>
              <w:t>418,080,000.00</w:t>
            </w:r>
          </w:p>
        </w:tc>
        <w:tc>
          <w:tcPr>
            <w:tcW w:w="216" w:type="pct"/>
            <w:tcBorders>
              <w:top w:val="nil"/>
              <w:left w:val="nil"/>
              <w:bottom w:val="nil"/>
              <w:right w:val="nil"/>
            </w:tcBorders>
            <w:shd w:val="clear" w:color="auto" w:fill="auto"/>
            <w:noWrap/>
            <w:vAlign w:val="bottom"/>
            <w:hideMark/>
          </w:tcPr>
          <w:p w:rsidR="0019116A" w:rsidRPr="00955A4C" w:rsidRDefault="0019116A" w:rsidP="0019116A">
            <w:pPr>
              <w:rPr>
                <w:sz w:val="20"/>
                <w:szCs w:val="20"/>
                <w:lang w:eastAsia="es-MX"/>
              </w:rPr>
            </w:pPr>
          </w:p>
        </w:tc>
        <w:tc>
          <w:tcPr>
            <w:tcW w:w="1066" w:type="pct"/>
            <w:tcBorders>
              <w:top w:val="nil"/>
              <w:left w:val="single" w:sz="8" w:space="0" w:color="A6A6A6"/>
              <w:bottom w:val="single" w:sz="8" w:space="0" w:color="A6A6A6"/>
              <w:right w:val="single" w:sz="8" w:space="0" w:color="A6A6A6"/>
            </w:tcBorders>
            <w:shd w:val="clear" w:color="auto" w:fill="auto"/>
            <w:vAlign w:val="center"/>
          </w:tcPr>
          <w:p w:rsidR="0019116A" w:rsidRPr="00955A4C" w:rsidRDefault="0019116A" w:rsidP="0019116A">
            <w:pPr>
              <w:jc w:val="right"/>
              <w:rPr>
                <w:sz w:val="20"/>
                <w:szCs w:val="20"/>
                <w:lang w:eastAsia="es-MX"/>
              </w:rPr>
            </w:pPr>
            <w:r w:rsidRPr="00955A4C">
              <w:rPr>
                <w:sz w:val="20"/>
                <w:szCs w:val="20"/>
                <w:lang w:eastAsia="es-MX"/>
              </w:rPr>
              <w:t>0</w:t>
            </w:r>
            <w:r>
              <w:rPr>
                <w:sz w:val="20"/>
                <w:szCs w:val="20"/>
                <w:lang w:eastAsia="es-MX"/>
              </w:rPr>
              <w:t>.00</w:t>
            </w:r>
          </w:p>
        </w:tc>
        <w:tc>
          <w:tcPr>
            <w:tcW w:w="290" w:type="pct"/>
            <w:tcBorders>
              <w:top w:val="nil"/>
              <w:left w:val="nil"/>
              <w:bottom w:val="nil"/>
              <w:right w:val="nil"/>
            </w:tcBorders>
            <w:shd w:val="clear" w:color="auto" w:fill="auto"/>
            <w:noWrap/>
            <w:vAlign w:val="bottom"/>
            <w:hideMark/>
          </w:tcPr>
          <w:p w:rsidR="0019116A" w:rsidRPr="00955A4C" w:rsidRDefault="0019116A" w:rsidP="0019116A">
            <w:pPr>
              <w:rPr>
                <w:sz w:val="20"/>
                <w:szCs w:val="20"/>
                <w:lang w:eastAsia="es-MX"/>
              </w:rPr>
            </w:pPr>
          </w:p>
        </w:tc>
        <w:tc>
          <w:tcPr>
            <w:tcW w:w="998" w:type="pct"/>
            <w:tcBorders>
              <w:top w:val="nil"/>
              <w:left w:val="single" w:sz="8" w:space="0" w:color="A6A6A6"/>
              <w:bottom w:val="single" w:sz="8" w:space="0" w:color="A6A6A6"/>
              <w:right w:val="single" w:sz="8" w:space="0" w:color="A6A6A6"/>
            </w:tcBorders>
            <w:shd w:val="clear" w:color="auto" w:fill="auto"/>
            <w:vAlign w:val="center"/>
          </w:tcPr>
          <w:p w:rsidR="0019116A" w:rsidRPr="00955A4C" w:rsidRDefault="0019116A" w:rsidP="0019116A">
            <w:pPr>
              <w:jc w:val="right"/>
              <w:rPr>
                <w:sz w:val="20"/>
                <w:szCs w:val="20"/>
                <w:lang w:eastAsia="es-MX"/>
              </w:rPr>
            </w:pPr>
            <w:r>
              <w:rPr>
                <w:sz w:val="20"/>
                <w:szCs w:val="20"/>
                <w:lang w:eastAsia="es-MX"/>
              </w:rPr>
              <w:t>418,080,000.00</w:t>
            </w:r>
          </w:p>
        </w:tc>
      </w:tr>
      <w:tr w:rsidR="008E6390" w:rsidRPr="00955A4C" w:rsidTr="0019116A">
        <w:trPr>
          <w:trHeight w:val="525"/>
        </w:trPr>
        <w:tc>
          <w:tcPr>
            <w:tcW w:w="1180" w:type="pct"/>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Órganos Autónomos</w:t>
            </w:r>
          </w:p>
        </w:tc>
        <w:tc>
          <w:tcPr>
            <w:tcW w:w="251" w:type="pct"/>
            <w:tcBorders>
              <w:top w:val="nil"/>
              <w:left w:val="nil"/>
              <w:bottom w:val="nil"/>
              <w:right w:val="nil"/>
            </w:tcBorders>
            <w:shd w:val="clear" w:color="auto" w:fill="auto"/>
            <w:noWrap/>
            <w:vAlign w:val="bottom"/>
            <w:hideMark/>
          </w:tcPr>
          <w:p w:rsidR="008E6390" w:rsidRPr="00955A4C" w:rsidRDefault="008E6390" w:rsidP="008E6390">
            <w:pPr>
              <w:rPr>
                <w:sz w:val="20"/>
                <w:szCs w:val="20"/>
                <w:lang w:eastAsia="es-MX"/>
              </w:rPr>
            </w:pPr>
          </w:p>
        </w:tc>
        <w:tc>
          <w:tcPr>
            <w:tcW w:w="998" w:type="pct"/>
            <w:tcBorders>
              <w:top w:val="nil"/>
              <w:left w:val="single" w:sz="8" w:space="0" w:color="A6A6A6"/>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281,907,362.84</w:t>
            </w:r>
          </w:p>
        </w:tc>
        <w:tc>
          <w:tcPr>
            <w:tcW w:w="216" w:type="pct"/>
            <w:tcBorders>
              <w:top w:val="nil"/>
              <w:left w:val="nil"/>
              <w:bottom w:val="nil"/>
              <w:right w:val="nil"/>
            </w:tcBorders>
            <w:shd w:val="clear" w:color="auto" w:fill="auto"/>
            <w:noWrap/>
            <w:vAlign w:val="bottom"/>
            <w:hideMark/>
          </w:tcPr>
          <w:p w:rsidR="008E6390" w:rsidRPr="00955A4C" w:rsidRDefault="008E6390" w:rsidP="008E6390">
            <w:pPr>
              <w:rPr>
                <w:sz w:val="20"/>
                <w:szCs w:val="20"/>
                <w:lang w:eastAsia="es-MX"/>
              </w:rPr>
            </w:pPr>
          </w:p>
        </w:tc>
        <w:tc>
          <w:tcPr>
            <w:tcW w:w="1066" w:type="pct"/>
            <w:tcBorders>
              <w:top w:val="nil"/>
              <w:left w:val="single" w:sz="8" w:space="0" w:color="A6A6A6"/>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sidRPr="00955A4C">
              <w:rPr>
                <w:sz w:val="20"/>
                <w:szCs w:val="20"/>
                <w:lang w:eastAsia="es-MX"/>
              </w:rPr>
              <w:t>0</w:t>
            </w:r>
            <w:r>
              <w:rPr>
                <w:sz w:val="20"/>
                <w:szCs w:val="20"/>
                <w:lang w:eastAsia="es-MX"/>
              </w:rPr>
              <w:t>.00</w:t>
            </w:r>
          </w:p>
        </w:tc>
        <w:tc>
          <w:tcPr>
            <w:tcW w:w="290" w:type="pct"/>
            <w:tcBorders>
              <w:top w:val="nil"/>
              <w:left w:val="nil"/>
              <w:bottom w:val="nil"/>
              <w:right w:val="nil"/>
            </w:tcBorders>
            <w:shd w:val="clear" w:color="auto" w:fill="auto"/>
            <w:noWrap/>
            <w:vAlign w:val="bottom"/>
            <w:hideMark/>
          </w:tcPr>
          <w:p w:rsidR="008E6390" w:rsidRPr="00955A4C" w:rsidRDefault="008E6390" w:rsidP="008E6390">
            <w:pPr>
              <w:rPr>
                <w:sz w:val="20"/>
                <w:szCs w:val="20"/>
                <w:lang w:eastAsia="es-MX"/>
              </w:rPr>
            </w:pPr>
          </w:p>
        </w:tc>
        <w:tc>
          <w:tcPr>
            <w:tcW w:w="998" w:type="pct"/>
            <w:tcBorders>
              <w:top w:val="nil"/>
              <w:left w:val="single" w:sz="8" w:space="0" w:color="A6A6A6"/>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281,907,362.84</w:t>
            </w:r>
          </w:p>
        </w:tc>
      </w:tr>
      <w:tr w:rsidR="008E6390" w:rsidRPr="00955A4C" w:rsidTr="0019116A">
        <w:trPr>
          <w:trHeight w:val="478"/>
        </w:trPr>
        <w:tc>
          <w:tcPr>
            <w:tcW w:w="1180" w:type="pct"/>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Poder Ejecutivo</w:t>
            </w:r>
          </w:p>
        </w:tc>
        <w:tc>
          <w:tcPr>
            <w:tcW w:w="251" w:type="pct"/>
            <w:tcBorders>
              <w:top w:val="nil"/>
              <w:left w:val="nil"/>
              <w:bottom w:val="nil"/>
              <w:right w:val="nil"/>
            </w:tcBorders>
            <w:shd w:val="clear" w:color="auto" w:fill="auto"/>
            <w:noWrap/>
            <w:vAlign w:val="bottom"/>
            <w:hideMark/>
          </w:tcPr>
          <w:p w:rsidR="008E6390" w:rsidRPr="00955A4C" w:rsidRDefault="008E6390" w:rsidP="008E6390">
            <w:pPr>
              <w:rPr>
                <w:sz w:val="20"/>
                <w:szCs w:val="20"/>
                <w:lang w:eastAsia="es-MX"/>
              </w:rPr>
            </w:pPr>
          </w:p>
        </w:tc>
        <w:tc>
          <w:tcPr>
            <w:tcW w:w="998" w:type="pct"/>
            <w:tcBorders>
              <w:top w:val="nil"/>
              <w:left w:val="single" w:sz="8" w:space="0" w:color="A6A6A6"/>
              <w:bottom w:val="single" w:sz="8" w:space="0" w:color="A6A6A6"/>
              <w:right w:val="single" w:sz="8" w:space="0" w:color="A6A6A6"/>
            </w:tcBorders>
            <w:shd w:val="clear" w:color="auto" w:fill="auto"/>
            <w:vAlign w:val="center"/>
          </w:tcPr>
          <w:p w:rsidR="008E6390" w:rsidRPr="00955A4C" w:rsidRDefault="003C798E" w:rsidP="008E6390">
            <w:pPr>
              <w:jc w:val="right"/>
              <w:rPr>
                <w:sz w:val="20"/>
                <w:szCs w:val="20"/>
                <w:lang w:eastAsia="es-MX"/>
              </w:rPr>
            </w:pPr>
            <w:r w:rsidRPr="003C798E">
              <w:rPr>
                <w:sz w:val="20"/>
                <w:szCs w:val="20"/>
                <w:lang w:eastAsia="es-MX"/>
              </w:rPr>
              <w:t>7,317,955,732.26</w:t>
            </w:r>
          </w:p>
        </w:tc>
        <w:tc>
          <w:tcPr>
            <w:tcW w:w="216" w:type="pct"/>
            <w:tcBorders>
              <w:top w:val="nil"/>
              <w:left w:val="nil"/>
              <w:bottom w:val="nil"/>
              <w:right w:val="nil"/>
            </w:tcBorders>
            <w:shd w:val="clear" w:color="auto" w:fill="auto"/>
            <w:noWrap/>
            <w:vAlign w:val="bottom"/>
            <w:hideMark/>
          </w:tcPr>
          <w:p w:rsidR="008E6390" w:rsidRPr="00955A4C" w:rsidRDefault="008E6390" w:rsidP="008E6390">
            <w:pPr>
              <w:rPr>
                <w:sz w:val="20"/>
                <w:szCs w:val="20"/>
                <w:lang w:eastAsia="es-MX"/>
              </w:rPr>
            </w:pPr>
          </w:p>
        </w:tc>
        <w:tc>
          <w:tcPr>
            <w:tcW w:w="1066" w:type="pct"/>
            <w:tcBorders>
              <w:top w:val="nil"/>
              <w:left w:val="single" w:sz="8" w:space="0" w:color="A6A6A6"/>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8,687,521,841.00</w:t>
            </w:r>
          </w:p>
        </w:tc>
        <w:tc>
          <w:tcPr>
            <w:tcW w:w="290" w:type="pct"/>
            <w:tcBorders>
              <w:top w:val="nil"/>
              <w:left w:val="nil"/>
              <w:bottom w:val="nil"/>
              <w:right w:val="nil"/>
            </w:tcBorders>
            <w:shd w:val="clear" w:color="auto" w:fill="auto"/>
            <w:noWrap/>
            <w:vAlign w:val="bottom"/>
            <w:hideMark/>
          </w:tcPr>
          <w:p w:rsidR="008E6390" w:rsidRPr="00955A4C" w:rsidRDefault="008E6390" w:rsidP="008E6390">
            <w:pPr>
              <w:rPr>
                <w:sz w:val="20"/>
                <w:szCs w:val="20"/>
                <w:lang w:eastAsia="es-MX"/>
              </w:rPr>
            </w:pPr>
          </w:p>
        </w:tc>
        <w:tc>
          <w:tcPr>
            <w:tcW w:w="998" w:type="pct"/>
            <w:tcBorders>
              <w:top w:val="nil"/>
              <w:left w:val="single" w:sz="8" w:space="0" w:color="A6A6A6"/>
              <w:bottom w:val="single" w:sz="8" w:space="0" w:color="A6A6A6"/>
              <w:right w:val="single" w:sz="8" w:space="0" w:color="A6A6A6"/>
            </w:tcBorders>
            <w:shd w:val="clear" w:color="auto" w:fill="auto"/>
            <w:vAlign w:val="center"/>
          </w:tcPr>
          <w:p w:rsidR="008E6390" w:rsidRPr="00955A4C" w:rsidRDefault="00F11BA0" w:rsidP="008E6390">
            <w:pPr>
              <w:jc w:val="right"/>
              <w:rPr>
                <w:sz w:val="20"/>
                <w:szCs w:val="20"/>
                <w:lang w:eastAsia="es-MX"/>
              </w:rPr>
            </w:pPr>
            <w:r>
              <w:rPr>
                <w:sz w:val="20"/>
                <w:szCs w:val="20"/>
                <w:lang w:eastAsia="es-MX"/>
              </w:rPr>
              <w:t>16,005,477,573.26</w:t>
            </w:r>
          </w:p>
        </w:tc>
      </w:tr>
      <w:tr w:rsidR="008E6390" w:rsidRPr="00955A4C" w:rsidTr="0019116A">
        <w:trPr>
          <w:trHeight w:val="414"/>
        </w:trPr>
        <w:tc>
          <w:tcPr>
            <w:tcW w:w="1180" w:type="pct"/>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Municipios</w:t>
            </w:r>
          </w:p>
        </w:tc>
        <w:tc>
          <w:tcPr>
            <w:tcW w:w="251" w:type="pct"/>
            <w:tcBorders>
              <w:top w:val="nil"/>
              <w:left w:val="nil"/>
              <w:bottom w:val="nil"/>
              <w:right w:val="nil"/>
            </w:tcBorders>
            <w:shd w:val="clear" w:color="auto" w:fill="auto"/>
            <w:noWrap/>
            <w:vAlign w:val="bottom"/>
            <w:hideMark/>
          </w:tcPr>
          <w:p w:rsidR="008E6390" w:rsidRPr="00955A4C" w:rsidRDefault="008E6390" w:rsidP="008E6390">
            <w:pPr>
              <w:rPr>
                <w:sz w:val="20"/>
                <w:szCs w:val="20"/>
                <w:lang w:eastAsia="es-MX"/>
              </w:rPr>
            </w:pPr>
          </w:p>
        </w:tc>
        <w:tc>
          <w:tcPr>
            <w:tcW w:w="998" w:type="pct"/>
            <w:tcBorders>
              <w:top w:val="nil"/>
              <w:left w:val="single" w:sz="8" w:space="0" w:color="A6A6A6"/>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2,114,990,366.90</w:t>
            </w:r>
          </w:p>
        </w:tc>
        <w:tc>
          <w:tcPr>
            <w:tcW w:w="216" w:type="pct"/>
            <w:tcBorders>
              <w:top w:val="nil"/>
              <w:left w:val="nil"/>
              <w:bottom w:val="nil"/>
              <w:right w:val="nil"/>
            </w:tcBorders>
            <w:shd w:val="clear" w:color="auto" w:fill="auto"/>
            <w:noWrap/>
            <w:vAlign w:val="bottom"/>
            <w:hideMark/>
          </w:tcPr>
          <w:p w:rsidR="008E6390" w:rsidRPr="00955A4C" w:rsidRDefault="008E6390" w:rsidP="008E6390">
            <w:pPr>
              <w:rPr>
                <w:sz w:val="20"/>
                <w:szCs w:val="20"/>
                <w:lang w:eastAsia="es-MX"/>
              </w:rPr>
            </w:pPr>
          </w:p>
        </w:tc>
        <w:tc>
          <w:tcPr>
            <w:tcW w:w="1066" w:type="pct"/>
            <w:tcBorders>
              <w:top w:val="nil"/>
              <w:left w:val="single" w:sz="8" w:space="0" w:color="A6A6A6"/>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1,632,661,554.00</w:t>
            </w:r>
          </w:p>
        </w:tc>
        <w:tc>
          <w:tcPr>
            <w:tcW w:w="290" w:type="pct"/>
            <w:tcBorders>
              <w:top w:val="nil"/>
              <w:left w:val="nil"/>
              <w:bottom w:val="nil"/>
              <w:right w:val="nil"/>
            </w:tcBorders>
            <w:shd w:val="clear" w:color="auto" w:fill="auto"/>
            <w:noWrap/>
            <w:vAlign w:val="bottom"/>
            <w:hideMark/>
          </w:tcPr>
          <w:p w:rsidR="008E6390" w:rsidRPr="00955A4C" w:rsidRDefault="008E6390" w:rsidP="008E6390">
            <w:pPr>
              <w:rPr>
                <w:sz w:val="20"/>
                <w:szCs w:val="20"/>
                <w:lang w:eastAsia="es-MX"/>
              </w:rPr>
            </w:pPr>
          </w:p>
        </w:tc>
        <w:tc>
          <w:tcPr>
            <w:tcW w:w="998" w:type="pct"/>
            <w:tcBorders>
              <w:top w:val="nil"/>
              <w:left w:val="single" w:sz="8" w:space="0" w:color="A6A6A6"/>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3,747,651,920.90</w:t>
            </w:r>
          </w:p>
        </w:tc>
      </w:tr>
      <w:tr w:rsidR="008E6390" w:rsidRPr="00955A4C" w:rsidTr="0019116A">
        <w:trPr>
          <w:trHeight w:val="330"/>
        </w:trPr>
        <w:tc>
          <w:tcPr>
            <w:tcW w:w="1180" w:type="pct"/>
            <w:tcBorders>
              <w:top w:val="nil"/>
              <w:left w:val="single" w:sz="8" w:space="0" w:color="A6A6A6"/>
              <w:bottom w:val="single" w:sz="8" w:space="0" w:color="A6A6A6"/>
              <w:right w:val="single" w:sz="8" w:space="0" w:color="A6A6A6"/>
            </w:tcBorders>
            <w:shd w:val="clear" w:color="000000" w:fill="CCCCCC"/>
            <w:vAlign w:val="center"/>
            <w:hideMark/>
          </w:tcPr>
          <w:p w:rsidR="008E6390" w:rsidRPr="00955A4C" w:rsidRDefault="008E6390" w:rsidP="008E6390">
            <w:pPr>
              <w:jc w:val="center"/>
              <w:rPr>
                <w:b/>
                <w:bCs/>
                <w:sz w:val="20"/>
                <w:szCs w:val="20"/>
                <w:lang w:eastAsia="es-MX"/>
              </w:rPr>
            </w:pPr>
            <w:r w:rsidRPr="00955A4C">
              <w:rPr>
                <w:b/>
                <w:bCs/>
                <w:sz w:val="20"/>
                <w:szCs w:val="20"/>
                <w:lang w:eastAsia="es-MX"/>
              </w:rPr>
              <w:t>TOTAL</w:t>
            </w:r>
          </w:p>
        </w:tc>
        <w:tc>
          <w:tcPr>
            <w:tcW w:w="251" w:type="pct"/>
            <w:tcBorders>
              <w:top w:val="nil"/>
              <w:left w:val="nil"/>
              <w:bottom w:val="nil"/>
              <w:right w:val="nil"/>
            </w:tcBorders>
            <w:shd w:val="clear" w:color="auto" w:fill="auto"/>
            <w:noWrap/>
            <w:vAlign w:val="bottom"/>
            <w:hideMark/>
          </w:tcPr>
          <w:p w:rsidR="008E6390" w:rsidRPr="00955A4C" w:rsidRDefault="008E6390" w:rsidP="008E6390">
            <w:pPr>
              <w:rPr>
                <w:sz w:val="20"/>
                <w:szCs w:val="20"/>
                <w:lang w:eastAsia="es-MX"/>
              </w:rPr>
            </w:pPr>
          </w:p>
        </w:tc>
        <w:tc>
          <w:tcPr>
            <w:tcW w:w="998" w:type="pct"/>
            <w:tcBorders>
              <w:top w:val="nil"/>
              <w:left w:val="single" w:sz="8" w:space="0" w:color="A6A6A6"/>
              <w:bottom w:val="single" w:sz="8" w:space="0" w:color="A6A6A6"/>
              <w:right w:val="single" w:sz="8" w:space="0" w:color="A6A6A6"/>
            </w:tcBorders>
            <w:shd w:val="clear" w:color="000000" w:fill="CCCCCC"/>
            <w:vAlign w:val="center"/>
          </w:tcPr>
          <w:p w:rsidR="008E6390" w:rsidRPr="00955A4C" w:rsidRDefault="003C798E" w:rsidP="008E6390">
            <w:pPr>
              <w:jc w:val="right"/>
              <w:rPr>
                <w:b/>
                <w:bCs/>
                <w:sz w:val="20"/>
                <w:szCs w:val="20"/>
                <w:lang w:eastAsia="es-MX"/>
              </w:rPr>
            </w:pPr>
            <w:r>
              <w:rPr>
                <w:b/>
                <w:bCs/>
                <w:sz w:val="20"/>
                <w:szCs w:val="20"/>
                <w:lang w:eastAsia="es-MX"/>
              </w:rPr>
              <w:t>10,458,858,447.00</w:t>
            </w:r>
          </w:p>
        </w:tc>
        <w:tc>
          <w:tcPr>
            <w:tcW w:w="216" w:type="pct"/>
            <w:tcBorders>
              <w:top w:val="nil"/>
              <w:left w:val="nil"/>
              <w:bottom w:val="nil"/>
              <w:right w:val="nil"/>
            </w:tcBorders>
            <w:shd w:val="clear" w:color="auto" w:fill="auto"/>
            <w:noWrap/>
            <w:vAlign w:val="bottom"/>
            <w:hideMark/>
          </w:tcPr>
          <w:p w:rsidR="008E6390" w:rsidRPr="00955A4C" w:rsidRDefault="008E6390" w:rsidP="008E6390">
            <w:pPr>
              <w:rPr>
                <w:sz w:val="20"/>
                <w:szCs w:val="20"/>
                <w:lang w:eastAsia="es-MX"/>
              </w:rPr>
            </w:pPr>
          </w:p>
        </w:tc>
        <w:tc>
          <w:tcPr>
            <w:tcW w:w="1066" w:type="pct"/>
            <w:tcBorders>
              <w:top w:val="nil"/>
              <w:left w:val="single" w:sz="8" w:space="0" w:color="A6A6A6"/>
              <w:bottom w:val="single" w:sz="8" w:space="0" w:color="A6A6A6"/>
              <w:right w:val="single" w:sz="8" w:space="0" w:color="A6A6A6"/>
            </w:tcBorders>
            <w:shd w:val="clear" w:color="000000" w:fill="CCCCCC"/>
            <w:vAlign w:val="center"/>
          </w:tcPr>
          <w:p w:rsidR="008E6390" w:rsidRPr="00955A4C" w:rsidRDefault="008E6390" w:rsidP="008E6390">
            <w:pPr>
              <w:jc w:val="right"/>
              <w:rPr>
                <w:b/>
                <w:bCs/>
                <w:sz w:val="20"/>
                <w:szCs w:val="20"/>
                <w:lang w:eastAsia="es-MX"/>
              </w:rPr>
            </w:pPr>
            <w:r>
              <w:rPr>
                <w:b/>
                <w:bCs/>
                <w:sz w:val="20"/>
                <w:szCs w:val="20"/>
                <w:lang w:eastAsia="es-MX"/>
              </w:rPr>
              <w:t>10,320,183,395.00</w:t>
            </w:r>
          </w:p>
        </w:tc>
        <w:tc>
          <w:tcPr>
            <w:tcW w:w="290" w:type="pct"/>
            <w:tcBorders>
              <w:top w:val="nil"/>
              <w:left w:val="nil"/>
              <w:bottom w:val="nil"/>
              <w:right w:val="nil"/>
            </w:tcBorders>
            <w:shd w:val="clear" w:color="auto" w:fill="auto"/>
            <w:noWrap/>
            <w:vAlign w:val="bottom"/>
            <w:hideMark/>
          </w:tcPr>
          <w:p w:rsidR="008E6390" w:rsidRPr="00955A4C" w:rsidRDefault="008E6390" w:rsidP="008E6390">
            <w:pPr>
              <w:rPr>
                <w:sz w:val="20"/>
                <w:szCs w:val="20"/>
                <w:lang w:eastAsia="es-MX"/>
              </w:rPr>
            </w:pPr>
          </w:p>
        </w:tc>
        <w:tc>
          <w:tcPr>
            <w:tcW w:w="998" w:type="pct"/>
            <w:tcBorders>
              <w:top w:val="nil"/>
              <w:left w:val="single" w:sz="8" w:space="0" w:color="A6A6A6"/>
              <w:bottom w:val="single" w:sz="8" w:space="0" w:color="A6A6A6"/>
              <w:right w:val="single" w:sz="8" w:space="0" w:color="A6A6A6"/>
            </w:tcBorders>
            <w:shd w:val="clear" w:color="000000" w:fill="CCCCCC"/>
            <w:vAlign w:val="center"/>
          </w:tcPr>
          <w:p w:rsidR="008E6390" w:rsidRPr="00955A4C" w:rsidRDefault="00F11BA0" w:rsidP="008E6390">
            <w:pPr>
              <w:jc w:val="right"/>
              <w:rPr>
                <w:b/>
                <w:bCs/>
                <w:sz w:val="20"/>
                <w:szCs w:val="20"/>
                <w:lang w:eastAsia="es-MX"/>
              </w:rPr>
            </w:pPr>
            <w:r>
              <w:rPr>
                <w:b/>
                <w:bCs/>
                <w:sz w:val="20"/>
                <w:szCs w:val="20"/>
                <w:lang w:eastAsia="es-MX"/>
              </w:rPr>
              <w:t>20,779,041,842.00</w:t>
            </w:r>
          </w:p>
        </w:tc>
      </w:tr>
    </w:tbl>
    <w:p w:rsidR="008E6390" w:rsidRPr="00955A4C" w:rsidRDefault="008E6390" w:rsidP="008E6390">
      <w:pPr>
        <w:spacing w:line="360" w:lineRule="auto"/>
        <w:jc w:val="both"/>
        <w:rPr>
          <w:b/>
          <w:sz w:val="20"/>
          <w:szCs w:val="20"/>
        </w:rPr>
      </w:pPr>
    </w:p>
    <w:p w:rsidR="008E6390" w:rsidRPr="00955A4C" w:rsidRDefault="008E6390" w:rsidP="008E6390">
      <w:pPr>
        <w:spacing w:after="200" w:line="360" w:lineRule="auto"/>
        <w:jc w:val="both"/>
        <w:rPr>
          <w:rFonts w:eastAsia="Calibri"/>
          <w:sz w:val="20"/>
          <w:szCs w:val="20"/>
        </w:rPr>
      </w:pPr>
      <w:r>
        <w:rPr>
          <w:rFonts w:eastAsia="Calibri"/>
          <w:sz w:val="20"/>
          <w:szCs w:val="20"/>
        </w:rPr>
        <w:t>Para el Poder Legislativo se estima u</w:t>
      </w:r>
      <w:r w:rsidRPr="00955A4C">
        <w:rPr>
          <w:rFonts w:eastAsia="Calibri"/>
          <w:sz w:val="20"/>
          <w:szCs w:val="20"/>
        </w:rPr>
        <w:t xml:space="preserve">n presupuesto total de </w:t>
      </w:r>
      <w:r>
        <w:rPr>
          <w:rFonts w:eastAsia="Calibri"/>
          <w:sz w:val="20"/>
          <w:szCs w:val="20"/>
        </w:rPr>
        <w:t>$</w:t>
      </w:r>
      <w:r>
        <w:rPr>
          <w:sz w:val="20"/>
          <w:szCs w:val="20"/>
          <w:lang w:eastAsia="es-MX"/>
        </w:rPr>
        <w:t>325</w:t>
      </w:r>
      <w:proofErr w:type="gramStart"/>
      <w:r>
        <w:rPr>
          <w:sz w:val="20"/>
          <w:szCs w:val="20"/>
          <w:lang w:eastAsia="es-MX"/>
        </w:rPr>
        <w:t>,924,985.00</w:t>
      </w:r>
      <w:proofErr w:type="gramEnd"/>
      <w:r w:rsidRPr="00955A4C">
        <w:rPr>
          <w:rFonts w:eastAsia="Calibri"/>
          <w:sz w:val="20"/>
          <w:szCs w:val="20"/>
        </w:rPr>
        <w:t xml:space="preserve">, que </w:t>
      </w:r>
      <w:r>
        <w:rPr>
          <w:rFonts w:eastAsia="Calibri"/>
          <w:sz w:val="20"/>
          <w:szCs w:val="20"/>
        </w:rPr>
        <w:t xml:space="preserve">representaría </w:t>
      </w:r>
      <w:r w:rsidRPr="00955A4C">
        <w:rPr>
          <w:rFonts w:eastAsia="Calibri"/>
          <w:sz w:val="20"/>
          <w:szCs w:val="20"/>
        </w:rPr>
        <w:t>un incremento del 6%</w:t>
      </w:r>
      <w:r w:rsidRPr="00955A4C">
        <w:rPr>
          <w:rFonts w:eastAsia="Calibri"/>
          <w:color w:val="FF0000"/>
          <w:sz w:val="20"/>
          <w:szCs w:val="20"/>
        </w:rPr>
        <w:t xml:space="preserve"> </w:t>
      </w:r>
      <w:r w:rsidRPr="00955A4C">
        <w:rPr>
          <w:rFonts w:eastAsia="Calibri"/>
          <w:sz w:val="20"/>
          <w:szCs w:val="20"/>
        </w:rPr>
        <w:t>respecto de 2019, integrado como sigue:</w:t>
      </w:r>
    </w:p>
    <w:tbl>
      <w:tblPr>
        <w:tblW w:w="5117" w:type="dxa"/>
        <w:jc w:val="center"/>
        <w:tblCellMar>
          <w:left w:w="70" w:type="dxa"/>
          <w:right w:w="70" w:type="dxa"/>
        </w:tblCellMar>
        <w:tblLook w:val="04A0" w:firstRow="1" w:lastRow="0" w:firstColumn="1" w:lastColumn="0" w:noHBand="0" w:noVBand="1"/>
      </w:tblPr>
      <w:tblGrid>
        <w:gridCol w:w="3685"/>
        <w:gridCol w:w="1432"/>
      </w:tblGrid>
      <w:tr w:rsidR="008E6390" w:rsidRPr="00955A4C" w:rsidTr="00B45116">
        <w:trPr>
          <w:trHeight w:val="547"/>
          <w:jc w:val="center"/>
        </w:trPr>
        <w:tc>
          <w:tcPr>
            <w:tcW w:w="3685" w:type="dxa"/>
            <w:tcBorders>
              <w:top w:val="single" w:sz="8" w:space="0" w:color="A6A6A6"/>
              <w:left w:val="single" w:sz="8" w:space="0" w:color="A6A6A6"/>
              <w:bottom w:val="nil"/>
              <w:right w:val="single" w:sz="8" w:space="0" w:color="A6A6A6"/>
            </w:tcBorders>
            <w:shd w:val="clear" w:color="000000" w:fill="CCCCCC"/>
            <w:vAlign w:val="center"/>
            <w:hideMark/>
          </w:tcPr>
          <w:p w:rsidR="008E6390" w:rsidRPr="00955A4C" w:rsidRDefault="00B45116" w:rsidP="008E6390">
            <w:pPr>
              <w:jc w:val="center"/>
              <w:rPr>
                <w:b/>
                <w:bCs/>
                <w:sz w:val="20"/>
                <w:szCs w:val="20"/>
                <w:lang w:eastAsia="es-MX"/>
              </w:rPr>
            </w:pPr>
            <w:r w:rsidRPr="00955A4C">
              <w:rPr>
                <w:b/>
                <w:bCs/>
                <w:sz w:val="20"/>
                <w:szCs w:val="20"/>
                <w:lang w:eastAsia="es-MX"/>
              </w:rPr>
              <w:t>PODER LEGISLATIVO</w:t>
            </w:r>
          </w:p>
        </w:tc>
        <w:tc>
          <w:tcPr>
            <w:tcW w:w="1432" w:type="dxa"/>
            <w:tcBorders>
              <w:top w:val="single" w:sz="8" w:space="0" w:color="A6A6A6"/>
              <w:left w:val="nil"/>
              <w:bottom w:val="nil"/>
              <w:right w:val="single" w:sz="8" w:space="0" w:color="A6A6A6"/>
            </w:tcBorders>
            <w:shd w:val="clear" w:color="000000" w:fill="CCCCCC"/>
            <w:vAlign w:val="center"/>
            <w:hideMark/>
          </w:tcPr>
          <w:p w:rsidR="008E6390" w:rsidRPr="00955A4C" w:rsidRDefault="00B45116" w:rsidP="00B45116">
            <w:pPr>
              <w:jc w:val="center"/>
              <w:rPr>
                <w:b/>
                <w:bCs/>
                <w:sz w:val="20"/>
                <w:szCs w:val="20"/>
                <w:lang w:eastAsia="es-MX"/>
              </w:rPr>
            </w:pPr>
            <w:r>
              <w:rPr>
                <w:b/>
                <w:bCs/>
                <w:sz w:val="20"/>
                <w:szCs w:val="20"/>
                <w:lang w:eastAsia="es-MX"/>
              </w:rPr>
              <w:t>MONTO</w:t>
            </w:r>
          </w:p>
        </w:tc>
      </w:tr>
      <w:tr w:rsidR="008E6390" w:rsidRPr="00955A4C" w:rsidTr="008E6390">
        <w:trPr>
          <w:trHeight w:val="615"/>
          <w:jc w:val="center"/>
        </w:trPr>
        <w:tc>
          <w:tcPr>
            <w:tcW w:w="368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Pr>
                <w:sz w:val="20"/>
                <w:szCs w:val="20"/>
                <w:lang w:eastAsia="es-MX"/>
              </w:rPr>
              <w:t>Congreso del Estado</w:t>
            </w:r>
          </w:p>
        </w:tc>
        <w:tc>
          <w:tcPr>
            <w:tcW w:w="1432" w:type="dxa"/>
            <w:tcBorders>
              <w:top w:val="single" w:sz="8" w:space="0" w:color="A6A6A6"/>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249,946,985.00</w:t>
            </w:r>
          </w:p>
        </w:tc>
      </w:tr>
      <w:tr w:rsidR="008E6390" w:rsidRPr="00955A4C" w:rsidTr="008E6390">
        <w:trPr>
          <w:trHeight w:val="581"/>
          <w:jc w:val="center"/>
        </w:trPr>
        <w:tc>
          <w:tcPr>
            <w:tcW w:w="3685"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 xml:space="preserve">Órgano de Fiscalización Superior </w:t>
            </w:r>
          </w:p>
        </w:tc>
        <w:tc>
          <w:tcPr>
            <w:tcW w:w="1432"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75,978,000.00</w:t>
            </w:r>
          </w:p>
        </w:tc>
      </w:tr>
      <w:tr w:rsidR="008E6390" w:rsidRPr="00955A4C" w:rsidTr="008E6390">
        <w:trPr>
          <w:trHeight w:val="330"/>
          <w:jc w:val="center"/>
        </w:trPr>
        <w:tc>
          <w:tcPr>
            <w:tcW w:w="3685" w:type="dxa"/>
            <w:tcBorders>
              <w:top w:val="nil"/>
              <w:left w:val="single" w:sz="8" w:space="0" w:color="A6A6A6"/>
              <w:bottom w:val="single" w:sz="8" w:space="0" w:color="A6A6A6"/>
              <w:right w:val="single" w:sz="8" w:space="0" w:color="A6A6A6"/>
            </w:tcBorders>
            <w:shd w:val="clear" w:color="000000" w:fill="CCCCCC"/>
            <w:vAlign w:val="center"/>
            <w:hideMark/>
          </w:tcPr>
          <w:p w:rsidR="008E6390" w:rsidRPr="00955A4C" w:rsidRDefault="008E6390" w:rsidP="008E6390">
            <w:pPr>
              <w:jc w:val="center"/>
              <w:rPr>
                <w:b/>
                <w:bCs/>
                <w:sz w:val="20"/>
                <w:szCs w:val="20"/>
                <w:lang w:eastAsia="es-MX"/>
              </w:rPr>
            </w:pPr>
            <w:r w:rsidRPr="00955A4C">
              <w:rPr>
                <w:b/>
                <w:bCs/>
                <w:sz w:val="20"/>
                <w:szCs w:val="20"/>
                <w:lang w:eastAsia="es-MX"/>
              </w:rPr>
              <w:t>TOTAL</w:t>
            </w:r>
          </w:p>
        </w:tc>
        <w:tc>
          <w:tcPr>
            <w:tcW w:w="1432" w:type="dxa"/>
            <w:tcBorders>
              <w:top w:val="nil"/>
              <w:left w:val="nil"/>
              <w:bottom w:val="single" w:sz="8" w:space="0" w:color="A6A6A6"/>
              <w:right w:val="single" w:sz="8" w:space="0" w:color="A6A6A6"/>
            </w:tcBorders>
            <w:shd w:val="clear" w:color="000000" w:fill="CCCCCC"/>
            <w:vAlign w:val="center"/>
          </w:tcPr>
          <w:p w:rsidR="008E6390" w:rsidRPr="00955A4C" w:rsidRDefault="008E6390" w:rsidP="008E6390">
            <w:pPr>
              <w:jc w:val="right"/>
              <w:rPr>
                <w:b/>
                <w:bCs/>
                <w:sz w:val="20"/>
                <w:szCs w:val="20"/>
                <w:lang w:eastAsia="es-MX"/>
              </w:rPr>
            </w:pPr>
            <w:r w:rsidRPr="000B5CB6">
              <w:rPr>
                <w:b/>
                <w:bCs/>
                <w:sz w:val="20"/>
                <w:szCs w:val="20"/>
                <w:lang w:eastAsia="es-MX"/>
              </w:rPr>
              <w:t>325</w:t>
            </w:r>
            <w:r>
              <w:rPr>
                <w:b/>
                <w:bCs/>
                <w:sz w:val="20"/>
                <w:szCs w:val="20"/>
                <w:lang w:eastAsia="es-MX"/>
              </w:rPr>
              <w:t>,</w:t>
            </w:r>
            <w:r w:rsidRPr="000B5CB6">
              <w:rPr>
                <w:b/>
                <w:bCs/>
                <w:sz w:val="20"/>
                <w:szCs w:val="20"/>
                <w:lang w:eastAsia="es-MX"/>
              </w:rPr>
              <w:t>924</w:t>
            </w:r>
            <w:r>
              <w:rPr>
                <w:b/>
                <w:bCs/>
                <w:sz w:val="20"/>
                <w:szCs w:val="20"/>
                <w:lang w:eastAsia="es-MX"/>
              </w:rPr>
              <w:t>,</w:t>
            </w:r>
            <w:r w:rsidRPr="000B5CB6">
              <w:rPr>
                <w:b/>
                <w:bCs/>
                <w:sz w:val="20"/>
                <w:szCs w:val="20"/>
                <w:lang w:eastAsia="es-MX"/>
              </w:rPr>
              <w:t>985</w:t>
            </w:r>
            <w:r>
              <w:rPr>
                <w:b/>
                <w:bCs/>
                <w:sz w:val="20"/>
                <w:szCs w:val="20"/>
                <w:lang w:eastAsia="es-MX"/>
              </w:rPr>
              <w:t>.00</w:t>
            </w:r>
          </w:p>
        </w:tc>
      </w:tr>
    </w:tbl>
    <w:p w:rsidR="008E6390" w:rsidRPr="00955A4C" w:rsidRDefault="008E6390" w:rsidP="008E6390">
      <w:pPr>
        <w:spacing w:after="200" w:line="360" w:lineRule="auto"/>
        <w:jc w:val="center"/>
        <w:rPr>
          <w:rFonts w:eastAsia="Calibri"/>
          <w:b/>
          <w:sz w:val="20"/>
          <w:szCs w:val="20"/>
        </w:rPr>
      </w:pPr>
    </w:p>
    <w:p w:rsidR="00B45116" w:rsidRDefault="00B45116" w:rsidP="008E6390">
      <w:pPr>
        <w:spacing w:after="200" w:line="360" w:lineRule="auto"/>
        <w:jc w:val="center"/>
        <w:rPr>
          <w:rFonts w:eastAsia="Calibri"/>
          <w:b/>
          <w:sz w:val="20"/>
          <w:szCs w:val="20"/>
        </w:rPr>
      </w:pPr>
    </w:p>
    <w:p w:rsidR="00B45116" w:rsidRDefault="00B45116" w:rsidP="008E6390">
      <w:pPr>
        <w:spacing w:after="200" w:line="360" w:lineRule="auto"/>
        <w:jc w:val="center"/>
        <w:rPr>
          <w:rFonts w:eastAsia="Calibri"/>
          <w:b/>
          <w:sz w:val="20"/>
          <w:szCs w:val="20"/>
        </w:rPr>
      </w:pPr>
    </w:p>
    <w:p w:rsidR="008E6390" w:rsidRPr="00955A4C" w:rsidRDefault="008E6390" w:rsidP="008E6390">
      <w:pPr>
        <w:spacing w:after="200" w:line="360" w:lineRule="auto"/>
        <w:jc w:val="center"/>
        <w:rPr>
          <w:rFonts w:eastAsia="Calibri"/>
          <w:b/>
          <w:sz w:val="20"/>
          <w:szCs w:val="20"/>
        </w:rPr>
      </w:pPr>
      <w:r w:rsidRPr="00955A4C">
        <w:rPr>
          <w:rFonts w:eastAsia="Calibri"/>
          <w:b/>
          <w:sz w:val="20"/>
          <w:szCs w:val="20"/>
        </w:rPr>
        <w:lastRenderedPageBreak/>
        <w:t>ÓRGANOS AUTÓNOMOS</w:t>
      </w:r>
      <w:r w:rsidRPr="00955A4C">
        <w:rPr>
          <w:rFonts w:eastAsia="Calibri"/>
          <w:sz w:val="20"/>
          <w:szCs w:val="20"/>
        </w:rPr>
        <w:t xml:space="preserve">.  </w:t>
      </w:r>
    </w:p>
    <w:p w:rsidR="008E6390" w:rsidRPr="00955A4C" w:rsidRDefault="008E6390" w:rsidP="008E6390">
      <w:pPr>
        <w:spacing w:after="200" w:line="360" w:lineRule="auto"/>
        <w:jc w:val="both"/>
        <w:rPr>
          <w:rFonts w:eastAsia="Calibri"/>
          <w:sz w:val="20"/>
          <w:szCs w:val="20"/>
        </w:rPr>
      </w:pPr>
      <w:r>
        <w:rPr>
          <w:rFonts w:eastAsia="Calibri"/>
          <w:sz w:val="20"/>
          <w:szCs w:val="20"/>
        </w:rPr>
        <w:t>Para los Órganos A</w:t>
      </w:r>
      <w:r w:rsidRPr="00955A4C">
        <w:rPr>
          <w:rFonts w:eastAsia="Calibri"/>
          <w:sz w:val="20"/>
          <w:szCs w:val="20"/>
        </w:rPr>
        <w:t xml:space="preserve">utónomos </w:t>
      </w:r>
      <w:r>
        <w:rPr>
          <w:rFonts w:eastAsia="Calibri"/>
          <w:sz w:val="20"/>
          <w:szCs w:val="20"/>
        </w:rPr>
        <w:t>se estima</w:t>
      </w:r>
      <w:r w:rsidRPr="00955A4C">
        <w:rPr>
          <w:rFonts w:eastAsia="Calibri"/>
          <w:sz w:val="20"/>
          <w:szCs w:val="20"/>
        </w:rPr>
        <w:t xml:space="preserve"> </w:t>
      </w:r>
      <w:r>
        <w:rPr>
          <w:rFonts w:eastAsia="Calibri"/>
          <w:sz w:val="20"/>
          <w:szCs w:val="20"/>
        </w:rPr>
        <w:t>un</w:t>
      </w:r>
      <w:r w:rsidRPr="00955A4C">
        <w:rPr>
          <w:rFonts w:eastAsia="Calibri"/>
          <w:sz w:val="20"/>
          <w:szCs w:val="20"/>
        </w:rPr>
        <w:t xml:space="preserve"> presupuesto </w:t>
      </w:r>
      <w:proofErr w:type="gramStart"/>
      <w:r w:rsidRPr="00955A4C">
        <w:rPr>
          <w:rFonts w:eastAsia="Calibri"/>
          <w:sz w:val="20"/>
          <w:szCs w:val="20"/>
        </w:rPr>
        <w:t xml:space="preserve">global </w:t>
      </w:r>
      <w:r>
        <w:rPr>
          <w:rFonts w:eastAsia="Calibri"/>
          <w:sz w:val="20"/>
          <w:szCs w:val="20"/>
        </w:rPr>
        <w:t xml:space="preserve"> de</w:t>
      </w:r>
      <w:proofErr w:type="gramEnd"/>
      <w:r>
        <w:rPr>
          <w:rFonts w:eastAsia="Calibri"/>
          <w:sz w:val="20"/>
          <w:szCs w:val="20"/>
        </w:rPr>
        <w:t xml:space="preserve"> </w:t>
      </w:r>
      <w:r w:rsidRPr="000B5CB6">
        <w:rPr>
          <w:rFonts w:eastAsia="Calibri"/>
          <w:sz w:val="20"/>
          <w:szCs w:val="20"/>
        </w:rPr>
        <w:t>$</w:t>
      </w:r>
      <w:r w:rsidRPr="000B5CB6">
        <w:rPr>
          <w:bCs/>
          <w:sz w:val="20"/>
          <w:szCs w:val="20"/>
          <w:lang w:eastAsia="es-MX"/>
        </w:rPr>
        <w:t>281,907,362.84</w:t>
      </w:r>
      <w:r w:rsidRPr="00955A4C">
        <w:rPr>
          <w:rFonts w:eastAsia="Calibri"/>
          <w:sz w:val="20"/>
          <w:szCs w:val="20"/>
        </w:rPr>
        <w:t>,</w:t>
      </w:r>
      <w:r>
        <w:rPr>
          <w:rFonts w:eastAsia="Calibri"/>
          <w:sz w:val="20"/>
          <w:szCs w:val="20"/>
        </w:rPr>
        <w:t xml:space="preserve"> </w:t>
      </w:r>
      <w:r w:rsidRPr="00955A4C">
        <w:rPr>
          <w:rFonts w:eastAsia="Calibri"/>
          <w:sz w:val="20"/>
          <w:szCs w:val="20"/>
        </w:rPr>
        <w:t>como a continuación se detalla:</w:t>
      </w:r>
    </w:p>
    <w:tbl>
      <w:tblPr>
        <w:tblW w:w="6015" w:type="dxa"/>
        <w:jc w:val="center"/>
        <w:tblCellMar>
          <w:left w:w="70" w:type="dxa"/>
          <w:right w:w="70" w:type="dxa"/>
        </w:tblCellMar>
        <w:tblLook w:val="04A0" w:firstRow="1" w:lastRow="0" w:firstColumn="1" w:lastColumn="0" w:noHBand="0" w:noVBand="1"/>
      </w:tblPr>
      <w:tblGrid>
        <w:gridCol w:w="4625"/>
        <w:gridCol w:w="1390"/>
      </w:tblGrid>
      <w:tr w:rsidR="008E6390" w:rsidRPr="00955A4C" w:rsidTr="00B45116">
        <w:trPr>
          <w:trHeight w:val="396"/>
          <w:jc w:val="center"/>
        </w:trPr>
        <w:tc>
          <w:tcPr>
            <w:tcW w:w="4625" w:type="dxa"/>
            <w:tcBorders>
              <w:top w:val="single" w:sz="8" w:space="0" w:color="A6A6A6"/>
              <w:left w:val="single" w:sz="8" w:space="0" w:color="A6A6A6"/>
              <w:bottom w:val="nil"/>
              <w:right w:val="single" w:sz="8" w:space="0" w:color="A6A6A6"/>
            </w:tcBorders>
            <w:shd w:val="clear" w:color="000000" w:fill="CCCCCC"/>
            <w:vAlign w:val="center"/>
            <w:hideMark/>
          </w:tcPr>
          <w:p w:rsidR="008E6390" w:rsidRPr="00955A4C" w:rsidRDefault="00B45116" w:rsidP="008E6390">
            <w:pPr>
              <w:jc w:val="center"/>
              <w:rPr>
                <w:b/>
                <w:bCs/>
                <w:sz w:val="20"/>
                <w:szCs w:val="20"/>
                <w:lang w:eastAsia="es-MX"/>
              </w:rPr>
            </w:pPr>
            <w:r w:rsidRPr="00955A4C">
              <w:rPr>
                <w:b/>
                <w:bCs/>
                <w:sz w:val="20"/>
                <w:szCs w:val="20"/>
                <w:lang w:eastAsia="es-MX"/>
              </w:rPr>
              <w:t>AUTÓNOMOS</w:t>
            </w:r>
          </w:p>
        </w:tc>
        <w:tc>
          <w:tcPr>
            <w:tcW w:w="1390" w:type="dxa"/>
            <w:tcBorders>
              <w:top w:val="single" w:sz="8" w:space="0" w:color="A6A6A6"/>
              <w:left w:val="nil"/>
              <w:bottom w:val="nil"/>
              <w:right w:val="single" w:sz="8" w:space="0" w:color="A6A6A6"/>
            </w:tcBorders>
            <w:shd w:val="clear" w:color="000000" w:fill="CCCCCC"/>
            <w:vAlign w:val="center"/>
            <w:hideMark/>
          </w:tcPr>
          <w:p w:rsidR="008E6390" w:rsidRPr="00955A4C" w:rsidRDefault="00B45116" w:rsidP="00B45116">
            <w:pPr>
              <w:jc w:val="center"/>
              <w:rPr>
                <w:b/>
                <w:bCs/>
                <w:sz w:val="20"/>
                <w:szCs w:val="20"/>
                <w:lang w:eastAsia="es-MX"/>
              </w:rPr>
            </w:pPr>
            <w:r w:rsidRPr="00955A4C">
              <w:rPr>
                <w:b/>
                <w:bCs/>
                <w:sz w:val="20"/>
                <w:szCs w:val="20"/>
                <w:lang w:eastAsia="es-MX"/>
              </w:rPr>
              <w:t xml:space="preserve">MONTO </w:t>
            </w:r>
          </w:p>
        </w:tc>
      </w:tr>
      <w:tr w:rsidR="008E6390" w:rsidRPr="00955A4C" w:rsidTr="008E6390">
        <w:trPr>
          <w:trHeight w:val="315"/>
          <w:jc w:val="center"/>
        </w:trPr>
        <w:tc>
          <w:tcPr>
            <w:tcW w:w="462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Universidad Autónoma de Tlaxcala</w:t>
            </w:r>
          </w:p>
        </w:tc>
        <w:tc>
          <w:tcPr>
            <w:tcW w:w="1390" w:type="dxa"/>
            <w:tcBorders>
              <w:top w:val="single" w:sz="8" w:space="0" w:color="A6A6A6"/>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107,453,569.86</w:t>
            </w:r>
          </w:p>
        </w:tc>
      </w:tr>
      <w:tr w:rsidR="008E6390" w:rsidRPr="00955A4C" w:rsidTr="008E6390">
        <w:trPr>
          <w:trHeight w:val="6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Comisión Estatal de Derechos Humanos</w:t>
            </w:r>
          </w:p>
        </w:tc>
        <w:tc>
          <w:tcPr>
            <w:tcW w:w="139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22,487,162.71</w:t>
            </w:r>
          </w:p>
        </w:tc>
      </w:tr>
      <w:tr w:rsidR="008E6390" w:rsidRPr="00955A4C" w:rsidTr="008E6390">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Instituto Tlaxcalteca de Elecciones</w:t>
            </w:r>
          </w:p>
        </w:tc>
        <w:tc>
          <w:tcPr>
            <w:tcW w:w="139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83,042,151.03</w:t>
            </w:r>
          </w:p>
        </w:tc>
      </w:tr>
      <w:tr w:rsidR="008E6390" w:rsidRPr="00955A4C" w:rsidTr="008E6390">
        <w:trPr>
          <w:trHeight w:val="521"/>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Instituto de Acceso a la Información Pública y Protección de Datos Personales para el Estado de Tlaxcala</w:t>
            </w:r>
          </w:p>
        </w:tc>
        <w:tc>
          <w:tcPr>
            <w:tcW w:w="139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15,352,090.08</w:t>
            </w:r>
          </w:p>
        </w:tc>
      </w:tr>
      <w:tr w:rsidR="008E6390" w:rsidRPr="00955A4C" w:rsidTr="008E6390">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Tribunal de Conciliación y Arbitraje</w:t>
            </w:r>
          </w:p>
        </w:tc>
        <w:tc>
          <w:tcPr>
            <w:tcW w:w="139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15,061,589.44</w:t>
            </w:r>
          </w:p>
        </w:tc>
      </w:tr>
      <w:tr w:rsidR="008E6390" w:rsidRPr="00955A4C" w:rsidTr="008E6390">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Tribunal Electoral de Tlaxcala</w:t>
            </w:r>
          </w:p>
        </w:tc>
        <w:tc>
          <w:tcPr>
            <w:tcW w:w="139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27,578,989.00</w:t>
            </w:r>
          </w:p>
        </w:tc>
      </w:tr>
      <w:tr w:rsidR="008E6390" w:rsidRPr="00955A4C" w:rsidTr="008E6390">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tcPr>
          <w:p w:rsidR="008E6390" w:rsidRPr="00955A4C" w:rsidRDefault="008E6390" w:rsidP="008E6390">
            <w:pPr>
              <w:jc w:val="both"/>
              <w:rPr>
                <w:sz w:val="20"/>
                <w:szCs w:val="20"/>
                <w:lang w:eastAsia="es-MX"/>
              </w:rPr>
            </w:pPr>
            <w:r w:rsidRPr="00F02440">
              <w:rPr>
                <w:sz w:val="20"/>
                <w:szCs w:val="20"/>
                <w:lang w:eastAsia="es-MX"/>
              </w:rPr>
              <w:t>Secretaria Ejecutiva del Sistema Anticorrupción del Estado de Tlaxcala</w:t>
            </w:r>
          </w:p>
        </w:tc>
        <w:tc>
          <w:tcPr>
            <w:tcW w:w="139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10,931,810.72</w:t>
            </w:r>
          </w:p>
        </w:tc>
      </w:tr>
      <w:tr w:rsidR="008E6390" w:rsidRPr="00955A4C" w:rsidTr="008E6390">
        <w:trPr>
          <w:trHeight w:val="330"/>
          <w:jc w:val="center"/>
        </w:trPr>
        <w:tc>
          <w:tcPr>
            <w:tcW w:w="4625" w:type="dxa"/>
            <w:tcBorders>
              <w:top w:val="nil"/>
              <w:left w:val="single" w:sz="8" w:space="0" w:color="A6A6A6"/>
              <w:bottom w:val="single" w:sz="8" w:space="0" w:color="A6A6A6"/>
              <w:right w:val="single" w:sz="8" w:space="0" w:color="A6A6A6"/>
            </w:tcBorders>
            <w:shd w:val="clear" w:color="000000" w:fill="CCCCCC"/>
            <w:vAlign w:val="center"/>
            <w:hideMark/>
          </w:tcPr>
          <w:p w:rsidR="008E6390" w:rsidRPr="00955A4C" w:rsidRDefault="008E6390" w:rsidP="008E6390">
            <w:pPr>
              <w:jc w:val="center"/>
              <w:rPr>
                <w:b/>
                <w:bCs/>
                <w:sz w:val="20"/>
                <w:szCs w:val="20"/>
                <w:lang w:eastAsia="es-MX"/>
              </w:rPr>
            </w:pPr>
            <w:r w:rsidRPr="00955A4C">
              <w:rPr>
                <w:b/>
                <w:bCs/>
                <w:sz w:val="20"/>
                <w:szCs w:val="20"/>
                <w:lang w:eastAsia="es-MX"/>
              </w:rPr>
              <w:t>TOTAL</w:t>
            </w:r>
          </w:p>
        </w:tc>
        <w:tc>
          <w:tcPr>
            <w:tcW w:w="1390" w:type="dxa"/>
            <w:tcBorders>
              <w:top w:val="nil"/>
              <w:left w:val="nil"/>
              <w:bottom w:val="single" w:sz="8" w:space="0" w:color="A6A6A6"/>
              <w:right w:val="single" w:sz="8" w:space="0" w:color="A6A6A6"/>
            </w:tcBorders>
            <w:shd w:val="clear" w:color="000000" w:fill="CCCCCC"/>
            <w:vAlign w:val="center"/>
          </w:tcPr>
          <w:p w:rsidR="008E6390" w:rsidRPr="00955A4C" w:rsidRDefault="008E6390" w:rsidP="008E6390">
            <w:pPr>
              <w:jc w:val="right"/>
              <w:rPr>
                <w:b/>
                <w:bCs/>
                <w:sz w:val="20"/>
                <w:szCs w:val="20"/>
                <w:lang w:eastAsia="es-MX"/>
              </w:rPr>
            </w:pPr>
            <w:r>
              <w:rPr>
                <w:b/>
                <w:bCs/>
                <w:sz w:val="20"/>
                <w:szCs w:val="20"/>
                <w:lang w:eastAsia="es-MX"/>
              </w:rPr>
              <w:t>281,907,362.84</w:t>
            </w:r>
          </w:p>
        </w:tc>
      </w:tr>
    </w:tbl>
    <w:p w:rsidR="008E6390" w:rsidRDefault="008E6390" w:rsidP="008E6390">
      <w:pPr>
        <w:spacing w:after="200" w:line="360" w:lineRule="auto"/>
        <w:jc w:val="center"/>
        <w:rPr>
          <w:b/>
          <w:sz w:val="20"/>
          <w:szCs w:val="20"/>
        </w:rPr>
      </w:pPr>
    </w:p>
    <w:p w:rsidR="008E6390" w:rsidRPr="0088316C" w:rsidRDefault="008E6390" w:rsidP="008E6390">
      <w:pPr>
        <w:spacing w:after="200" w:line="360" w:lineRule="auto"/>
        <w:jc w:val="center"/>
        <w:rPr>
          <w:b/>
          <w:sz w:val="20"/>
          <w:szCs w:val="20"/>
        </w:rPr>
      </w:pPr>
      <w:r>
        <w:rPr>
          <w:b/>
          <w:sz w:val="20"/>
          <w:szCs w:val="20"/>
        </w:rPr>
        <w:t>MUNICIPIOS</w:t>
      </w:r>
    </w:p>
    <w:p w:rsidR="008E6390" w:rsidRDefault="008E6390" w:rsidP="008E6390">
      <w:pPr>
        <w:spacing w:line="360" w:lineRule="auto"/>
        <w:jc w:val="both"/>
        <w:rPr>
          <w:sz w:val="20"/>
          <w:szCs w:val="20"/>
        </w:rPr>
      </w:pPr>
      <w:r>
        <w:rPr>
          <w:sz w:val="20"/>
          <w:szCs w:val="20"/>
        </w:rPr>
        <w:t>Para</w:t>
      </w:r>
      <w:r w:rsidRPr="0088316C">
        <w:rPr>
          <w:sz w:val="20"/>
          <w:szCs w:val="20"/>
        </w:rPr>
        <w:t xml:space="preserve"> Municipios </w:t>
      </w:r>
      <w:r>
        <w:rPr>
          <w:sz w:val="20"/>
          <w:szCs w:val="20"/>
        </w:rPr>
        <w:t>se prevé</w:t>
      </w:r>
      <w:r w:rsidRPr="0088316C">
        <w:rPr>
          <w:sz w:val="20"/>
          <w:szCs w:val="20"/>
        </w:rPr>
        <w:t xml:space="preserve"> un presupuesto global de </w:t>
      </w:r>
      <w:r>
        <w:rPr>
          <w:sz w:val="20"/>
          <w:szCs w:val="20"/>
        </w:rPr>
        <w:t>$</w:t>
      </w:r>
      <w:r w:rsidRPr="009F5AFF">
        <w:rPr>
          <w:bCs/>
          <w:sz w:val="20"/>
          <w:szCs w:val="20"/>
          <w:lang w:eastAsia="es-MX"/>
        </w:rPr>
        <w:t>3,747,651,920.90</w:t>
      </w:r>
      <w:r w:rsidRPr="0088316C">
        <w:rPr>
          <w:sz w:val="20"/>
          <w:szCs w:val="20"/>
        </w:rPr>
        <w:t xml:space="preserve">, integrados por </w:t>
      </w:r>
      <w:r>
        <w:rPr>
          <w:sz w:val="20"/>
          <w:szCs w:val="20"/>
        </w:rPr>
        <w:t>$</w:t>
      </w:r>
      <w:r>
        <w:rPr>
          <w:sz w:val="20"/>
          <w:szCs w:val="20"/>
          <w:lang w:eastAsia="es-MX"/>
        </w:rPr>
        <w:t xml:space="preserve">2,059,654,544.40 </w:t>
      </w:r>
      <w:r>
        <w:rPr>
          <w:sz w:val="20"/>
          <w:szCs w:val="20"/>
        </w:rPr>
        <w:t>de participaciones, $</w:t>
      </w:r>
      <w:r>
        <w:rPr>
          <w:sz w:val="20"/>
          <w:szCs w:val="20"/>
          <w:lang w:eastAsia="es-MX"/>
        </w:rPr>
        <w:t xml:space="preserve">55,335,822.50 </w:t>
      </w:r>
      <w:r w:rsidRPr="0088316C">
        <w:rPr>
          <w:sz w:val="20"/>
          <w:szCs w:val="20"/>
        </w:rPr>
        <w:t xml:space="preserve">de </w:t>
      </w:r>
      <w:r w:rsidR="00AB74D8">
        <w:rPr>
          <w:sz w:val="20"/>
          <w:szCs w:val="20"/>
        </w:rPr>
        <w:t>Recursos Fiscales,  y</w:t>
      </w:r>
      <w:r w:rsidRPr="0088316C">
        <w:rPr>
          <w:sz w:val="20"/>
          <w:szCs w:val="20"/>
        </w:rPr>
        <w:t xml:space="preserve"> </w:t>
      </w:r>
      <w:r>
        <w:rPr>
          <w:sz w:val="20"/>
          <w:szCs w:val="20"/>
        </w:rPr>
        <w:t>$</w:t>
      </w:r>
      <w:r>
        <w:rPr>
          <w:sz w:val="20"/>
          <w:szCs w:val="20"/>
          <w:lang w:eastAsia="es-MX"/>
        </w:rPr>
        <w:t>1,632,661,554.00</w:t>
      </w:r>
      <w:r w:rsidRPr="0088316C">
        <w:rPr>
          <w:sz w:val="20"/>
          <w:szCs w:val="20"/>
        </w:rPr>
        <w:t xml:space="preserve"> de </w:t>
      </w:r>
      <w:r>
        <w:rPr>
          <w:sz w:val="20"/>
          <w:szCs w:val="20"/>
        </w:rPr>
        <w:t>A</w:t>
      </w:r>
      <w:r w:rsidRPr="0088316C">
        <w:rPr>
          <w:sz w:val="20"/>
          <w:szCs w:val="20"/>
        </w:rPr>
        <w:t xml:space="preserve">portaciones </w:t>
      </w:r>
      <w:r>
        <w:rPr>
          <w:sz w:val="20"/>
          <w:szCs w:val="20"/>
        </w:rPr>
        <w:t>F</w:t>
      </w:r>
      <w:r w:rsidRPr="0088316C">
        <w:rPr>
          <w:sz w:val="20"/>
          <w:szCs w:val="20"/>
        </w:rPr>
        <w:t>ederales.</w:t>
      </w:r>
    </w:p>
    <w:p w:rsidR="008E6390" w:rsidRDefault="008E6390" w:rsidP="008E6390">
      <w:pPr>
        <w:jc w:val="both"/>
        <w:rPr>
          <w:sz w:val="20"/>
          <w:szCs w:val="20"/>
        </w:rPr>
      </w:pPr>
    </w:p>
    <w:p w:rsidR="008E6390" w:rsidRPr="0088316C" w:rsidRDefault="008E6390" w:rsidP="008E6390">
      <w:pPr>
        <w:spacing w:after="200" w:line="360" w:lineRule="auto"/>
        <w:jc w:val="both"/>
        <w:rPr>
          <w:b/>
          <w:sz w:val="20"/>
          <w:szCs w:val="20"/>
        </w:rPr>
      </w:pPr>
      <w:r w:rsidRPr="0088316C">
        <w:rPr>
          <w:sz w:val="20"/>
          <w:szCs w:val="20"/>
        </w:rPr>
        <w:t>El incremento de participaciones estará sujeto al cumplimiento del pronóstico de recaudación de la Secretaría de Hacienda y Crédito Público.</w:t>
      </w:r>
    </w:p>
    <w:p w:rsidR="00B45116" w:rsidRDefault="00B45116" w:rsidP="008E6390">
      <w:pPr>
        <w:spacing w:after="200" w:line="360" w:lineRule="auto"/>
        <w:contextualSpacing/>
        <w:jc w:val="center"/>
        <w:rPr>
          <w:rFonts w:eastAsia="Calibri"/>
          <w:b/>
          <w:sz w:val="20"/>
          <w:szCs w:val="20"/>
        </w:rPr>
      </w:pPr>
    </w:p>
    <w:p w:rsidR="00B45116" w:rsidRDefault="00B45116" w:rsidP="008E6390">
      <w:pPr>
        <w:spacing w:after="200" w:line="360" w:lineRule="auto"/>
        <w:contextualSpacing/>
        <w:jc w:val="center"/>
        <w:rPr>
          <w:rFonts w:eastAsia="Calibri"/>
          <w:b/>
          <w:sz w:val="20"/>
          <w:szCs w:val="20"/>
        </w:rPr>
      </w:pPr>
    </w:p>
    <w:p w:rsidR="00B45116" w:rsidRDefault="00B45116" w:rsidP="008E6390">
      <w:pPr>
        <w:spacing w:after="200" w:line="360" w:lineRule="auto"/>
        <w:contextualSpacing/>
        <w:jc w:val="center"/>
        <w:rPr>
          <w:rFonts w:eastAsia="Calibri"/>
          <w:b/>
          <w:sz w:val="20"/>
          <w:szCs w:val="20"/>
        </w:rPr>
      </w:pPr>
    </w:p>
    <w:p w:rsidR="008E6390" w:rsidRPr="00955A4C" w:rsidRDefault="008E6390" w:rsidP="008E6390">
      <w:pPr>
        <w:spacing w:after="200" w:line="360" w:lineRule="auto"/>
        <w:contextualSpacing/>
        <w:jc w:val="center"/>
        <w:rPr>
          <w:rFonts w:eastAsia="Calibri"/>
          <w:b/>
          <w:sz w:val="20"/>
          <w:szCs w:val="20"/>
        </w:rPr>
      </w:pPr>
      <w:r w:rsidRPr="00955A4C">
        <w:rPr>
          <w:rFonts w:eastAsia="Calibri"/>
          <w:b/>
          <w:sz w:val="20"/>
          <w:szCs w:val="20"/>
        </w:rPr>
        <w:lastRenderedPageBreak/>
        <w:t>RECURSOS FEDERALES A MUNICIPIOS</w:t>
      </w:r>
    </w:p>
    <w:p w:rsidR="008E6390" w:rsidRPr="00955A4C" w:rsidRDefault="008E6390" w:rsidP="008E6390">
      <w:pPr>
        <w:spacing w:after="200" w:line="360" w:lineRule="auto"/>
        <w:jc w:val="center"/>
        <w:rPr>
          <w:rFonts w:eastAsia="Calibri"/>
          <w:sz w:val="20"/>
          <w:szCs w:val="20"/>
        </w:rPr>
      </w:pPr>
    </w:p>
    <w:tbl>
      <w:tblPr>
        <w:tblW w:w="4151" w:type="dxa"/>
        <w:jc w:val="center"/>
        <w:tblCellMar>
          <w:left w:w="70" w:type="dxa"/>
          <w:right w:w="70" w:type="dxa"/>
        </w:tblCellMar>
        <w:tblLook w:val="04A0" w:firstRow="1" w:lastRow="0" w:firstColumn="1" w:lastColumn="0" w:noHBand="0" w:noVBand="1"/>
      </w:tblPr>
      <w:tblGrid>
        <w:gridCol w:w="1385"/>
        <w:gridCol w:w="1540"/>
        <w:gridCol w:w="1540"/>
        <w:gridCol w:w="1540"/>
      </w:tblGrid>
      <w:tr w:rsidR="008E6390" w:rsidRPr="00955A4C" w:rsidTr="008E6390">
        <w:trPr>
          <w:trHeight w:val="330"/>
          <w:jc w:val="center"/>
        </w:trPr>
        <w:tc>
          <w:tcPr>
            <w:tcW w:w="1631" w:type="dxa"/>
            <w:tcBorders>
              <w:top w:val="single" w:sz="8" w:space="0" w:color="A6A6A6"/>
              <w:left w:val="single" w:sz="8" w:space="0" w:color="A6A6A6"/>
              <w:bottom w:val="nil"/>
              <w:right w:val="single" w:sz="8" w:space="0" w:color="A6A6A6"/>
            </w:tcBorders>
            <w:shd w:val="clear" w:color="000000" w:fill="CCCCCC"/>
            <w:vAlign w:val="center"/>
            <w:hideMark/>
          </w:tcPr>
          <w:p w:rsidR="008E6390" w:rsidRPr="00955A4C" w:rsidRDefault="00B45116" w:rsidP="008E6390">
            <w:pPr>
              <w:jc w:val="center"/>
              <w:rPr>
                <w:b/>
                <w:bCs/>
                <w:sz w:val="20"/>
                <w:szCs w:val="20"/>
                <w:lang w:eastAsia="es-MX"/>
              </w:rPr>
            </w:pPr>
            <w:r w:rsidRPr="00955A4C">
              <w:rPr>
                <w:b/>
                <w:bCs/>
                <w:sz w:val="20"/>
                <w:szCs w:val="20"/>
                <w:lang w:eastAsia="es-MX"/>
              </w:rPr>
              <w:t>MUNICIPIOS</w:t>
            </w:r>
          </w:p>
        </w:tc>
        <w:tc>
          <w:tcPr>
            <w:tcW w:w="840" w:type="dxa"/>
            <w:tcBorders>
              <w:top w:val="single" w:sz="8" w:space="0" w:color="A6A6A6"/>
              <w:left w:val="nil"/>
              <w:bottom w:val="nil"/>
              <w:right w:val="single" w:sz="8" w:space="0" w:color="A6A6A6"/>
            </w:tcBorders>
            <w:shd w:val="clear" w:color="000000" w:fill="CCCCCC"/>
            <w:vAlign w:val="center"/>
            <w:hideMark/>
          </w:tcPr>
          <w:p w:rsidR="008E6390" w:rsidRPr="00955A4C" w:rsidRDefault="00B45116" w:rsidP="008E6390">
            <w:pPr>
              <w:jc w:val="center"/>
              <w:rPr>
                <w:b/>
                <w:bCs/>
                <w:sz w:val="20"/>
                <w:szCs w:val="20"/>
                <w:lang w:eastAsia="es-MX"/>
              </w:rPr>
            </w:pPr>
            <w:r w:rsidRPr="00955A4C">
              <w:rPr>
                <w:b/>
                <w:bCs/>
                <w:sz w:val="20"/>
                <w:szCs w:val="20"/>
                <w:lang w:eastAsia="es-MX"/>
              </w:rPr>
              <w:t>2018</w:t>
            </w:r>
          </w:p>
        </w:tc>
        <w:tc>
          <w:tcPr>
            <w:tcW w:w="840" w:type="dxa"/>
            <w:tcBorders>
              <w:top w:val="single" w:sz="8" w:space="0" w:color="A6A6A6"/>
              <w:left w:val="nil"/>
              <w:bottom w:val="nil"/>
              <w:right w:val="single" w:sz="8" w:space="0" w:color="A6A6A6"/>
            </w:tcBorders>
            <w:shd w:val="clear" w:color="000000" w:fill="CCCCCC"/>
            <w:vAlign w:val="center"/>
            <w:hideMark/>
          </w:tcPr>
          <w:p w:rsidR="008E6390" w:rsidRPr="00955A4C" w:rsidRDefault="00B45116" w:rsidP="008E6390">
            <w:pPr>
              <w:jc w:val="center"/>
              <w:rPr>
                <w:b/>
                <w:bCs/>
                <w:sz w:val="20"/>
                <w:szCs w:val="20"/>
                <w:lang w:eastAsia="es-MX"/>
              </w:rPr>
            </w:pPr>
            <w:r w:rsidRPr="00955A4C">
              <w:rPr>
                <w:b/>
                <w:bCs/>
                <w:sz w:val="20"/>
                <w:szCs w:val="20"/>
                <w:lang w:eastAsia="es-MX"/>
              </w:rPr>
              <w:t>2019</w:t>
            </w:r>
          </w:p>
        </w:tc>
        <w:tc>
          <w:tcPr>
            <w:tcW w:w="840" w:type="dxa"/>
            <w:tcBorders>
              <w:top w:val="single" w:sz="8" w:space="0" w:color="A6A6A6"/>
              <w:left w:val="nil"/>
              <w:bottom w:val="nil"/>
              <w:right w:val="single" w:sz="8" w:space="0" w:color="A6A6A6"/>
            </w:tcBorders>
            <w:shd w:val="clear" w:color="000000" w:fill="CCCCCC"/>
            <w:vAlign w:val="center"/>
            <w:hideMark/>
          </w:tcPr>
          <w:p w:rsidR="008E6390" w:rsidRPr="00955A4C" w:rsidRDefault="00B45116" w:rsidP="008E6390">
            <w:pPr>
              <w:jc w:val="center"/>
              <w:rPr>
                <w:b/>
                <w:bCs/>
                <w:sz w:val="20"/>
                <w:szCs w:val="20"/>
                <w:lang w:eastAsia="es-MX"/>
              </w:rPr>
            </w:pPr>
            <w:r w:rsidRPr="00955A4C">
              <w:rPr>
                <w:b/>
                <w:bCs/>
                <w:sz w:val="20"/>
                <w:szCs w:val="20"/>
                <w:lang w:eastAsia="es-MX"/>
              </w:rPr>
              <w:t>2020</w:t>
            </w:r>
          </w:p>
        </w:tc>
      </w:tr>
      <w:tr w:rsidR="008E6390" w:rsidRPr="00955A4C" w:rsidTr="008E6390">
        <w:trPr>
          <w:trHeight w:val="315"/>
          <w:jc w:val="center"/>
        </w:trPr>
        <w:tc>
          <w:tcPr>
            <w:tcW w:w="1631"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Ingresos</w:t>
            </w:r>
          </w:p>
        </w:tc>
        <w:tc>
          <w:tcPr>
            <w:tcW w:w="840" w:type="dxa"/>
            <w:tcBorders>
              <w:top w:val="single" w:sz="8" w:space="0" w:color="A6A6A6"/>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35,626,747.95</w:t>
            </w:r>
          </w:p>
        </w:tc>
        <w:tc>
          <w:tcPr>
            <w:tcW w:w="840" w:type="dxa"/>
            <w:tcBorders>
              <w:top w:val="single" w:sz="8" w:space="0" w:color="A6A6A6"/>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37,437,735.00</w:t>
            </w:r>
          </w:p>
        </w:tc>
        <w:tc>
          <w:tcPr>
            <w:tcW w:w="840" w:type="dxa"/>
            <w:tcBorders>
              <w:top w:val="single" w:sz="8" w:space="0" w:color="A6A6A6"/>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55,335,822.50</w:t>
            </w:r>
          </w:p>
        </w:tc>
      </w:tr>
      <w:tr w:rsidR="008E6390" w:rsidRPr="00955A4C" w:rsidTr="008E6390">
        <w:trPr>
          <w:trHeight w:val="315"/>
          <w:jc w:val="center"/>
        </w:trPr>
        <w:tc>
          <w:tcPr>
            <w:tcW w:w="1631"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 xml:space="preserve">Participaciones e Incentivos </w:t>
            </w:r>
          </w:p>
        </w:tc>
        <w:tc>
          <w:tcPr>
            <w:tcW w:w="8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1,811,102,813.49</w:t>
            </w:r>
          </w:p>
        </w:tc>
        <w:tc>
          <w:tcPr>
            <w:tcW w:w="8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1,721,294,011.00</w:t>
            </w:r>
          </w:p>
        </w:tc>
        <w:tc>
          <w:tcPr>
            <w:tcW w:w="8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2,059,654,544.40</w:t>
            </w:r>
          </w:p>
        </w:tc>
      </w:tr>
      <w:tr w:rsidR="008E6390" w:rsidRPr="00955A4C" w:rsidTr="008E6390">
        <w:trPr>
          <w:trHeight w:val="615"/>
          <w:jc w:val="center"/>
        </w:trPr>
        <w:tc>
          <w:tcPr>
            <w:tcW w:w="1631"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Aportaciones Federales (Ramo 33)</w:t>
            </w:r>
          </w:p>
        </w:tc>
        <w:tc>
          <w:tcPr>
            <w:tcW w:w="8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1,382,479,478.00</w:t>
            </w:r>
          </w:p>
        </w:tc>
        <w:tc>
          <w:tcPr>
            <w:tcW w:w="8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1,580,264,016.00</w:t>
            </w:r>
          </w:p>
        </w:tc>
        <w:tc>
          <w:tcPr>
            <w:tcW w:w="8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1,632,661,554.00</w:t>
            </w:r>
          </w:p>
        </w:tc>
      </w:tr>
      <w:tr w:rsidR="008E6390" w:rsidRPr="00955A4C" w:rsidTr="008E6390">
        <w:trPr>
          <w:trHeight w:val="330"/>
          <w:jc w:val="center"/>
        </w:trPr>
        <w:tc>
          <w:tcPr>
            <w:tcW w:w="1631" w:type="dxa"/>
            <w:tcBorders>
              <w:top w:val="nil"/>
              <w:left w:val="single" w:sz="8" w:space="0" w:color="A6A6A6"/>
              <w:bottom w:val="single" w:sz="8" w:space="0" w:color="A6A6A6"/>
              <w:right w:val="single" w:sz="8" w:space="0" w:color="A6A6A6"/>
            </w:tcBorders>
            <w:shd w:val="clear" w:color="000000" w:fill="CCCCCC"/>
            <w:vAlign w:val="center"/>
            <w:hideMark/>
          </w:tcPr>
          <w:p w:rsidR="008E6390" w:rsidRPr="00955A4C" w:rsidRDefault="008E6390" w:rsidP="008E6390">
            <w:pPr>
              <w:jc w:val="center"/>
              <w:rPr>
                <w:b/>
                <w:bCs/>
                <w:sz w:val="20"/>
                <w:szCs w:val="20"/>
                <w:lang w:eastAsia="es-MX"/>
              </w:rPr>
            </w:pPr>
            <w:r w:rsidRPr="00955A4C">
              <w:rPr>
                <w:b/>
                <w:bCs/>
                <w:sz w:val="20"/>
                <w:szCs w:val="20"/>
                <w:lang w:eastAsia="es-MX"/>
              </w:rPr>
              <w:t>TOTAL</w:t>
            </w:r>
          </w:p>
        </w:tc>
        <w:tc>
          <w:tcPr>
            <w:tcW w:w="840" w:type="dxa"/>
            <w:tcBorders>
              <w:top w:val="nil"/>
              <w:left w:val="nil"/>
              <w:bottom w:val="single" w:sz="8" w:space="0" w:color="A6A6A6"/>
              <w:right w:val="single" w:sz="8" w:space="0" w:color="A6A6A6"/>
            </w:tcBorders>
            <w:shd w:val="clear" w:color="000000" w:fill="CCCCCC"/>
            <w:vAlign w:val="center"/>
          </w:tcPr>
          <w:p w:rsidR="008E6390" w:rsidRPr="00955A4C" w:rsidRDefault="008E6390" w:rsidP="008E6390">
            <w:pPr>
              <w:jc w:val="right"/>
              <w:rPr>
                <w:b/>
                <w:bCs/>
                <w:sz w:val="20"/>
                <w:szCs w:val="20"/>
                <w:lang w:eastAsia="es-MX"/>
              </w:rPr>
            </w:pPr>
            <w:r>
              <w:rPr>
                <w:b/>
                <w:bCs/>
                <w:sz w:val="20"/>
                <w:szCs w:val="20"/>
                <w:lang w:eastAsia="es-MX"/>
              </w:rPr>
              <w:t>3,229,209,039.44</w:t>
            </w:r>
          </w:p>
        </w:tc>
        <w:tc>
          <w:tcPr>
            <w:tcW w:w="840" w:type="dxa"/>
            <w:tcBorders>
              <w:top w:val="nil"/>
              <w:left w:val="nil"/>
              <w:bottom w:val="single" w:sz="8" w:space="0" w:color="A6A6A6"/>
              <w:right w:val="single" w:sz="8" w:space="0" w:color="A6A6A6"/>
            </w:tcBorders>
            <w:shd w:val="clear" w:color="000000" w:fill="CCCCCC"/>
            <w:vAlign w:val="center"/>
          </w:tcPr>
          <w:p w:rsidR="008E6390" w:rsidRPr="00955A4C" w:rsidRDefault="008E6390" w:rsidP="008E6390">
            <w:pPr>
              <w:jc w:val="right"/>
              <w:rPr>
                <w:b/>
                <w:bCs/>
                <w:sz w:val="20"/>
                <w:szCs w:val="20"/>
                <w:lang w:eastAsia="es-MX"/>
              </w:rPr>
            </w:pPr>
            <w:r>
              <w:rPr>
                <w:b/>
                <w:bCs/>
                <w:sz w:val="20"/>
                <w:szCs w:val="20"/>
                <w:lang w:eastAsia="es-MX"/>
              </w:rPr>
              <w:t>3,338,995,762.00</w:t>
            </w:r>
          </w:p>
        </w:tc>
        <w:tc>
          <w:tcPr>
            <w:tcW w:w="840" w:type="dxa"/>
            <w:tcBorders>
              <w:top w:val="nil"/>
              <w:left w:val="nil"/>
              <w:bottom w:val="single" w:sz="8" w:space="0" w:color="A6A6A6"/>
              <w:right w:val="single" w:sz="8" w:space="0" w:color="A6A6A6"/>
            </w:tcBorders>
            <w:shd w:val="clear" w:color="000000" w:fill="CCCCCC"/>
            <w:vAlign w:val="center"/>
          </w:tcPr>
          <w:p w:rsidR="008E6390" w:rsidRPr="00955A4C" w:rsidRDefault="008E6390" w:rsidP="008E6390">
            <w:pPr>
              <w:jc w:val="right"/>
              <w:rPr>
                <w:b/>
                <w:bCs/>
                <w:sz w:val="20"/>
                <w:szCs w:val="20"/>
                <w:lang w:eastAsia="es-MX"/>
              </w:rPr>
            </w:pPr>
            <w:r>
              <w:rPr>
                <w:b/>
                <w:bCs/>
                <w:sz w:val="20"/>
                <w:szCs w:val="20"/>
                <w:lang w:eastAsia="es-MX"/>
              </w:rPr>
              <w:t>3,747,651,920.90</w:t>
            </w:r>
          </w:p>
        </w:tc>
      </w:tr>
    </w:tbl>
    <w:p w:rsidR="008E6390" w:rsidRPr="00955A4C" w:rsidRDefault="008E6390" w:rsidP="008E6390">
      <w:pPr>
        <w:spacing w:after="200" w:line="360" w:lineRule="auto"/>
        <w:jc w:val="both"/>
        <w:rPr>
          <w:rFonts w:eastAsia="Calibri"/>
          <w:sz w:val="20"/>
          <w:szCs w:val="20"/>
        </w:rPr>
      </w:pPr>
    </w:p>
    <w:p w:rsidR="008E6390" w:rsidRPr="00955A4C" w:rsidRDefault="008E6390" w:rsidP="008E6390">
      <w:pPr>
        <w:spacing w:after="200" w:line="360" w:lineRule="auto"/>
        <w:jc w:val="both"/>
        <w:rPr>
          <w:rFonts w:eastAsia="Calibri"/>
          <w:sz w:val="20"/>
          <w:szCs w:val="20"/>
        </w:rPr>
      </w:pPr>
      <w:r w:rsidRPr="00955A4C">
        <w:rPr>
          <w:rFonts w:eastAsia="Calibri"/>
          <w:sz w:val="20"/>
          <w:szCs w:val="20"/>
        </w:rPr>
        <w:t xml:space="preserve">Por lo que se refiere a recursos derivados de </w:t>
      </w:r>
      <w:r w:rsidRPr="00955A4C">
        <w:rPr>
          <w:rFonts w:eastAsia="Calibri"/>
          <w:b/>
          <w:sz w:val="20"/>
          <w:szCs w:val="20"/>
        </w:rPr>
        <w:t>Aportaciones Federales</w:t>
      </w:r>
      <w:r w:rsidRPr="00955A4C">
        <w:rPr>
          <w:rFonts w:eastAsia="Calibri"/>
          <w:sz w:val="20"/>
          <w:szCs w:val="20"/>
        </w:rPr>
        <w:t xml:space="preserve"> previstas en el Ramo 33 del Presupuesto de Egresos de la Federación, los Municipios </w:t>
      </w:r>
      <w:r>
        <w:rPr>
          <w:rFonts w:eastAsia="Calibri"/>
          <w:sz w:val="20"/>
          <w:szCs w:val="20"/>
        </w:rPr>
        <w:t>estiman</w:t>
      </w:r>
      <w:r w:rsidRPr="00955A4C">
        <w:rPr>
          <w:rFonts w:eastAsia="Calibri"/>
          <w:sz w:val="20"/>
          <w:szCs w:val="20"/>
        </w:rPr>
        <w:t xml:space="preserve"> un incremento equivalente al 3.3%, </w:t>
      </w:r>
      <w:proofErr w:type="gramStart"/>
      <w:r w:rsidRPr="00955A4C">
        <w:rPr>
          <w:rFonts w:eastAsia="Calibri"/>
          <w:sz w:val="20"/>
          <w:szCs w:val="20"/>
        </w:rPr>
        <w:t>correspondiente  a</w:t>
      </w:r>
      <w:proofErr w:type="gramEnd"/>
      <w:r w:rsidRPr="00955A4C">
        <w:rPr>
          <w:rFonts w:eastAsia="Calibri"/>
          <w:sz w:val="20"/>
          <w:szCs w:val="20"/>
        </w:rPr>
        <w:t xml:space="preserve">  los recursos de los Fondos de Aportaciones para el Fortalecimiento de los Municipios y de las Demarcaciones Territoriales del Distrito Federal (FORTAMUN) y del Fondo para Infraestructura Social Municipal y de las Demarcaciones Territoriales del Distrito Federal (FISM).</w:t>
      </w:r>
    </w:p>
    <w:p w:rsidR="008E6390" w:rsidRDefault="008E6390" w:rsidP="008E6390">
      <w:pPr>
        <w:spacing w:after="200" w:line="360" w:lineRule="auto"/>
        <w:jc w:val="both"/>
        <w:rPr>
          <w:rFonts w:eastAsia="Calibri"/>
          <w:b/>
          <w:sz w:val="20"/>
          <w:szCs w:val="20"/>
        </w:rPr>
      </w:pPr>
    </w:p>
    <w:p w:rsidR="008E6390" w:rsidRPr="00955A4C" w:rsidRDefault="008E6390" w:rsidP="008E6390">
      <w:pPr>
        <w:spacing w:after="200" w:line="360" w:lineRule="auto"/>
        <w:jc w:val="center"/>
        <w:rPr>
          <w:rFonts w:eastAsia="Calibri"/>
          <w:b/>
          <w:sz w:val="20"/>
          <w:szCs w:val="20"/>
        </w:rPr>
      </w:pPr>
      <w:r w:rsidRPr="00955A4C">
        <w:rPr>
          <w:rFonts w:eastAsia="Calibri"/>
          <w:b/>
          <w:sz w:val="20"/>
          <w:szCs w:val="20"/>
        </w:rPr>
        <w:t>PODER EJECUTIVO</w:t>
      </w:r>
    </w:p>
    <w:p w:rsidR="008E6390" w:rsidRPr="00955A4C" w:rsidRDefault="008E6390" w:rsidP="008E6390">
      <w:pPr>
        <w:spacing w:after="200" w:line="360" w:lineRule="auto"/>
        <w:jc w:val="center"/>
        <w:rPr>
          <w:rFonts w:eastAsia="Calibri"/>
          <w:b/>
          <w:sz w:val="20"/>
          <w:szCs w:val="20"/>
        </w:rPr>
      </w:pPr>
      <w:r w:rsidRPr="00955A4C">
        <w:rPr>
          <w:rFonts w:eastAsia="Calibri"/>
          <w:b/>
          <w:sz w:val="20"/>
          <w:szCs w:val="20"/>
        </w:rPr>
        <w:t>CLASIFICACIÓN ADMINISTRATIVA</w:t>
      </w:r>
    </w:p>
    <w:p w:rsidR="008E6390" w:rsidRPr="00955A4C" w:rsidRDefault="008E6390" w:rsidP="008E6390">
      <w:pPr>
        <w:spacing w:after="200" w:line="360" w:lineRule="auto"/>
        <w:jc w:val="both"/>
        <w:rPr>
          <w:rFonts w:eastAsia="Calibri"/>
          <w:sz w:val="20"/>
          <w:szCs w:val="20"/>
        </w:rPr>
      </w:pPr>
      <w:r w:rsidRPr="00955A4C">
        <w:rPr>
          <w:rFonts w:eastAsia="Calibri"/>
          <w:sz w:val="20"/>
          <w:szCs w:val="20"/>
        </w:rPr>
        <w:t>En la clasificación administrativa del presupuesto, presenta una proporción bajo el siguiente detalle; con el 29.2% del presupuesto para la Administración Pública Centralizada, el 1.6%</w:t>
      </w:r>
      <w:r w:rsidRPr="00955A4C">
        <w:rPr>
          <w:rFonts w:eastAsia="Calibri"/>
          <w:color w:val="FF0000"/>
          <w:sz w:val="20"/>
          <w:szCs w:val="20"/>
        </w:rPr>
        <w:t xml:space="preserve"> </w:t>
      </w:r>
      <w:r w:rsidRPr="00955A4C">
        <w:rPr>
          <w:rFonts w:eastAsia="Calibri"/>
          <w:sz w:val="20"/>
          <w:szCs w:val="20"/>
        </w:rPr>
        <w:t>para la Administración Desconcentrada, el 46%</w:t>
      </w:r>
      <w:r w:rsidRPr="00955A4C">
        <w:rPr>
          <w:rFonts w:eastAsia="Calibri"/>
          <w:color w:val="FF0000"/>
          <w:sz w:val="20"/>
          <w:szCs w:val="20"/>
        </w:rPr>
        <w:t xml:space="preserve"> </w:t>
      </w:r>
      <w:r w:rsidRPr="00955A4C">
        <w:rPr>
          <w:rFonts w:eastAsia="Calibri"/>
          <w:sz w:val="20"/>
          <w:szCs w:val="20"/>
        </w:rPr>
        <w:t>para la Administración Pública Descentralizada, el 18%</w:t>
      </w:r>
      <w:r w:rsidRPr="00955A4C">
        <w:rPr>
          <w:rFonts w:eastAsia="Calibri"/>
          <w:color w:val="FF0000"/>
          <w:sz w:val="20"/>
          <w:szCs w:val="20"/>
        </w:rPr>
        <w:t xml:space="preserve"> </w:t>
      </w:r>
      <w:r w:rsidRPr="00955A4C">
        <w:rPr>
          <w:rFonts w:eastAsia="Calibri"/>
          <w:sz w:val="20"/>
          <w:szCs w:val="20"/>
        </w:rPr>
        <w:t>para Municipios, y</w:t>
      </w:r>
      <w:r w:rsidRPr="00955A4C">
        <w:rPr>
          <w:rFonts w:eastAsia="Calibri"/>
          <w:color w:val="FF0000"/>
          <w:sz w:val="20"/>
          <w:szCs w:val="20"/>
        </w:rPr>
        <w:t xml:space="preserve"> </w:t>
      </w:r>
      <w:r w:rsidRPr="00955A4C">
        <w:rPr>
          <w:rFonts w:eastAsia="Calibri"/>
          <w:sz w:val="20"/>
          <w:szCs w:val="20"/>
        </w:rPr>
        <w:t xml:space="preserve">5.2% para Poderes y Órganos Autónomos, como sigue: </w:t>
      </w:r>
    </w:p>
    <w:p w:rsidR="00E522C0" w:rsidRDefault="00E522C0" w:rsidP="008E6390">
      <w:pPr>
        <w:spacing w:after="200" w:line="360" w:lineRule="auto"/>
        <w:contextualSpacing/>
        <w:jc w:val="center"/>
        <w:rPr>
          <w:rFonts w:eastAsia="Calibri"/>
          <w:b/>
          <w:sz w:val="20"/>
          <w:szCs w:val="20"/>
        </w:rPr>
      </w:pPr>
    </w:p>
    <w:p w:rsidR="00E522C0" w:rsidRDefault="00E522C0" w:rsidP="008E6390">
      <w:pPr>
        <w:spacing w:after="200" w:line="360" w:lineRule="auto"/>
        <w:contextualSpacing/>
        <w:jc w:val="center"/>
        <w:rPr>
          <w:rFonts w:eastAsia="Calibri"/>
          <w:b/>
          <w:sz w:val="20"/>
          <w:szCs w:val="20"/>
        </w:rPr>
      </w:pPr>
    </w:p>
    <w:p w:rsidR="008E6390" w:rsidRPr="00955A4C" w:rsidRDefault="008E6390" w:rsidP="008E6390">
      <w:pPr>
        <w:spacing w:after="200" w:line="360" w:lineRule="auto"/>
        <w:contextualSpacing/>
        <w:jc w:val="center"/>
        <w:rPr>
          <w:rFonts w:eastAsia="Calibri"/>
          <w:b/>
          <w:sz w:val="20"/>
          <w:szCs w:val="20"/>
        </w:rPr>
      </w:pPr>
      <w:r w:rsidRPr="00955A4C">
        <w:rPr>
          <w:rFonts w:eastAsia="Calibri"/>
          <w:b/>
          <w:sz w:val="20"/>
          <w:szCs w:val="20"/>
        </w:rPr>
        <w:lastRenderedPageBreak/>
        <w:t>Clasificación Administrativa</w:t>
      </w:r>
    </w:p>
    <w:tbl>
      <w:tblPr>
        <w:tblW w:w="5158" w:type="dxa"/>
        <w:jc w:val="center"/>
        <w:tblCellMar>
          <w:left w:w="70" w:type="dxa"/>
          <w:right w:w="70" w:type="dxa"/>
        </w:tblCellMar>
        <w:tblLook w:val="04A0" w:firstRow="1" w:lastRow="0" w:firstColumn="1" w:lastColumn="0" w:noHBand="0" w:noVBand="1"/>
      </w:tblPr>
      <w:tblGrid>
        <w:gridCol w:w="2365"/>
        <w:gridCol w:w="1640"/>
        <w:gridCol w:w="1153"/>
      </w:tblGrid>
      <w:tr w:rsidR="008E6390" w:rsidRPr="00955A4C" w:rsidTr="00E522C0">
        <w:trPr>
          <w:trHeight w:val="960"/>
          <w:jc w:val="center"/>
        </w:trPr>
        <w:tc>
          <w:tcPr>
            <w:tcW w:w="2365" w:type="dxa"/>
            <w:tcBorders>
              <w:top w:val="single" w:sz="8" w:space="0" w:color="A6A6A6"/>
              <w:left w:val="single" w:sz="8" w:space="0" w:color="A6A6A6"/>
              <w:bottom w:val="nil"/>
              <w:right w:val="single" w:sz="8" w:space="0" w:color="A6A6A6"/>
            </w:tcBorders>
            <w:shd w:val="clear" w:color="000000" w:fill="CCCCCC"/>
            <w:vAlign w:val="center"/>
            <w:hideMark/>
          </w:tcPr>
          <w:p w:rsidR="008E6390" w:rsidRPr="00955A4C" w:rsidRDefault="00B45116" w:rsidP="008E6390">
            <w:pPr>
              <w:jc w:val="center"/>
              <w:rPr>
                <w:b/>
                <w:bCs/>
                <w:sz w:val="20"/>
                <w:szCs w:val="20"/>
                <w:lang w:eastAsia="es-MX"/>
              </w:rPr>
            </w:pPr>
            <w:r w:rsidRPr="00955A4C">
              <w:rPr>
                <w:b/>
                <w:bCs/>
                <w:sz w:val="20"/>
                <w:szCs w:val="20"/>
                <w:lang w:eastAsia="es-MX"/>
              </w:rPr>
              <w:t>RAMOS PRESUPUESTARIOS</w:t>
            </w:r>
          </w:p>
        </w:tc>
        <w:tc>
          <w:tcPr>
            <w:tcW w:w="1640" w:type="dxa"/>
            <w:tcBorders>
              <w:top w:val="single" w:sz="8" w:space="0" w:color="A6A6A6"/>
              <w:left w:val="nil"/>
              <w:bottom w:val="nil"/>
              <w:right w:val="single" w:sz="8" w:space="0" w:color="A6A6A6"/>
            </w:tcBorders>
            <w:shd w:val="clear" w:color="000000" w:fill="CCCCCC"/>
            <w:vAlign w:val="center"/>
            <w:hideMark/>
          </w:tcPr>
          <w:p w:rsidR="008E6390" w:rsidRPr="00955A4C" w:rsidRDefault="00B45116" w:rsidP="008E6390">
            <w:pPr>
              <w:jc w:val="center"/>
              <w:rPr>
                <w:b/>
                <w:bCs/>
                <w:sz w:val="20"/>
                <w:szCs w:val="20"/>
                <w:lang w:eastAsia="es-MX"/>
              </w:rPr>
            </w:pPr>
            <w:r w:rsidRPr="00955A4C">
              <w:rPr>
                <w:b/>
                <w:bCs/>
                <w:sz w:val="20"/>
                <w:szCs w:val="20"/>
                <w:lang w:eastAsia="es-MX"/>
              </w:rPr>
              <w:t xml:space="preserve">MONTO </w:t>
            </w:r>
          </w:p>
        </w:tc>
        <w:tc>
          <w:tcPr>
            <w:tcW w:w="1153" w:type="dxa"/>
            <w:tcBorders>
              <w:top w:val="single" w:sz="8" w:space="0" w:color="A6A6A6"/>
              <w:left w:val="nil"/>
              <w:bottom w:val="nil"/>
              <w:right w:val="single" w:sz="8" w:space="0" w:color="A6A6A6"/>
            </w:tcBorders>
            <w:shd w:val="clear" w:color="000000" w:fill="CCCCCC"/>
            <w:vAlign w:val="center"/>
            <w:hideMark/>
          </w:tcPr>
          <w:p w:rsidR="008E6390" w:rsidRPr="00955A4C" w:rsidRDefault="008E6390" w:rsidP="008E6390">
            <w:pPr>
              <w:jc w:val="center"/>
              <w:rPr>
                <w:b/>
                <w:bCs/>
                <w:sz w:val="20"/>
                <w:szCs w:val="20"/>
                <w:lang w:eastAsia="es-MX"/>
              </w:rPr>
            </w:pPr>
            <w:r w:rsidRPr="00955A4C">
              <w:rPr>
                <w:b/>
                <w:bCs/>
                <w:sz w:val="20"/>
                <w:szCs w:val="20"/>
                <w:lang w:eastAsia="es-MX"/>
              </w:rPr>
              <w:t>%</w:t>
            </w:r>
          </w:p>
        </w:tc>
      </w:tr>
      <w:tr w:rsidR="008E6390" w:rsidRPr="00955A4C" w:rsidTr="00E522C0">
        <w:trPr>
          <w:trHeight w:val="315"/>
          <w:jc w:val="center"/>
        </w:trPr>
        <w:tc>
          <w:tcPr>
            <w:tcW w:w="236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 xml:space="preserve">Centralizadas </w:t>
            </w:r>
          </w:p>
        </w:tc>
        <w:tc>
          <w:tcPr>
            <w:tcW w:w="1640" w:type="dxa"/>
            <w:tcBorders>
              <w:top w:val="single" w:sz="8" w:space="0" w:color="A6A6A6"/>
              <w:left w:val="nil"/>
              <w:bottom w:val="single" w:sz="8" w:space="0" w:color="A6A6A6"/>
              <w:right w:val="single" w:sz="8" w:space="0" w:color="A6A6A6"/>
            </w:tcBorders>
            <w:shd w:val="clear" w:color="auto" w:fill="auto"/>
            <w:vAlign w:val="center"/>
          </w:tcPr>
          <w:p w:rsidR="008E6390" w:rsidRPr="00955A4C" w:rsidRDefault="009325A0" w:rsidP="008E6390">
            <w:pPr>
              <w:jc w:val="right"/>
              <w:rPr>
                <w:sz w:val="20"/>
                <w:szCs w:val="20"/>
                <w:lang w:eastAsia="es-MX"/>
              </w:rPr>
            </w:pPr>
            <w:r w:rsidRPr="009325A0">
              <w:rPr>
                <w:sz w:val="20"/>
                <w:szCs w:val="20"/>
                <w:lang w:eastAsia="es-MX"/>
              </w:rPr>
              <w:t>6,110,190,213.11</w:t>
            </w:r>
          </w:p>
        </w:tc>
        <w:tc>
          <w:tcPr>
            <w:tcW w:w="1153" w:type="dxa"/>
            <w:tcBorders>
              <w:top w:val="single" w:sz="8" w:space="0" w:color="A6A6A6"/>
              <w:left w:val="nil"/>
              <w:bottom w:val="single" w:sz="8" w:space="0" w:color="A6A6A6"/>
              <w:right w:val="single" w:sz="8" w:space="0" w:color="A6A6A6"/>
            </w:tcBorders>
            <w:shd w:val="clear" w:color="auto" w:fill="auto"/>
            <w:vAlign w:val="center"/>
          </w:tcPr>
          <w:p w:rsidR="008E6390" w:rsidRPr="00955A4C" w:rsidRDefault="00953436" w:rsidP="008E6390">
            <w:pPr>
              <w:jc w:val="center"/>
              <w:rPr>
                <w:color w:val="000000"/>
                <w:sz w:val="20"/>
                <w:szCs w:val="20"/>
                <w:lang w:val="es-MX" w:eastAsia="es-MX"/>
              </w:rPr>
            </w:pPr>
            <w:r>
              <w:rPr>
                <w:color w:val="000000"/>
                <w:sz w:val="20"/>
                <w:szCs w:val="20"/>
              </w:rPr>
              <w:t>29.4</w:t>
            </w:r>
          </w:p>
        </w:tc>
      </w:tr>
      <w:tr w:rsidR="008E6390" w:rsidRPr="00955A4C" w:rsidTr="00E522C0">
        <w:trPr>
          <w:trHeight w:val="3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 xml:space="preserve">Desconcentradas </w:t>
            </w:r>
          </w:p>
        </w:tc>
        <w:tc>
          <w:tcPr>
            <w:tcW w:w="16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331,632,835.01</w:t>
            </w:r>
          </w:p>
        </w:tc>
        <w:tc>
          <w:tcPr>
            <w:tcW w:w="1153"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center"/>
              <w:rPr>
                <w:color w:val="000000"/>
                <w:sz w:val="20"/>
                <w:szCs w:val="20"/>
              </w:rPr>
            </w:pPr>
            <w:r w:rsidRPr="00955A4C">
              <w:rPr>
                <w:color w:val="000000"/>
                <w:sz w:val="20"/>
                <w:szCs w:val="20"/>
              </w:rPr>
              <w:t>1.6</w:t>
            </w:r>
          </w:p>
        </w:tc>
      </w:tr>
      <w:tr w:rsidR="008E6390" w:rsidRPr="00955A4C" w:rsidTr="00E522C0">
        <w:trPr>
          <w:trHeight w:val="3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 xml:space="preserve">Descentralizadas </w:t>
            </w:r>
          </w:p>
        </w:tc>
        <w:tc>
          <w:tcPr>
            <w:tcW w:w="16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9,563,654,525.14</w:t>
            </w:r>
          </w:p>
        </w:tc>
        <w:tc>
          <w:tcPr>
            <w:tcW w:w="1153"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center"/>
              <w:rPr>
                <w:color w:val="000000"/>
                <w:sz w:val="20"/>
                <w:szCs w:val="20"/>
              </w:rPr>
            </w:pPr>
            <w:r w:rsidRPr="00955A4C">
              <w:rPr>
                <w:color w:val="000000"/>
                <w:sz w:val="20"/>
                <w:szCs w:val="20"/>
              </w:rPr>
              <w:t>46</w:t>
            </w:r>
          </w:p>
        </w:tc>
      </w:tr>
      <w:tr w:rsidR="008E6390" w:rsidRPr="00955A4C" w:rsidTr="00E522C0">
        <w:trPr>
          <w:trHeight w:val="6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Poder Legislativo y Judicial</w:t>
            </w:r>
          </w:p>
        </w:tc>
        <w:tc>
          <w:tcPr>
            <w:tcW w:w="1640" w:type="dxa"/>
            <w:tcBorders>
              <w:top w:val="nil"/>
              <w:left w:val="nil"/>
              <w:bottom w:val="single" w:sz="8" w:space="0" w:color="A6A6A6"/>
              <w:right w:val="single" w:sz="8" w:space="0" w:color="A6A6A6"/>
            </w:tcBorders>
            <w:shd w:val="clear" w:color="auto" w:fill="auto"/>
            <w:vAlign w:val="center"/>
          </w:tcPr>
          <w:p w:rsidR="008E6390" w:rsidRPr="00955A4C" w:rsidRDefault="009325A0" w:rsidP="008E6390">
            <w:pPr>
              <w:jc w:val="right"/>
              <w:rPr>
                <w:sz w:val="20"/>
                <w:szCs w:val="20"/>
                <w:lang w:eastAsia="es-MX"/>
              </w:rPr>
            </w:pPr>
            <w:r w:rsidRPr="009325A0">
              <w:rPr>
                <w:sz w:val="20"/>
                <w:szCs w:val="20"/>
                <w:lang w:eastAsia="es-MX"/>
              </w:rPr>
              <w:t>744,004,985.00</w:t>
            </w:r>
          </w:p>
        </w:tc>
        <w:tc>
          <w:tcPr>
            <w:tcW w:w="1153" w:type="dxa"/>
            <w:tcBorders>
              <w:top w:val="nil"/>
              <w:left w:val="nil"/>
              <w:bottom w:val="single" w:sz="8" w:space="0" w:color="A6A6A6"/>
              <w:right w:val="single" w:sz="8" w:space="0" w:color="A6A6A6"/>
            </w:tcBorders>
            <w:shd w:val="clear" w:color="auto" w:fill="auto"/>
            <w:vAlign w:val="center"/>
          </w:tcPr>
          <w:p w:rsidR="008E6390" w:rsidRPr="00955A4C" w:rsidRDefault="00953436" w:rsidP="008E6390">
            <w:pPr>
              <w:jc w:val="center"/>
              <w:rPr>
                <w:color w:val="000000"/>
                <w:sz w:val="20"/>
                <w:szCs w:val="20"/>
              </w:rPr>
            </w:pPr>
            <w:r>
              <w:rPr>
                <w:color w:val="000000"/>
                <w:sz w:val="20"/>
                <w:szCs w:val="20"/>
              </w:rPr>
              <w:t>3.6</w:t>
            </w:r>
          </w:p>
        </w:tc>
      </w:tr>
      <w:tr w:rsidR="008E6390" w:rsidRPr="00955A4C" w:rsidTr="00E522C0">
        <w:trPr>
          <w:trHeight w:val="3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Órganos Autónomos</w:t>
            </w:r>
          </w:p>
        </w:tc>
        <w:tc>
          <w:tcPr>
            <w:tcW w:w="1640" w:type="dxa"/>
            <w:tcBorders>
              <w:top w:val="nil"/>
              <w:left w:val="nil"/>
              <w:bottom w:val="single" w:sz="8" w:space="0" w:color="A6A6A6"/>
              <w:right w:val="single" w:sz="8" w:space="0" w:color="A6A6A6"/>
            </w:tcBorders>
            <w:shd w:val="clear" w:color="auto" w:fill="auto"/>
            <w:vAlign w:val="center"/>
          </w:tcPr>
          <w:p w:rsidR="008E6390" w:rsidRPr="009F5AFF" w:rsidRDefault="008E6390" w:rsidP="008E6390">
            <w:pPr>
              <w:jc w:val="right"/>
              <w:rPr>
                <w:sz w:val="20"/>
                <w:szCs w:val="20"/>
                <w:lang w:eastAsia="es-MX"/>
              </w:rPr>
            </w:pPr>
            <w:r w:rsidRPr="009F5AFF">
              <w:rPr>
                <w:bCs/>
                <w:sz w:val="20"/>
                <w:szCs w:val="20"/>
                <w:lang w:eastAsia="es-MX"/>
              </w:rPr>
              <w:t>281,907,362.84</w:t>
            </w:r>
          </w:p>
        </w:tc>
        <w:tc>
          <w:tcPr>
            <w:tcW w:w="1153"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center"/>
              <w:rPr>
                <w:color w:val="000000"/>
                <w:sz w:val="20"/>
                <w:szCs w:val="20"/>
              </w:rPr>
            </w:pPr>
            <w:r w:rsidRPr="00955A4C">
              <w:rPr>
                <w:color w:val="000000"/>
                <w:sz w:val="20"/>
                <w:szCs w:val="20"/>
              </w:rPr>
              <w:t>1.4</w:t>
            </w:r>
          </w:p>
        </w:tc>
      </w:tr>
      <w:tr w:rsidR="008E6390" w:rsidRPr="00955A4C" w:rsidTr="00E522C0">
        <w:trPr>
          <w:trHeight w:val="3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 xml:space="preserve">Municipios </w:t>
            </w:r>
          </w:p>
        </w:tc>
        <w:tc>
          <w:tcPr>
            <w:tcW w:w="1640" w:type="dxa"/>
            <w:tcBorders>
              <w:top w:val="nil"/>
              <w:left w:val="nil"/>
              <w:bottom w:val="single" w:sz="8" w:space="0" w:color="A6A6A6"/>
              <w:right w:val="single" w:sz="8" w:space="0" w:color="A6A6A6"/>
            </w:tcBorders>
            <w:shd w:val="clear" w:color="auto" w:fill="auto"/>
            <w:vAlign w:val="center"/>
          </w:tcPr>
          <w:p w:rsidR="008E6390" w:rsidRPr="009F5AFF" w:rsidRDefault="008E6390" w:rsidP="008E6390">
            <w:pPr>
              <w:jc w:val="right"/>
              <w:rPr>
                <w:sz w:val="20"/>
                <w:szCs w:val="20"/>
                <w:lang w:eastAsia="es-MX"/>
              </w:rPr>
            </w:pPr>
            <w:r w:rsidRPr="009F5AFF">
              <w:rPr>
                <w:bCs/>
                <w:sz w:val="20"/>
                <w:szCs w:val="20"/>
                <w:lang w:eastAsia="es-MX"/>
              </w:rPr>
              <w:t>3,747,651,920.90</w:t>
            </w:r>
          </w:p>
        </w:tc>
        <w:tc>
          <w:tcPr>
            <w:tcW w:w="1153"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center"/>
              <w:rPr>
                <w:color w:val="000000"/>
                <w:sz w:val="20"/>
                <w:szCs w:val="20"/>
              </w:rPr>
            </w:pPr>
            <w:r w:rsidRPr="00955A4C">
              <w:rPr>
                <w:color w:val="000000"/>
                <w:sz w:val="20"/>
                <w:szCs w:val="20"/>
              </w:rPr>
              <w:t>18</w:t>
            </w:r>
          </w:p>
        </w:tc>
      </w:tr>
      <w:tr w:rsidR="008E6390" w:rsidRPr="00955A4C" w:rsidTr="00E522C0">
        <w:trPr>
          <w:trHeight w:val="330"/>
          <w:jc w:val="center"/>
        </w:trPr>
        <w:tc>
          <w:tcPr>
            <w:tcW w:w="2365" w:type="dxa"/>
            <w:tcBorders>
              <w:top w:val="nil"/>
              <w:left w:val="single" w:sz="8" w:space="0" w:color="A6A6A6"/>
              <w:bottom w:val="single" w:sz="8" w:space="0" w:color="A6A6A6"/>
              <w:right w:val="single" w:sz="8" w:space="0" w:color="A6A6A6"/>
            </w:tcBorders>
            <w:shd w:val="clear" w:color="000000" w:fill="CCCCCC"/>
            <w:vAlign w:val="center"/>
            <w:hideMark/>
          </w:tcPr>
          <w:p w:rsidR="008E6390" w:rsidRPr="00955A4C" w:rsidRDefault="008E6390" w:rsidP="008E6390">
            <w:pPr>
              <w:jc w:val="center"/>
              <w:rPr>
                <w:b/>
                <w:bCs/>
                <w:sz w:val="20"/>
                <w:szCs w:val="20"/>
                <w:lang w:eastAsia="es-MX"/>
              </w:rPr>
            </w:pPr>
            <w:r w:rsidRPr="00955A4C">
              <w:rPr>
                <w:b/>
                <w:bCs/>
                <w:sz w:val="20"/>
                <w:szCs w:val="20"/>
                <w:lang w:eastAsia="es-MX"/>
              </w:rPr>
              <w:t>TOTAL</w:t>
            </w:r>
          </w:p>
        </w:tc>
        <w:tc>
          <w:tcPr>
            <w:tcW w:w="1640" w:type="dxa"/>
            <w:tcBorders>
              <w:top w:val="nil"/>
              <w:left w:val="nil"/>
              <w:bottom w:val="single" w:sz="8" w:space="0" w:color="A6A6A6"/>
              <w:right w:val="single" w:sz="8" w:space="0" w:color="A6A6A6"/>
            </w:tcBorders>
            <w:shd w:val="clear" w:color="000000" w:fill="CCCCCC"/>
            <w:vAlign w:val="center"/>
          </w:tcPr>
          <w:p w:rsidR="008E6390" w:rsidRPr="00955A4C" w:rsidRDefault="008E6390" w:rsidP="008E6390">
            <w:pPr>
              <w:jc w:val="right"/>
              <w:rPr>
                <w:b/>
                <w:bCs/>
                <w:sz w:val="20"/>
                <w:szCs w:val="20"/>
                <w:lang w:eastAsia="es-MX"/>
              </w:rPr>
            </w:pPr>
            <w:r>
              <w:rPr>
                <w:b/>
                <w:bCs/>
                <w:sz w:val="20"/>
                <w:szCs w:val="20"/>
                <w:lang w:eastAsia="es-MX"/>
              </w:rPr>
              <w:t>20,779,041,842.00</w:t>
            </w:r>
          </w:p>
        </w:tc>
        <w:tc>
          <w:tcPr>
            <w:tcW w:w="1153" w:type="dxa"/>
            <w:tcBorders>
              <w:top w:val="nil"/>
              <w:left w:val="nil"/>
              <w:bottom w:val="single" w:sz="8" w:space="0" w:color="A6A6A6"/>
              <w:right w:val="single" w:sz="8" w:space="0" w:color="A6A6A6"/>
            </w:tcBorders>
            <w:shd w:val="clear" w:color="000000" w:fill="CCCCCC"/>
            <w:vAlign w:val="center"/>
          </w:tcPr>
          <w:p w:rsidR="008E6390" w:rsidRPr="00955A4C" w:rsidRDefault="008E6390" w:rsidP="008E6390">
            <w:pPr>
              <w:jc w:val="center"/>
              <w:rPr>
                <w:b/>
                <w:bCs/>
                <w:color w:val="000000"/>
                <w:sz w:val="20"/>
                <w:szCs w:val="20"/>
              </w:rPr>
            </w:pPr>
            <w:r w:rsidRPr="00955A4C">
              <w:rPr>
                <w:b/>
                <w:bCs/>
                <w:color w:val="000000"/>
                <w:sz w:val="20"/>
                <w:szCs w:val="20"/>
              </w:rPr>
              <w:t>100</w:t>
            </w:r>
          </w:p>
        </w:tc>
      </w:tr>
    </w:tbl>
    <w:p w:rsidR="008E6390" w:rsidRPr="00955A4C" w:rsidRDefault="008E6390" w:rsidP="008E6390">
      <w:pPr>
        <w:spacing w:after="200" w:line="360" w:lineRule="auto"/>
        <w:jc w:val="both"/>
        <w:rPr>
          <w:rFonts w:eastAsia="Calibri"/>
          <w:sz w:val="20"/>
          <w:szCs w:val="20"/>
        </w:rPr>
      </w:pPr>
    </w:p>
    <w:p w:rsidR="008E6390" w:rsidRPr="00955A4C" w:rsidRDefault="008E6390" w:rsidP="008E6390">
      <w:pPr>
        <w:spacing w:after="200" w:line="360" w:lineRule="auto"/>
        <w:jc w:val="both"/>
        <w:rPr>
          <w:rFonts w:eastAsia="Calibri"/>
          <w:sz w:val="20"/>
          <w:szCs w:val="20"/>
        </w:rPr>
      </w:pPr>
      <w:r w:rsidRPr="00955A4C">
        <w:rPr>
          <w:rFonts w:eastAsia="Calibri"/>
          <w:sz w:val="20"/>
          <w:szCs w:val="20"/>
        </w:rPr>
        <w:t xml:space="preserve">El presupuesto de recursos estatales del Poder Ejecutivo asciende a un monto total de </w:t>
      </w:r>
      <w:r>
        <w:rPr>
          <w:rFonts w:eastAsia="Calibri"/>
          <w:sz w:val="20"/>
          <w:szCs w:val="20"/>
        </w:rPr>
        <w:t>$</w:t>
      </w:r>
      <w:r w:rsidR="003C798E" w:rsidRPr="003C798E">
        <w:rPr>
          <w:sz w:val="20"/>
          <w:szCs w:val="20"/>
          <w:lang w:eastAsia="es-MX"/>
        </w:rPr>
        <w:t>7</w:t>
      </w:r>
      <w:proofErr w:type="gramStart"/>
      <w:r w:rsidR="003C798E" w:rsidRPr="003C798E">
        <w:rPr>
          <w:sz w:val="20"/>
          <w:szCs w:val="20"/>
          <w:lang w:eastAsia="es-MX"/>
        </w:rPr>
        <w:t>,317,955,732.26</w:t>
      </w:r>
      <w:proofErr w:type="gramEnd"/>
      <w:r w:rsidRPr="00F02440">
        <w:rPr>
          <w:rFonts w:eastAsia="Calibri"/>
          <w:sz w:val="20"/>
          <w:szCs w:val="20"/>
        </w:rPr>
        <w:t>, el cual representa un incremento porcentual de 17.</w:t>
      </w:r>
      <w:r w:rsidR="003C798E">
        <w:rPr>
          <w:rFonts w:eastAsia="Calibri"/>
          <w:sz w:val="20"/>
          <w:szCs w:val="20"/>
        </w:rPr>
        <w:t>9</w:t>
      </w:r>
      <w:r w:rsidRPr="00F02440">
        <w:rPr>
          <w:rFonts w:eastAsia="Calibri"/>
          <w:sz w:val="20"/>
          <w:szCs w:val="20"/>
        </w:rPr>
        <w:t>%.</w:t>
      </w:r>
    </w:p>
    <w:p w:rsidR="008E6390" w:rsidRPr="00955A4C" w:rsidRDefault="008E6390" w:rsidP="008E6390">
      <w:pPr>
        <w:spacing w:after="200" w:line="360" w:lineRule="auto"/>
        <w:jc w:val="both"/>
        <w:rPr>
          <w:rFonts w:eastAsia="Calibri"/>
          <w:sz w:val="20"/>
          <w:szCs w:val="20"/>
        </w:rPr>
      </w:pPr>
      <w:r w:rsidRPr="00955A4C">
        <w:rPr>
          <w:rFonts w:eastAsia="Calibri"/>
          <w:sz w:val="20"/>
          <w:szCs w:val="20"/>
        </w:rPr>
        <w:t xml:space="preserve">Por lo que se refiere a las Aportaciones Federales, del Ramo 33, etiquetadas en el Presupuesto de Egresos de la Federación, </w:t>
      </w:r>
      <w:r>
        <w:rPr>
          <w:rFonts w:eastAsia="Calibri"/>
          <w:sz w:val="20"/>
          <w:szCs w:val="20"/>
        </w:rPr>
        <w:t xml:space="preserve">se estima que se tenga </w:t>
      </w:r>
      <w:r w:rsidRPr="00955A4C">
        <w:rPr>
          <w:rFonts w:eastAsia="Calibri"/>
          <w:sz w:val="20"/>
          <w:szCs w:val="20"/>
        </w:rPr>
        <w:t>un incremento del 4.4%</w:t>
      </w:r>
      <w:r w:rsidRPr="00955A4C">
        <w:rPr>
          <w:rFonts w:eastAsia="Calibri"/>
          <w:color w:val="FF0000"/>
          <w:sz w:val="20"/>
          <w:szCs w:val="20"/>
        </w:rPr>
        <w:t>.</w:t>
      </w:r>
    </w:p>
    <w:p w:rsidR="008E6390" w:rsidRPr="00955A4C" w:rsidRDefault="008E6390" w:rsidP="008E6390">
      <w:pPr>
        <w:spacing w:after="200" w:line="360" w:lineRule="auto"/>
        <w:jc w:val="center"/>
        <w:rPr>
          <w:rFonts w:eastAsia="Calibri"/>
          <w:b/>
          <w:sz w:val="20"/>
          <w:szCs w:val="20"/>
        </w:rPr>
      </w:pPr>
      <w:r>
        <w:rPr>
          <w:rFonts w:eastAsia="Calibri"/>
          <w:b/>
          <w:sz w:val="20"/>
          <w:szCs w:val="20"/>
        </w:rPr>
        <w:t>Clasificación</w:t>
      </w:r>
      <w:r w:rsidRPr="00955A4C">
        <w:rPr>
          <w:rFonts w:eastAsia="Calibri"/>
          <w:b/>
          <w:sz w:val="20"/>
          <w:szCs w:val="20"/>
        </w:rPr>
        <w:t xml:space="preserve"> por Subfuente de Financiamiento </w:t>
      </w:r>
    </w:p>
    <w:tbl>
      <w:tblPr>
        <w:tblW w:w="5122" w:type="dxa"/>
        <w:jc w:val="center"/>
        <w:tblCellMar>
          <w:left w:w="70" w:type="dxa"/>
          <w:right w:w="70" w:type="dxa"/>
        </w:tblCellMar>
        <w:tblLook w:val="04A0" w:firstRow="1" w:lastRow="0" w:firstColumn="1" w:lastColumn="0" w:noHBand="0" w:noVBand="1"/>
      </w:tblPr>
      <w:tblGrid>
        <w:gridCol w:w="3482"/>
        <w:gridCol w:w="1640"/>
      </w:tblGrid>
      <w:tr w:rsidR="008E6390" w:rsidRPr="00EE1ABD" w:rsidTr="008E6390">
        <w:trPr>
          <w:trHeight w:val="567"/>
          <w:jc w:val="center"/>
        </w:trPr>
        <w:tc>
          <w:tcPr>
            <w:tcW w:w="3482" w:type="dxa"/>
            <w:tcBorders>
              <w:top w:val="single" w:sz="8" w:space="0" w:color="A6A6A6"/>
              <w:left w:val="single" w:sz="8" w:space="0" w:color="A6A6A6"/>
              <w:bottom w:val="nil"/>
              <w:right w:val="single" w:sz="8" w:space="0" w:color="A6A6A6"/>
            </w:tcBorders>
            <w:shd w:val="clear" w:color="000000" w:fill="CCCCCC"/>
            <w:vAlign w:val="center"/>
            <w:hideMark/>
          </w:tcPr>
          <w:p w:rsidR="008E6390" w:rsidRPr="00EE1ABD" w:rsidRDefault="00B45116" w:rsidP="008E6390">
            <w:pPr>
              <w:jc w:val="center"/>
              <w:rPr>
                <w:b/>
                <w:bCs/>
                <w:sz w:val="20"/>
                <w:szCs w:val="20"/>
                <w:lang w:eastAsia="es-MX"/>
              </w:rPr>
            </w:pPr>
            <w:r w:rsidRPr="00EE1ABD">
              <w:rPr>
                <w:b/>
                <w:bCs/>
                <w:sz w:val="20"/>
                <w:szCs w:val="20"/>
                <w:lang w:eastAsia="es-MX"/>
              </w:rPr>
              <w:t>FUENTE DE FINANCIAMIENTO</w:t>
            </w:r>
          </w:p>
        </w:tc>
        <w:tc>
          <w:tcPr>
            <w:tcW w:w="1640" w:type="dxa"/>
            <w:tcBorders>
              <w:top w:val="single" w:sz="8" w:space="0" w:color="A6A6A6"/>
              <w:left w:val="nil"/>
              <w:bottom w:val="nil"/>
              <w:right w:val="single" w:sz="8" w:space="0" w:color="A6A6A6"/>
            </w:tcBorders>
            <w:shd w:val="clear" w:color="000000" w:fill="CCCCCC"/>
            <w:vAlign w:val="center"/>
            <w:hideMark/>
          </w:tcPr>
          <w:p w:rsidR="008E6390" w:rsidRPr="00EE1ABD" w:rsidRDefault="00B45116" w:rsidP="008E6390">
            <w:pPr>
              <w:jc w:val="center"/>
              <w:rPr>
                <w:b/>
                <w:bCs/>
                <w:sz w:val="20"/>
                <w:szCs w:val="20"/>
                <w:lang w:eastAsia="es-MX"/>
              </w:rPr>
            </w:pPr>
            <w:r w:rsidRPr="00EE1ABD">
              <w:rPr>
                <w:b/>
                <w:bCs/>
                <w:sz w:val="20"/>
                <w:szCs w:val="20"/>
                <w:lang w:eastAsia="es-MX"/>
              </w:rPr>
              <w:t>MONTO</w:t>
            </w:r>
          </w:p>
        </w:tc>
      </w:tr>
      <w:tr w:rsidR="008E6390" w:rsidRPr="00EE1ABD" w:rsidTr="008E6390">
        <w:trPr>
          <w:trHeight w:val="315"/>
          <w:jc w:val="center"/>
        </w:trPr>
        <w:tc>
          <w:tcPr>
            <w:tcW w:w="3482"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8E6390" w:rsidRPr="00EE1ABD" w:rsidRDefault="008E6390" w:rsidP="008E6390">
            <w:pPr>
              <w:jc w:val="both"/>
              <w:rPr>
                <w:sz w:val="20"/>
                <w:szCs w:val="20"/>
                <w:lang w:eastAsia="es-MX"/>
              </w:rPr>
            </w:pPr>
            <w:r w:rsidRPr="00EE1ABD">
              <w:rPr>
                <w:sz w:val="20"/>
                <w:szCs w:val="20"/>
                <w:lang w:eastAsia="es-MX"/>
              </w:rPr>
              <w:t>Fuentes locales</w:t>
            </w:r>
          </w:p>
        </w:tc>
        <w:tc>
          <w:tcPr>
            <w:tcW w:w="1640" w:type="dxa"/>
            <w:tcBorders>
              <w:top w:val="single" w:sz="8" w:space="0" w:color="A6A6A6"/>
              <w:left w:val="nil"/>
              <w:bottom w:val="single" w:sz="8" w:space="0" w:color="A6A6A6"/>
              <w:right w:val="single" w:sz="8" w:space="0" w:color="A6A6A6"/>
            </w:tcBorders>
            <w:shd w:val="clear" w:color="auto" w:fill="auto"/>
            <w:vAlign w:val="center"/>
          </w:tcPr>
          <w:p w:rsidR="008E6390" w:rsidRPr="00EE1ABD" w:rsidRDefault="00371295" w:rsidP="008E6390">
            <w:pPr>
              <w:jc w:val="right"/>
              <w:rPr>
                <w:sz w:val="20"/>
                <w:szCs w:val="20"/>
              </w:rPr>
            </w:pPr>
            <w:r w:rsidRPr="00371295">
              <w:rPr>
                <w:sz w:val="20"/>
                <w:szCs w:val="20"/>
              </w:rPr>
              <w:t>1,012,244,474.50</w:t>
            </w:r>
          </w:p>
        </w:tc>
      </w:tr>
      <w:tr w:rsidR="008E6390" w:rsidRPr="00EE1ABD" w:rsidTr="008E6390">
        <w:trPr>
          <w:trHeight w:val="417"/>
          <w:jc w:val="center"/>
        </w:trPr>
        <w:tc>
          <w:tcPr>
            <w:tcW w:w="3482" w:type="dxa"/>
            <w:tcBorders>
              <w:top w:val="nil"/>
              <w:left w:val="single" w:sz="8" w:space="0" w:color="A6A6A6"/>
              <w:bottom w:val="single" w:sz="8" w:space="0" w:color="A6A6A6"/>
              <w:right w:val="single" w:sz="8" w:space="0" w:color="A6A6A6"/>
            </w:tcBorders>
            <w:shd w:val="clear" w:color="auto" w:fill="auto"/>
            <w:vAlign w:val="center"/>
            <w:hideMark/>
          </w:tcPr>
          <w:p w:rsidR="008E6390" w:rsidRPr="00EE1ABD" w:rsidRDefault="008E6390" w:rsidP="008E6390">
            <w:pPr>
              <w:jc w:val="both"/>
              <w:rPr>
                <w:sz w:val="20"/>
                <w:szCs w:val="20"/>
                <w:lang w:eastAsia="es-MX"/>
              </w:rPr>
            </w:pPr>
            <w:r w:rsidRPr="00EE1ABD">
              <w:rPr>
                <w:sz w:val="20"/>
                <w:szCs w:val="20"/>
                <w:lang w:eastAsia="es-MX"/>
              </w:rPr>
              <w:t>Participaciones e Incentivos</w:t>
            </w:r>
          </w:p>
        </w:tc>
        <w:tc>
          <w:tcPr>
            <w:tcW w:w="1640" w:type="dxa"/>
            <w:tcBorders>
              <w:top w:val="nil"/>
              <w:left w:val="nil"/>
              <w:bottom w:val="single" w:sz="8" w:space="0" w:color="A6A6A6"/>
              <w:right w:val="single" w:sz="8" w:space="0" w:color="A6A6A6"/>
            </w:tcBorders>
            <w:shd w:val="clear" w:color="auto" w:fill="auto"/>
            <w:vAlign w:val="center"/>
          </w:tcPr>
          <w:p w:rsidR="008E6390" w:rsidRPr="00EE1ABD" w:rsidRDefault="00371295" w:rsidP="008E6390">
            <w:pPr>
              <w:jc w:val="right"/>
              <w:rPr>
                <w:sz w:val="20"/>
                <w:szCs w:val="20"/>
              </w:rPr>
            </w:pPr>
            <w:r w:rsidRPr="00371295">
              <w:rPr>
                <w:sz w:val="20"/>
                <w:szCs w:val="20"/>
              </w:rPr>
              <w:t>6,305,711,257.76</w:t>
            </w:r>
          </w:p>
        </w:tc>
      </w:tr>
      <w:tr w:rsidR="008E6390" w:rsidRPr="00EE1ABD" w:rsidTr="008E6390">
        <w:trPr>
          <w:trHeight w:val="330"/>
          <w:jc w:val="center"/>
        </w:trPr>
        <w:tc>
          <w:tcPr>
            <w:tcW w:w="3482" w:type="dxa"/>
            <w:tcBorders>
              <w:top w:val="nil"/>
              <w:left w:val="single" w:sz="8" w:space="0" w:color="A6A6A6"/>
              <w:bottom w:val="single" w:sz="8" w:space="0" w:color="A6A6A6"/>
              <w:right w:val="single" w:sz="8" w:space="0" w:color="A6A6A6"/>
            </w:tcBorders>
            <w:shd w:val="clear" w:color="auto" w:fill="auto"/>
            <w:vAlign w:val="center"/>
            <w:hideMark/>
          </w:tcPr>
          <w:p w:rsidR="008E6390" w:rsidRPr="00EE1ABD" w:rsidRDefault="00B45116" w:rsidP="008E6390">
            <w:pPr>
              <w:jc w:val="both"/>
              <w:rPr>
                <w:b/>
                <w:bCs/>
                <w:sz w:val="20"/>
                <w:szCs w:val="20"/>
                <w:lang w:eastAsia="es-MX"/>
              </w:rPr>
            </w:pPr>
            <w:r w:rsidRPr="00EE1ABD">
              <w:rPr>
                <w:b/>
                <w:bCs/>
                <w:sz w:val="20"/>
                <w:szCs w:val="20"/>
                <w:lang w:eastAsia="es-MX"/>
              </w:rPr>
              <w:t>SUBTOTAL ESTATALES</w:t>
            </w:r>
          </w:p>
        </w:tc>
        <w:tc>
          <w:tcPr>
            <w:tcW w:w="1640" w:type="dxa"/>
            <w:tcBorders>
              <w:top w:val="nil"/>
              <w:left w:val="nil"/>
              <w:bottom w:val="single" w:sz="8" w:space="0" w:color="A6A6A6"/>
              <w:right w:val="single" w:sz="8" w:space="0" w:color="A6A6A6"/>
            </w:tcBorders>
            <w:shd w:val="clear" w:color="auto" w:fill="auto"/>
            <w:vAlign w:val="center"/>
          </w:tcPr>
          <w:p w:rsidR="008E6390" w:rsidRPr="00371295" w:rsidRDefault="00371295" w:rsidP="008E6390">
            <w:pPr>
              <w:jc w:val="right"/>
              <w:rPr>
                <w:b/>
                <w:sz w:val="20"/>
                <w:szCs w:val="20"/>
              </w:rPr>
            </w:pPr>
            <w:r w:rsidRPr="00371295">
              <w:rPr>
                <w:b/>
                <w:sz w:val="20"/>
                <w:szCs w:val="20"/>
                <w:lang w:eastAsia="es-MX"/>
              </w:rPr>
              <w:t>7,317,955,732.26</w:t>
            </w:r>
          </w:p>
        </w:tc>
      </w:tr>
      <w:tr w:rsidR="008E6390" w:rsidRPr="00EE1ABD" w:rsidTr="008E6390">
        <w:trPr>
          <w:trHeight w:val="357"/>
          <w:jc w:val="center"/>
        </w:trPr>
        <w:tc>
          <w:tcPr>
            <w:tcW w:w="3482" w:type="dxa"/>
            <w:tcBorders>
              <w:top w:val="nil"/>
              <w:left w:val="single" w:sz="8" w:space="0" w:color="A6A6A6"/>
              <w:bottom w:val="single" w:sz="8" w:space="0" w:color="A6A6A6"/>
              <w:right w:val="single" w:sz="8" w:space="0" w:color="A6A6A6"/>
            </w:tcBorders>
            <w:shd w:val="clear" w:color="auto" w:fill="auto"/>
            <w:vAlign w:val="center"/>
            <w:hideMark/>
          </w:tcPr>
          <w:p w:rsidR="008E6390" w:rsidRPr="00EE1ABD" w:rsidRDefault="008E6390" w:rsidP="008E6390">
            <w:pPr>
              <w:jc w:val="both"/>
              <w:rPr>
                <w:sz w:val="20"/>
                <w:szCs w:val="20"/>
                <w:lang w:eastAsia="es-MX"/>
              </w:rPr>
            </w:pPr>
            <w:r w:rsidRPr="00EE1ABD">
              <w:rPr>
                <w:sz w:val="20"/>
                <w:szCs w:val="20"/>
                <w:lang w:eastAsia="es-MX"/>
              </w:rPr>
              <w:t>Aportaciones Federales</w:t>
            </w:r>
          </w:p>
        </w:tc>
        <w:tc>
          <w:tcPr>
            <w:tcW w:w="1640" w:type="dxa"/>
            <w:tcBorders>
              <w:top w:val="nil"/>
              <w:left w:val="nil"/>
              <w:bottom w:val="single" w:sz="8" w:space="0" w:color="A6A6A6"/>
              <w:right w:val="single" w:sz="8" w:space="0" w:color="A6A6A6"/>
            </w:tcBorders>
            <w:shd w:val="clear" w:color="auto" w:fill="auto"/>
            <w:vAlign w:val="center"/>
          </w:tcPr>
          <w:p w:rsidR="008E6390" w:rsidRPr="00EE1ABD" w:rsidRDefault="008E6390" w:rsidP="008E6390">
            <w:pPr>
              <w:jc w:val="right"/>
              <w:rPr>
                <w:sz w:val="20"/>
                <w:szCs w:val="20"/>
              </w:rPr>
            </w:pPr>
            <w:r w:rsidRPr="00EE1ABD">
              <w:rPr>
                <w:sz w:val="20"/>
                <w:szCs w:val="20"/>
              </w:rPr>
              <w:t>8,687,521,841.00</w:t>
            </w:r>
          </w:p>
        </w:tc>
      </w:tr>
      <w:tr w:rsidR="008E6390" w:rsidRPr="00EE1ABD" w:rsidTr="008E6390">
        <w:trPr>
          <w:trHeight w:val="330"/>
          <w:jc w:val="center"/>
        </w:trPr>
        <w:tc>
          <w:tcPr>
            <w:tcW w:w="3482" w:type="dxa"/>
            <w:tcBorders>
              <w:top w:val="nil"/>
              <w:left w:val="single" w:sz="8" w:space="0" w:color="A6A6A6"/>
              <w:bottom w:val="single" w:sz="8" w:space="0" w:color="A6A6A6"/>
              <w:right w:val="single" w:sz="8" w:space="0" w:color="A6A6A6"/>
            </w:tcBorders>
            <w:shd w:val="clear" w:color="000000" w:fill="CCCCCC"/>
            <w:vAlign w:val="center"/>
            <w:hideMark/>
          </w:tcPr>
          <w:p w:rsidR="008E6390" w:rsidRPr="00EE1ABD" w:rsidRDefault="008E6390" w:rsidP="008E6390">
            <w:pPr>
              <w:jc w:val="center"/>
              <w:rPr>
                <w:b/>
                <w:bCs/>
                <w:sz w:val="20"/>
                <w:szCs w:val="20"/>
                <w:lang w:eastAsia="es-MX"/>
              </w:rPr>
            </w:pPr>
            <w:r w:rsidRPr="00EE1ABD">
              <w:rPr>
                <w:b/>
                <w:bCs/>
                <w:sz w:val="20"/>
                <w:szCs w:val="20"/>
                <w:lang w:eastAsia="es-MX"/>
              </w:rPr>
              <w:t>TOTAL</w:t>
            </w:r>
          </w:p>
        </w:tc>
        <w:tc>
          <w:tcPr>
            <w:tcW w:w="1640" w:type="dxa"/>
            <w:tcBorders>
              <w:top w:val="nil"/>
              <w:left w:val="nil"/>
              <w:bottom w:val="single" w:sz="8" w:space="0" w:color="A6A6A6"/>
              <w:right w:val="single" w:sz="8" w:space="0" w:color="A6A6A6"/>
            </w:tcBorders>
            <w:shd w:val="clear" w:color="000000" w:fill="CCCCCC"/>
            <w:vAlign w:val="center"/>
          </w:tcPr>
          <w:p w:rsidR="008E6390" w:rsidRPr="00EE1ABD" w:rsidRDefault="00371295" w:rsidP="008E6390">
            <w:pPr>
              <w:jc w:val="right"/>
              <w:rPr>
                <w:b/>
                <w:sz w:val="20"/>
                <w:szCs w:val="20"/>
                <w:lang w:eastAsia="es-MX"/>
              </w:rPr>
            </w:pPr>
            <w:r w:rsidRPr="00371295">
              <w:rPr>
                <w:b/>
                <w:sz w:val="20"/>
                <w:szCs w:val="20"/>
                <w:lang w:eastAsia="es-MX"/>
              </w:rPr>
              <w:t>16,005,477,573.26</w:t>
            </w:r>
          </w:p>
        </w:tc>
      </w:tr>
    </w:tbl>
    <w:p w:rsidR="008E6390" w:rsidRDefault="008E6390" w:rsidP="008E6390">
      <w:pPr>
        <w:spacing w:after="200" w:line="360" w:lineRule="auto"/>
        <w:jc w:val="both"/>
        <w:rPr>
          <w:rFonts w:eastAsia="Calibri"/>
          <w:b/>
          <w:sz w:val="20"/>
          <w:szCs w:val="20"/>
        </w:rPr>
      </w:pPr>
    </w:p>
    <w:p w:rsidR="008E6390" w:rsidRDefault="008E6390" w:rsidP="008E6390">
      <w:pPr>
        <w:spacing w:after="200" w:line="360" w:lineRule="auto"/>
        <w:jc w:val="center"/>
        <w:rPr>
          <w:rFonts w:eastAsia="Calibri"/>
          <w:b/>
          <w:sz w:val="20"/>
          <w:szCs w:val="20"/>
        </w:rPr>
      </w:pPr>
      <w:r>
        <w:rPr>
          <w:rFonts w:eastAsia="Calibri"/>
          <w:b/>
          <w:sz w:val="20"/>
          <w:szCs w:val="20"/>
        </w:rPr>
        <w:lastRenderedPageBreak/>
        <w:t>Clasificación por Finalidad</w:t>
      </w:r>
    </w:p>
    <w:tbl>
      <w:tblPr>
        <w:tblW w:w="4845" w:type="dxa"/>
        <w:jc w:val="center"/>
        <w:tblCellMar>
          <w:left w:w="70" w:type="dxa"/>
          <w:right w:w="70" w:type="dxa"/>
        </w:tblCellMar>
        <w:tblLook w:val="04A0" w:firstRow="1" w:lastRow="0" w:firstColumn="1" w:lastColumn="0" w:noHBand="0" w:noVBand="1"/>
      </w:tblPr>
      <w:tblGrid>
        <w:gridCol w:w="2560"/>
        <w:gridCol w:w="1640"/>
        <w:gridCol w:w="645"/>
      </w:tblGrid>
      <w:tr w:rsidR="008E6390" w:rsidRPr="00C408B5" w:rsidTr="008E6390">
        <w:trPr>
          <w:trHeight w:val="300"/>
          <w:jc w:val="center"/>
        </w:trPr>
        <w:tc>
          <w:tcPr>
            <w:tcW w:w="25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E6390" w:rsidRPr="00C408B5" w:rsidRDefault="00B45116" w:rsidP="008E6390">
            <w:pPr>
              <w:jc w:val="center"/>
              <w:rPr>
                <w:b/>
                <w:bCs/>
                <w:color w:val="000000"/>
                <w:sz w:val="20"/>
                <w:szCs w:val="20"/>
                <w:lang w:val="es-MX" w:eastAsia="es-MX"/>
              </w:rPr>
            </w:pPr>
            <w:r w:rsidRPr="00C408B5">
              <w:rPr>
                <w:b/>
                <w:bCs/>
                <w:color w:val="000000"/>
                <w:sz w:val="20"/>
                <w:szCs w:val="20"/>
                <w:lang w:val="es-MX" w:eastAsia="es-MX"/>
              </w:rPr>
              <w:t>FINALIDAD</w:t>
            </w:r>
          </w:p>
        </w:tc>
        <w:tc>
          <w:tcPr>
            <w:tcW w:w="1640" w:type="dxa"/>
            <w:tcBorders>
              <w:top w:val="single" w:sz="4" w:space="0" w:color="auto"/>
              <w:left w:val="nil"/>
              <w:bottom w:val="single" w:sz="4" w:space="0" w:color="auto"/>
              <w:right w:val="single" w:sz="4" w:space="0" w:color="auto"/>
            </w:tcBorders>
            <w:shd w:val="clear" w:color="000000" w:fill="D9D9D9"/>
            <w:noWrap/>
            <w:vAlign w:val="bottom"/>
            <w:hideMark/>
          </w:tcPr>
          <w:p w:rsidR="008E6390" w:rsidRPr="00C408B5" w:rsidRDefault="008E6390" w:rsidP="008E6390">
            <w:pPr>
              <w:jc w:val="center"/>
              <w:rPr>
                <w:b/>
                <w:bCs/>
                <w:color w:val="000000"/>
                <w:sz w:val="20"/>
                <w:szCs w:val="20"/>
                <w:lang w:val="es-MX" w:eastAsia="es-MX"/>
              </w:rPr>
            </w:pPr>
            <w:r w:rsidRPr="00C408B5">
              <w:rPr>
                <w:b/>
                <w:bCs/>
                <w:color w:val="000000"/>
                <w:sz w:val="20"/>
                <w:szCs w:val="20"/>
                <w:lang w:val="es-MX" w:eastAsia="es-MX"/>
              </w:rPr>
              <w:t>2020</w:t>
            </w:r>
          </w:p>
        </w:tc>
        <w:tc>
          <w:tcPr>
            <w:tcW w:w="645" w:type="dxa"/>
            <w:tcBorders>
              <w:top w:val="single" w:sz="4" w:space="0" w:color="auto"/>
              <w:left w:val="nil"/>
              <w:bottom w:val="single" w:sz="4" w:space="0" w:color="auto"/>
              <w:right w:val="single" w:sz="4" w:space="0" w:color="auto"/>
            </w:tcBorders>
            <w:shd w:val="clear" w:color="000000" w:fill="D9D9D9"/>
            <w:noWrap/>
            <w:vAlign w:val="bottom"/>
            <w:hideMark/>
          </w:tcPr>
          <w:p w:rsidR="008E6390" w:rsidRPr="00C408B5" w:rsidRDefault="008E6390" w:rsidP="008E6390">
            <w:pPr>
              <w:jc w:val="center"/>
              <w:rPr>
                <w:b/>
                <w:bCs/>
                <w:color w:val="000000"/>
                <w:sz w:val="20"/>
                <w:szCs w:val="20"/>
                <w:lang w:val="es-MX" w:eastAsia="es-MX"/>
              </w:rPr>
            </w:pPr>
            <w:r w:rsidRPr="00C408B5">
              <w:rPr>
                <w:b/>
                <w:bCs/>
                <w:color w:val="000000"/>
                <w:sz w:val="20"/>
                <w:szCs w:val="20"/>
                <w:lang w:val="es-MX" w:eastAsia="es-MX"/>
              </w:rPr>
              <w:t>%</w:t>
            </w:r>
          </w:p>
        </w:tc>
      </w:tr>
      <w:tr w:rsidR="008E6390" w:rsidRPr="00C408B5" w:rsidTr="008E6390">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8E6390" w:rsidRPr="00C408B5" w:rsidRDefault="008E6390" w:rsidP="008E6390">
            <w:pPr>
              <w:rPr>
                <w:color w:val="000000"/>
                <w:sz w:val="20"/>
                <w:szCs w:val="20"/>
                <w:lang w:val="es-MX" w:eastAsia="es-MX"/>
              </w:rPr>
            </w:pPr>
            <w:r w:rsidRPr="00C408B5">
              <w:rPr>
                <w:color w:val="000000"/>
                <w:sz w:val="20"/>
                <w:szCs w:val="20"/>
                <w:lang w:val="es-MX" w:eastAsia="es-MX"/>
              </w:rPr>
              <w:t>Gobierno</w:t>
            </w:r>
          </w:p>
        </w:tc>
        <w:tc>
          <w:tcPr>
            <w:tcW w:w="1640" w:type="dxa"/>
            <w:tcBorders>
              <w:top w:val="nil"/>
              <w:left w:val="nil"/>
              <w:bottom w:val="single" w:sz="4" w:space="0" w:color="auto"/>
              <w:right w:val="single" w:sz="4" w:space="0" w:color="auto"/>
            </w:tcBorders>
            <w:shd w:val="clear" w:color="auto" w:fill="auto"/>
            <w:noWrap/>
            <w:vAlign w:val="bottom"/>
            <w:hideMark/>
          </w:tcPr>
          <w:p w:rsidR="008E6390" w:rsidRPr="00C408B5" w:rsidRDefault="00953436" w:rsidP="008E6390">
            <w:pPr>
              <w:jc w:val="right"/>
              <w:rPr>
                <w:color w:val="000000"/>
                <w:sz w:val="20"/>
                <w:szCs w:val="20"/>
                <w:lang w:val="es-MX" w:eastAsia="es-MX"/>
              </w:rPr>
            </w:pPr>
            <w:r w:rsidRPr="00953436">
              <w:rPr>
                <w:color w:val="000000"/>
                <w:sz w:val="20"/>
                <w:szCs w:val="20"/>
                <w:lang w:val="es-MX" w:eastAsia="es-MX"/>
              </w:rPr>
              <w:t>3,869,955,371.36</w:t>
            </w:r>
          </w:p>
        </w:tc>
        <w:tc>
          <w:tcPr>
            <w:tcW w:w="645" w:type="dxa"/>
            <w:tcBorders>
              <w:top w:val="nil"/>
              <w:left w:val="nil"/>
              <w:bottom w:val="single" w:sz="4" w:space="0" w:color="auto"/>
              <w:right w:val="single" w:sz="4" w:space="0" w:color="auto"/>
            </w:tcBorders>
            <w:shd w:val="clear" w:color="auto" w:fill="auto"/>
            <w:noWrap/>
            <w:vAlign w:val="bottom"/>
            <w:hideMark/>
          </w:tcPr>
          <w:p w:rsidR="008E6390" w:rsidRPr="00C408B5" w:rsidRDefault="008E6390" w:rsidP="00953436">
            <w:pPr>
              <w:jc w:val="right"/>
              <w:rPr>
                <w:color w:val="000000"/>
                <w:sz w:val="20"/>
                <w:szCs w:val="20"/>
                <w:lang w:val="es-MX" w:eastAsia="es-MX"/>
              </w:rPr>
            </w:pPr>
            <w:r w:rsidRPr="00C408B5">
              <w:rPr>
                <w:color w:val="000000"/>
                <w:sz w:val="20"/>
                <w:szCs w:val="20"/>
                <w:lang w:val="es-MX" w:eastAsia="es-MX"/>
              </w:rPr>
              <w:t>2</w:t>
            </w:r>
            <w:r w:rsidR="00953436">
              <w:rPr>
                <w:color w:val="000000"/>
                <w:sz w:val="20"/>
                <w:szCs w:val="20"/>
                <w:lang w:val="es-MX" w:eastAsia="es-MX"/>
              </w:rPr>
              <w:t>4.0</w:t>
            </w:r>
          </w:p>
        </w:tc>
      </w:tr>
      <w:tr w:rsidR="008E6390" w:rsidRPr="00C408B5" w:rsidTr="008E6390">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8E6390" w:rsidRPr="00C408B5" w:rsidRDefault="008E6390" w:rsidP="008E6390">
            <w:pPr>
              <w:rPr>
                <w:color w:val="000000"/>
                <w:sz w:val="20"/>
                <w:szCs w:val="20"/>
                <w:lang w:val="es-MX" w:eastAsia="es-MX"/>
              </w:rPr>
            </w:pPr>
            <w:r w:rsidRPr="00C408B5">
              <w:rPr>
                <w:color w:val="000000"/>
                <w:sz w:val="20"/>
                <w:szCs w:val="20"/>
                <w:lang w:val="es-MX" w:eastAsia="es-MX"/>
              </w:rPr>
              <w:t xml:space="preserve">Desarrollo Social </w:t>
            </w:r>
          </w:p>
        </w:tc>
        <w:tc>
          <w:tcPr>
            <w:tcW w:w="1640" w:type="dxa"/>
            <w:tcBorders>
              <w:top w:val="nil"/>
              <w:left w:val="nil"/>
              <w:bottom w:val="single" w:sz="4" w:space="0" w:color="auto"/>
              <w:right w:val="single" w:sz="4" w:space="0" w:color="auto"/>
            </w:tcBorders>
            <w:shd w:val="clear" w:color="auto" w:fill="auto"/>
            <w:noWrap/>
            <w:vAlign w:val="bottom"/>
            <w:hideMark/>
          </w:tcPr>
          <w:p w:rsidR="008E6390" w:rsidRPr="00C408B5" w:rsidRDefault="008E6390" w:rsidP="008E6390">
            <w:pPr>
              <w:jc w:val="right"/>
              <w:rPr>
                <w:color w:val="000000"/>
                <w:sz w:val="20"/>
                <w:szCs w:val="20"/>
                <w:lang w:val="es-MX" w:eastAsia="es-MX"/>
              </w:rPr>
            </w:pPr>
            <w:r w:rsidRPr="00FC2D6B">
              <w:rPr>
                <w:color w:val="000000"/>
                <w:sz w:val="20"/>
                <w:szCs w:val="20"/>
                <w:lang w:val="es-MX" w:eastAsia="es-MX"/>
              </w:rPr>
              <w:t>11,681,174,310.62</w:t>
            </w:r>
          </w:p>
        </w:tc>
        <w:tc>
          <w:tcPr>
            <w:tcW w:w="645" w:type="dxa"/>
            <w:tcBorders>
              <w:top w:val="nil"/>
              <w:left w:val="nil"/>
              <w:bottom w:val="single" w:sz="4" w:space="0" w:color="auto"/>
              <w:right w:val="single" w:sz="4" w:space="0" w:color="auto"/>
            </w:tcBorders>
            <w:shd w:val="clear" w:color="auto" w:fill="auto"/>
            <w:noWrap/>
            <w:vAlign w:val="bottom"/>
            <w:hideMark/>
          </w:tcPr>
          <w:p w:rsidR="008E6390" w:rsidRPr="00C408B5" w:rsidRDefault="00953436" w:rsidP="008E6390">
            <w:pPr>
              <w:jc w:val="right"/>
              <w:rPr>
                <w:color w:val="000000"/>
                <w:sz w:val="20"/>
                <w:szCs w:val="20"/>
                <w:lang w:val="es-MX" w:eastAsia="es-MX"/>
              </w:rPr>
            </w:pPr>
            <w:r>
              <w:rPr>
                <w:color w:val="000000"/>
                <w:sz w:val="20"/>
                <w:szCs w:val="20"/>
                <w:lang w:val="es-MX" w:eastAsia="es-MX"/>
              </w:rPr>
              <w:t>73.0</w:t>
            </w:r>
          </w:p>
        </w:tc>
      </w:tr>
      <w:tr w:rsidR="008E6390" w:rsidRPr="00C408B5" w:rsidTr="008E6390">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8E6390" w:rsidRPr="00C408B5" w:rsidRDefault="008E6390" w:rsidP="008E6390">
            <w:pPr>
              <w:rPr>
                <w:color w:val="000000"/>
                <w:sz w:val="20"/>
                <w:szCs w:val="20"/>
                <w:lang w:val="es-MX" w:eastAsia="es-MX"/>
              </w:rPr>
            </w:pPr>
            <w:r w:rsidRPr="00C408B5">
              <w:rPr>
                <w:color w:val="000000"/>
                <w:sz w:val="20"/>
                <w:szCs w:val="20"/>
                <w:lang w:val="es-MX" w:eastAsia="es-MX"/>
              </w:rPr>
              <w:t>Desarrollo Económico</w:t>
            </w:r>
          </w:p>
        </w:tc>
        <w:tc>
          <w:tcPr>
            <w:tcW w:w="1640" w:type="dxa"/>
            <w:tcBorders>
              <w:top w:val="nil"/>
              <w:left w:val="nil"/>
              <w:bottom w:val="single" w:sz="4" w:space="0" w:color="auto"/>
              <w:right w:val="single" w:sz="4" w:space="0" w:color="auto"/>
            </w:tcBorders>
            <w:shd w:val="clear" w:color="auto" w:fill="auto"/>
            <w:noWrap/>
            <w:vAlign w:val="bottom"/>
            <w:hideMark/>
          </w:tcPr>
          <w:p w:rsidR="008E6390" w:rsidRPr="00C408B5" w:rsidRDefault="008E6390" w:rsidP="008E6390">
            <w:pPr>
              <w:jc w:val="right"/>
              <w:rPr>
                <w:color w:val="000000"/>
                <w:sz w:val="20"/>
                <w:szCs w:val="20"/>
                <w:lang w:val="es-MX" w:eastAsia="es-MX"/>
              </w:rPr>
            </w:pPr>
            <w:r w:rsidRPr="00FC2D6B">
              <w:rPr>
                <w:color w:val="000000"/>
                <w:sz w:val="20"/>
                <w:szCs w:val="20"/>
                <w:lang w:val="es-MX" w:eastAsia="es-MX"/>
              </w:rPr>
              <w:t>454,347,891.2</w:t>
            </w:r>
            <w:r>
              <w:rPr>
                <w:color w:val="000000"/>
                <w:sz w:val="20"/>
                <w:szCs w:val="20"/>
                <w:lang w:val="es-MX" w:eastAsia="es-MX"/>
              </w:rPr>
              <w:t>8</w:t>
            </w:r>
          </w:p>
        </w:tc>
        <w:tc>
          <w:tcPr>
            <w:tcW w:w="645" w:type="dxa"/>
            <w:tcBorders>
              <w:top w:val="nil"/>
              <w:left w:val="nil"/>
              <w:bottom w:val="single" w:sz="4" w:space="0" w:color="auto"/>
              <w:right w:val="single" w:sz="4" w:space="0" w:color="auto"/>
            </w:tcBorders>
            <w:shd w:val="clear" w:color="auto" w:fill="auto"/>
            <w:noWrap/>
            <w:vAlign w:val="bottom"/>
            <w:hideMark/>
          </w:tcPr>
          <w:p w:rsidR="008E6390" w:rsidRPr="00C408B5" w:rsidRDefault="00953436" w:rsidP="008E6390">
            <w:pPr>
              <w:jc w:val="right"/>
              <w:rPr>
                <w:color w:val="000000"/>
                <w:sz w:val="20"/>
                <w:szCs w:val="20"/>
                <w:lang w:val="es-MX" w:eastAsia="es-MX"/>
              </w:rPr>
            </w:pPr>
            <w:r>
              <w:rPr>
                <w:color w:val="000000"/>
                <w:sz w:val="20"/>
                <w:szCs w:val="20"/>
                <w:lang w:val="es-MX" w:eastAsia="es-MX"/>
              </w:rPr>
              <w:t>3.0</w:t>
            </w:r>
          </w:p>
        </w:tc>
      </w:tr>
      <w:tr w:rsidR="008E6390" w:rsidRPr="00C408B5" w:rsidTr="008E6390">
        <w:trPr>
          <w:trHeight w:val="300"/>
          <w:jc w:val="center"/>
        </w:trPr>
        <w:tc>
          <w:tcPr>
            <w:tcW w:w="25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8E6390" w:rsidRPr="00C408B5" w:rsidRDefault="008E6390" w:rsidP="008E6390">
            <w:pPr>
              <w:jc w:val="center"/>
              <w:rPr>
                <w:b/>
                <w:bCs/>
                <w:color w:val="000000"/>
                <w:sz w:val="20"/>
                <w:szCs w:val="20"/>
                <w:lang w:val="es-MX" w:eastAsia="es-MX"/>
              </w:rPr>
            </w:pPr>
            <w:r w:rsidRPr="00C408B5">
              <w:rPr>
                <w:b/>
                <w:bCs/>
                <w:color w:val="000000"/>
                <w:sz w:val="20"/>
                <w:szCs w:val="20"/>
                <w:lang w:val="es-MX" w:eastAsia="es-MX"/>
              </w:rPr>
              <w:t>TOTAL</w:t>
            </w:r>
          </w:p>
        </w:tc>
        <w:tc>
          <w:tcPr>
            <w:tcW w:w="1640" w:type="dxa"/>
            <w:tcBorders>
              <w:top w:val="nil"/>
              <w:left w:val="nil"/>
              <w:bottom w:val="single" w:sz="4" w:space="0" w:color="auto"/>
              <w:right w:val="single" w:sz="4" w:space="0" w:color="auto"/>
            </w:tcBorders>
            <w:shd w:val="clear" w:color="auto" w:fill="D9D9D9" w:themeFill="background1" w:themeFillShade="D9"/>
            <w:noWrap/>
            <w:vAlign w:val="bottom"/>
            <w:hideMark/>
          </w:tcPr>
          <w:p w:rsidR="008E6390" w:rsidRPr="00C408B5" w:rsidRDefault="00A378B5" w:rsidP="008E6390">
            <w:pPr>
              <w:jc w:val="right"/>
              <w:rPr>
                <w:b/>
                <w:bCs/>
                <w:color w:val="000000"/>
                <w:sz w:val="20"/>
                <w:szCs w:val="20"/>
                <w:lang w:val="es-MX" w:eastAsia="es-MX"/>
              </w:rPr>
            </w:pPr>
            <w:r w:rsidRPr="00A378B5">
              <w:rPr>
                <w:b/>
                <w:bCs/>
                <w:color w:val="000000"/>
                <w:sz w:val="20"/>
                <w:szCs w:val="20"/>
                <w:lang w:val="es-MX" w:eastAsia="es-MX"/>
              </w:rPr>
              <w:t>16,005,477,573.26</w:t>
            </w:r>
          </w:p>
        </w:tc>
        <w:tc>
          <w:tcPr>
            <w:tcW w:w="645" w:type="dxa"/>
            <w:tcBorders>
              <w:top w:val="nil"/>
              <w:left w:val="nil"/>
              <w:bottom w:val="single" w:sz="4" w:space="0" w:color="auto"/>
              <w:right w:val="single" w:sz="4" w:space="0" w:color="auto"/>
            </w:tcBorders>
            <w:shd w:val="clear" w:color="auto" w:fill="D9D9D9" w:themeFill="background1" w:themeFillShade="D9"/>
            <w:noWrap/>
            <w:vAlign w:val="bottom"/>
            <w:hideMark/>
          </w:tcPr>
          <w:p w:rsidR="008E6390" w:rsidRPr="00C408B5" w:rsidRDefault="008E6390" w:rsidP="008E6390">
            <w:pPr>
              <w:jc w:val="right"/>
              <w:rPr>
                <w:b/>
                <w:bCs/>
                <w:color w:val="000000"/>
                <w:sz w:val="20"/>
                <w:szCs w:val="20"/>
                <w:lang w:val="es-MX" w:eastAsia="es-MX"/>
              </w:rPr>
            </w:pPr>
            <w:r w:rsidRPr="00C408B5">
              <w:rPr>
                <w:b/>
                <w:bCs/>
                <w:color w:val="000000"/>
                <w:sz w:val="20"/>
                <w:szCs w:val="20"/>
                <w:lang w:val="es-MX" w:eastAsia="es-MX"/>
              </w:rPr>
              <w:t>100.0</w:t>
            </w:r>
          </w:p>
        </w:tc>
      </w:tr>
    </w:tbl>
    <w:p w:rsidR="008E6390" w:rsidRDefault="008E6390" w:rsidP="008E6390">
      <w:pPr>
        <w:spacing w:after="200" w:line="360" w:lineRule="auto"/>
        <w:jc w:val="both"/>
        <w:rPr>
          <w:rFonts w:eastAsia="Calibri"/>
          <w:b/>
          <w:sz w:val="20"/>
          <w:szCs w:val="20"/>
        </w:rPr>
      </w:pPr>
    </w:p>
    <w:p w:rsidR="008E6390" w:rsidRDefault="008E6390" w:rsidP="008E6390">
      <w:pPr>
        <w:spacing w:after="200" w:line="360" w:lineRule="auto"/>
        <w:jc w:val="both"/>
        <w:rPr>
          <w:sz w:val="20"/>
          <w:szCs w:val="20"/>
        </w:rPr>
      </w:pPr>
      <w:r>
        <w:rPr>
          <w:sz w:val="20"/>
          <w:szCs w:val="20"/>
        </w:rPr>
        <w:t>De acuerdo a la anterior clasificación, l</w:t>
      </w:r>
      <w:r w:rsidRPr="00E3371A">
        <w:rPr>
          <w:sz w:val="20"/>
          <w:szCs w:val="20"/>
        </w:rPr>
        <w:t xml:space="preserve">a política de desarrollo social en el Estado de Tlaxcala, vinculada y coordinada con la política de planeación nacional, promueve, respeta, protege y garantiza los derechos sociales de la población, en cumplimiento a lo establecido en la Constitución Política de los Estados Unidos Mexicanos, Constitución Política del Estado Libre y Soberano de Tlaxcala, Ley General de Desarrollo Social, Ley de Desarrollo Social del Estado de Tlaxcala y Ley de los Derechos de Niñas, Niños y Adolescentes del Estado de Tlaxcala. </w:t>
      </w:r>
    </w:p>
    <w:p w:rsidR="008E6390" w:rsidRPr="00955A4C" w:rsidRDefault="008E6390" w:rsidP="008E6390">
      <w:pPr>
        <w:spacing w:after="200" w:line="360" w:lineRule="auto"/>
        <w:jc w:val="center"/>
        <w:rPr>
          <w:rFonts w:eastAsia="Calibri"/>
          <w:b/>
          <w:sz w:val="20"/>
          <w:szCs w:val="20"/>
        </w:rPr>
      </w:pPr>
      <w:r w:rsidRPr="00955A4C">
        <w:rPr>
          <w:rFonts w:eastAsia="Calibri"/>
          <w:b/>
          <w:sz w:val="20"/>
          <w:szCs w:val="20"/>
        </w:rPr>
        <w:t>PODERES Y ÓRGANOS AUTÓNOMOS</w:t>
      </w:r>
    </w:p>
    <w:tbl>
      <w:tblPr>
        <w:tblW w:w="7170" w:type="dxa"/>
        <w:jc w:val="center"/>
        <w:tblCellMar>
          <w:left w:w="70" w:type="dxa"/>
          <w:right w:w="70" w:type="dxa"/>
        </w:tblCellMar>
        <w:tblLook w:val="04A0" w:firstRow="1" w:lastRow="0" w:firstColumn="1" w:lastColumn="0" w:noHBand="0" w:noVBand="1"/>
      </w:tblPr>
      <w:tblGrid>
        <w:gridCol w:w="2282"/>
        <w:gridCol w:w="1518"/>
        <w:gridCol w:w="1830"/>
        <w:gridCol w:w="1540"/>
      </w:tblGrid>
      <w:tr w:rsidR="008E6390" w:rsidRPr="00955A4C" w:rsidTr="00E522C0">
        <w:trPr>
          <w:trHeight w:val="960"/>
          <w:tblHeader/>
          <w:jc w:val="center"/>
        </w:trPr>
        <w:tc>
          <w:tcPr>
            <w:tcW w:w="2700" w:type="dxa"/>
            <w:tcBorders>
              <w:top w:val="single" w:sz="8" w:space="0" w:color="A6A6A6"/>
              <w:left w:val="single" w:sz="8" w:space="0" w:color="A6A6A6"/>
              <w:bottom w:val="nil"/>
              <w:right w:val="single" w:sz="8" w:space="0" w:color="A6A6A6"/>
            </w:tcBorders>
            <w:shd w:val="clear" w:color="000000" w:fill="CCCCCC"/>
            <w:vAlign w:val="center"/>
            <w:hideMark/>
          </w:tcPr>
          <w:p w:rsidR="008E6390" w:rsidRPr="00955A4C" w:rsidRDefault="00B45116" w:rsidP="008E6390">
            <w:pPr>
              <w:jc w:val="center"/>
              <w:rPr>
                <w:b/>
                <w:bCs/>
                <w:sz w:val="20"/>
                <w:szCs w:val="20"/>
                <w:lang w:eastAsia="es-MX"/>
              </w:rPr>
            </w:pPr>
            <w:r w:rsidRPr="00955A4C">
              <w:rPr>
                <w:b/>
                <w:bCs/>
                <w:sz w:val="20"/>
                <w:szCs w:val="20"/>
                <w:lang w:eastAsia="es-MX"/>
              </w:rPr>
              <w:t>PODERES Y ÓRGANOS AUTÓNOMOS</w:t>
            </w:r>
          </w:p>
        </w:tc>
        <w:tc>
          <w:tcPr>
            <w:tcW w:w="1390" w:type="dxa"/>
            <w:tcBorders>
              <w:top w:val="single" w:sz="8" w:space="0" w:color="A6A6A6"/>
              <w:left w:val="nil"/>
              <w:bottom w:val="nil"/>
              <w:right w:val="single" w:sz="8" w:space="0" w:color="A6A6A6"/>
            </w:tcBorders>
            <w:shd w:val="clear" w:color="000000" w:fill="CCCCCC"/>
            <w:vAlign w:val="center"/>
            <w:hideMark/>
          </w:tcPr>
          <w:p w:rsidR="008E6390" w:rsidRPr="00955A4C" w:rsidRDefault="00B45116" w:rsidP="008E6390">
            <w:pPr>
              <w:jc w:val="center"/>
              <w:rPr>
                <w:b/>
                <w:bCs/>
                <w:sz w:val="20"/>
                <w:szCs w:val="20"/>
                <w:lang w:eastAsia="es-MX"/>
              </w:rPr>
            </w:pPr>
            <w:r w:rsidRPr="00955A4C">
              <w:rPr>
                <w:b/>
                <w:bCs/>
                <w:sz w:val="20"/>
                <w:szCs w:val="20"/>
                <w:lang w:eastAsia="es-MX"/>
              </w:rPr>
              <w:t>AUTORIZADO  2019</w:t>
            </w:r>
          </w:p>
        </w:tc>
        <w:tc>
          <w:tcPr>
            <w:tcW w:w="1540" w:type="dxa"/>
            <w:tcBorders>
              <w:top w:val="single" w:sz="8" w:space="0" w:color="A6A6A6"/>
              <w:left w:val="nil"/>
              <w:bottom w:val="nil"/>
              <w:right w:val="single" w:sz="8" w:space="0" w:color="A6A6A6"/>
            </w:tcBorders>
            <w:shd w:val="clear" w:color="000000" w:fill="CCCCCC"/>
            <w:vAlign w:val="center"/>
            <w:hideMark/>
          </w:tcPr>
          <w:p w:rsidR="008E6390" w:rsidRPr="00955A4C" w:rsidRDefault="00B45116" w:rsidP="008E6390">
            <w:pPr>
              <w:jc w:val="center"/>
              <w:rPr>
                <w:b/>
                <w:bCs/>
                <w:sz w:val="20"/>
                <w:szCs w:val="20"/>
                <w:lang w:eastAsia="es-MX"/>
              </w:rPr>
            </w:pPr>
            <w:r w:rsidRPr="00955A4C">
              <w:rPr>
                <w:b/>
                <w:bCs/>
                <w:sz w:val="20"/>
                <w:szCs w:val="20"/>
                <w:lang w:eastAsia="es-MX"/>
              </w:rPr>
              <w:t>ANTEPROYECTO 2020</w:t>
            </w:r>
          </w:p>
        </w:tc>
        <w:tc>
          <w:tcPr>
            <w:tcW w:w="1540" w:type="dxa"/>
            <w:tcBorders>
              <w:top w:val="single" w:sz="8" w:space="0" w:color="A6A6A6"/>
              <w:left w:val="nil"/>
              <w:bottom w:val="nil"/>
              <w:right w:val="single" w:sz="8" w:space="0" w:color="A6A6A6"/>
            </w:tcBorders>
            <w:shd w:val="clear" w:color="000000" w:fill="CCCCCC"/>
            <w:vAlign w:val="center"/>
            <w:hideMark/>
          </w:tcPr>
          <w:p w:rsidR="008E6390" w:rsidRPr="00955A4C" w:rsidRDefault="00B45116" w:rsidP="008E6390">
            <w:pPr>
              <w:jc w:val="center"/>
              <w:rPr>
                <w:b/>
                <w:bCs/>
                <w:sz w:val="20"/>
                <w:szCs w:val="20"/>
                <w:lang w:eastAsia="es-MX"/>
              </w:rPr>
            </w:pPr>
            <w:r w:rsidRPr="00955A4C">
              <w:rPr>
                <w:b/>
                <w:bCs/>
                <w:sz w:val="20"/>
                <w:szCs w:val="20"/>
                <w:lang w:eastAsia="es-MX"/>
              </w:rPr>
              <w:t>INICIATIVA FINAL PROPUESTA 2020</w:t>
            </w:r>
          </w:p>
        </w:tc>
      </w:tr>
      <w:tr w:rsidR="008E6390" w:rsidRPr="00955A4C" w:rsidTr="008E6390">
        <w:trPr>
          <w:trHeight w:val="315"/>
          <w:jc w:val="center"/>
        </w:trPr>
        <w:tc>
          <w:tcPr>
            <w:tcW w:w="2700"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Poder Legislativo</w:t>
            </w:r>
          </w:p>
        </w:tc>
        <w:tc>
          <w:tcPr>
            <w:tcW w:w="1390" w:type="dxa"/>
            <w:tcBorders>
              <w:top w:val="single" w:sz="8" w:space="0" w:color="A6A6A6"/>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307,504,800.00</w:t>
            </w:r>
          </w:p>
        </w:tc>
        <w:tc>
          <w:tcPr>
            <w:tcW w:w="1540" w:type="dxa"/>
            <w:tcBorders>
              <w:top w:val="single" w:sz="8" w:space="0" w:color="A6A6A6"/>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325,924,985.00</w:t>
            </w:r>
          </w:p>
        </w:tc>
        <w:tc>
          <w:tcPr>
            <w:tcW w:w="1540" w:type="dxa"/>
            <w:tcBorders>
              <w:top w:val="single" w:sz="8" w:space="0" w:color="A6A6A6"/>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325,924,985.00</w:t>
            </w:r>
          </w:p>
        </w:tc>
      </w:tr>
      <w:tr w:rsidR="008E6390" w:rsidRPr="00955A4C" w:rsidTr="008E6390">
        <w:trPr>
          <w:trHeight w:val="315"/>
          <w:jc w:val="center"/>
        </w:trPr>
        <w:tc>
          <w:tcPr>
            <w:tcW w:w="2700"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Poder Judicial</w:t>
            </w:r>
          </w:p>
        </w:tc>
        <w:tc>
          <w:tcPr>
            <w:tcW w:w="139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294,954,131.58</w:t>
            </w:r>
          </w:p>
        </w:tc>
        <w:tc>
          <w:tcPr>
            <w:tcW w:w="15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471,568,868.35</w:t>
            </w:r>
          </w:p>
        </w:tc>
        <w:tc>
          <w:tcPr>
            <w:tcW w:w="1540" w:type="dxa"/>
            <w:tcBorders>
              <w:top w:val="nil"/>
              <w:left w:val="nil"/>
              <w:bottom w:val="single" w:sz="8" w:space="0" w:color="A6A6A6"/>
              <w:right w:val="single" w:sz="8" w:space="0" w:color="A6A6A6"/>
            </w:tcBorders>
            <w:shd w:val="clear" w:color="auto" w:fill="auto"/>
            <w:vAlign w:val="center"/>
          </w:tcPr>
          <w:p w:rsidR="008E6390" w:rsidRPr="00955A4C" w:rsidRDefault="00953436" w:rsidP="008E6390">
            <w:pPr>
              <w:jc w:val="right"/>
              <w:rPr>
                <w:sz w:val="20"/>
                <w:szCs w:val="20"/>
                <w:lang w:eastAsia="es-MX"/>
              </w:rPr>
            </w:pPr>
            <w:r>
              <w:rPr>
                <w:sz w:val="20"/>
                <w:szCs w:val="20"/>
                <w:lang w:eastAsia="es-MX"/>
              </w:rPr>
              <w:t>418,080,000.00</w:t>
            </w:r>
          </w:p>
        </w:tc>
      </w:tr>
      <w:tr w:rsidR="008E6390" w:rsidRPr="00955A4C" w:rsidTr="008E6390">
        <w:trPr>
          <w:trHeight w:val="553"/>
          <w:jc w:val="center"/>
        </w:trPr>
        <w:tc>
          <w:tcPr>
            <w:tcW w:w="2700"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Universidad Autónoma de Tlaxcala</w:t>
            </w:r>
          </w:p>
        </w:tc>
        <w:tc>
          <w:tcPr>
            <w:tcW w:w="139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103,422,984.80</w:t>
            </w:r>
          </w:p>
        </w:tc>
        <w:tc>
          <w:tcPr>
            <w:tcW w:w="15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167,174,614.00</w:t>
            </w:r>
          </w:p>
        </w:tc>
        <w:tc>
          <w:tcPr>
            <w:tcW w:w="15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107,453,569.86</w:t>
            </w:r>
          </w:p>
        </w:tc>
      </w:tr>
      <w:tr w:rsidR="008E6390" w:rsidRPr="00955A4C" w:rsidTr="008E6390">
        <w:trPr>
          <w:trHeight w:val="615"/>
          <w:jc w:val="center"/>
        </w:trPr>
        <w:tc>
          <w:tcPr>
            <w:tcW w:w="2700"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Comisión Estatal de Derechos Humanos</w:t>
            </w:r>
          </w:p>
        </w:tc>
        <w:tc>
          <w:tcPr>
            <w:tcW w:w="139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21,866,660.40</w:t>
            </w:r>
          </w:p>
        </w:tc>
        <w:tc>
          <w:tcPr>
            <w:tcW w:w="15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24,126,328.98</w:t>
            </w:r>
          </w:p>
        </w:tc>
        <w:tc>
          <w:tcPr>
            <w:tcW w:w="15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22,487,162.71</w:t>
            </w:r>
          </w:p>
        </w:tc>
      </w:tr>
      <w:tr w:rsidR="008E6390" w:rsidRPr="00955A4C" w:rsidTr="008E6390">
        <w:trPr>
          <w:trHeight w:val="615"/>
          <w:jc w:val="center"/>
        </w:trPr>
        <w:tc>
          <w:tcPr>
            <w:tcW w:w="2700"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Instituto Tlaxcalteca de Elecciones</w:t>
            </w:r>
          </w:p>
        </w:tc>
        <w:tc>
          <w:tcPr>
            <w:tcW w:w="139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80,000,000.00</w:t>
            </w:r>
          </w:p>
        </w:tc>
        <w:tc>
          <w:tcPr>
            <w:tcW w:w="15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90,985,997.41</w:t>
            </w:r>
          </w:p>
        </w:tc>
        <w:tc>
          <w:tcPr>
            <w:tcW w:w="15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83,042,151.03</w:t>
            </w:r>
          </w:p>
        </w:tc>
      </w:tr>
      <w:tr w:rsidR="008E6390" w:rsidRPr="00955A4C" w:rsidTr="008E6390">
        <w:trPr>
          <w:trHeight w:val="754"/>
          <w:jc w:val="center"/>
        </w:trPr>
        <w:tc>
          <w:tcPr>
            <w:tcW w:w="2700"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lastRenderedPageBreak/>
              <w:t>Instituto de Acceso a la Información Pública y Protección de Datos Personales</w:t>
            </w:r>
          </w:p>
        </w:tc>
        <w:tc>
          <w:tcPr>
            <w:tcW w:w="139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13,247,826.10</w:t>
            </w:r>
          </w:p>
        </w:tc>
        <w:tc>
          <w:tcPr>
            <w:tcW w:w="15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16,753,892.92</w:t>
            </w:r>
          </w:p>
        </w:tc>
        <w:tc>
          <w:tcPr>
            <w:tcW w:w="15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15,352,090.08</w:t>
            </w:r>
          </w:p>
        </w:tc>
      </w:tr>
      <w:tr w:rsidR="008E6390" w:rsidRPr="00955A4C" w:rsidTr="008E6390">
        <w:trPr>
          <w:trHeight w:val="611"/>
          <w:jc w:val="center"/>
        </w:trPr>
        <w:tc>
          <w:tcPr>
            <w:tcW w:w="2700"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Tribunal de Conciliación y Arbitraje</w:t>
            </w:r>
          </w:p>
        </w:tc>
        <w:tc>
          <w:tcPr>
            <w:tcW w:w="139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13,528,325.40</w:t>
            </w:r>
          </w:p>
        </w:tc>
        <w:tc>
          <w:tcPr>
            <w:tcW w:w="15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15,609,239.44</w:t>
            </w:r>
          </w:p>
        </w:tc>
        <w:tc>
          <w:tcPr>
            <w:tcW w:w="15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15,061,589.44</w:t>
            </w:r>
          </w:p>
        </w:tc>
      </w:tr>
      <w:tr w:rsidR="008E6390" w:rsidRPr="00955A4C" w:rsidTr="008E6390">
        <w:trPr>
          <w:trHeight w:val="615"/>
          <w:jc w:val="center"/>
        </w:trPr>
        <w:tc>
          <w:tcPr>
            <w:tcW w:w="2700" w:type="dxa"/>
            <w:tcBorders>
              <w:top w:val="nil"/>
              <w:left w:val="single" w:sz="8" w:space="0" w:color="A6A6A6"/>
              <w:bottom w:val="single" w:sz="8" w:space="0" w:color="A6A6A6"/>
              <w:right w:val="single" w:sz="8" w:space="0" w:color="A6A6A6"/>
            </w:tcBorders>
            <w:shd w:val="clear" w:color="auto" w:fill="auto"/>
            <w:vAlign w:val="center"/>
            <w:hideMark/>
          </w:tcPr>
          <w:p w:rsidR="008E6390" w:rsidRPr="00955A4C" w:rsidRDefault="008E6390" w:rsidP="008E6390">
            <w:pPr>
              <w:jc w:val="both"/>
              <w:rPr>
                <w:sz w:val="20"/>
                <w:szCs w:val="20"/>
                <w:lang w:eastAsia="es-MX"/>
              </w:rPr>
            </w:pPr>
            <w:r w:rsidRPr="00955A4C">
              <w:rPr>
                <w:sz w:val="20"/>
                <w:szCs w:val="20"/>
                <w:lang w:eastAsia="es-MX"/>
              </w:rPr>
              <w:t>Tribunal Electoral de Tlaxcala</w:t>
            </w:r>
          </w:p>
        </w:tc>
        <w:tc>
          <w:tcPr>
            <w:tcW w:w="139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25,290,600.00</w:t>
            </w:r>
          </w:p>
        </w:tc>
        <w:tc>
          <w:tcPr>
            <w:tcW w:w="15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27,578,989.00</w:t>
            </w:r>
          </w:p>
        </w:tc>
        <w:tc>
          <w:tcPr>
            <w:tcW w:w="15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27,578,989.00</w:t>
            </w:r>
          </w:p>
        </w:tc>
      </w:tr>
      <w:tr w:rsidR="008E6390" w:rsidRPr="00955A4C" w:rsidTr="008E6390">
        <w:trPr>
          <w:trHeight w:val="615"/>
          <w:jc w:val="center"/>
        </w:trPr>
        <w:tc>
          <w:tcPr>
            <w:tcW w:w="2700" w:type="dxa"/>
            <w:tcBorders>
              <w:top w:val="nil"/>
              <w:left w:val="single" w:sz="8" w:space="0" w:color="A6A6A6"/>
              <w:bottom w:val="single" w:sz="8" w:space="0" w:color="A6A6A6"/>
              <w:right w:val="single" w:sz="8" w:space="0" w:color="A6A6A6"/>
            </w:tcBorders>
            <w:shd w:val="clear" w:color="auto" w:fill="auto"/>
            <w:vAlign w:val="center"/>
          </w:tcPr>
          <w:p w:rsidR="008E6390" w:rsidRPr="00955A4C" w:rsidRDefault="008E6390" w:rsidP="008E6390">
            <w:pPr>
              <w:jc w:val="both"/>
              <w:rPr>
                <w:sz w:val="20"/>
                <w:szCs w:val="20"/>
                <w:lang w:eastAsia="es-MX"/>
              </w:rPr>
            </w:pPr>
            <w:r w:rsidRPr="00955A4C">
              <w:rPr>
                <w:sz w:val="20"/>
                <w:szCs w:val="20"/>
                <w:lang w:eastAsia="es-MX"/>
              </w:rPr>
              <w:t>Secretaria Ejecutiva del Sistema Anticorrupción del Estado de Tlaxcala</w:t>
            </w:r>
          </w:p>
        </w:tc>
        <w:tc>
          <w:tcPr>
            <w:tcW w:w="139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0.0</w:t>
            </w:r>
            <w:r w:rsidR="0019116A">
              <w:rPr>
                <w:sz w:val="20"/>
                <w:szCs w:val="20"/>
                <w:lang w:eastAsia="es-MX"/>
              </w:rPr>
              <w:t>0</w:t>
            </w:r>
          </w:p>
        </w:tc>
        <w:tc>
          <w:tcPr>
            <w:tcW w:w="15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15,991,284.12</w:t>
            </w:r>
          </w:p>
        </w:tc>
        <w:tc>
          <w:tcPr>
            <w:tcW w:w="1540" w:type="dxa"/>
            <w:tcBorders>
              <w:top w:val="nil"/>
              <w:left w:val="nil"/>
              <w:bottom w:val="single" w:sz="8" w:space="0" w:color="A6A6A6"/>
              <w:right w:val="single" w:sz="8" w:space="0" w:color="A6A6A6"/>
            </w:tcBorders>
            <w:shd w:val="clear" w:color="auto" w:fill="auto"/>
            <w:vAlign w:val="center"/>
          </w:tcPr>
          <w:p w:rsidR="008E6390" w:rsidRPr="00955A4C" w:rsidRDefault="008E6390" w:rsidP="008E6390">
            <w:pPr>
              <w:jc w:val="right"/>
              <w:rPr>
                <w:sz w:val="20"/>
                <w:szCs w:val="20"/>
                <w:lang w:eastAsia="es-MX"/>
              </w:rPr>
            </w:pPr>
            <w:r>
              <w:rPr>
                <w:sz w:val="20"/>
                <w:szCs w:val="20"/>
                <w:lang w:eastAsia="es-MX"/>
              </w:rPr>
              <w:t>10,931,810.72</w:t>
            </w:r>
          </w:p>
        </w:tc>
      </w:tr>
      <w:tr w:rsidR="008E6390" w:rsidRPr="00955A4C" w:rsidTr="008E6390">
        <w:trPr>
          <w:trHeight w:val="330"/>
          <w:jc w:val="center"/>
        </w:trPr>
        <w:tc>
          <w:tcPr>
            <w:tcW w:w="2700" w:type="dxa"/>
            <w:tcBorders>
              <w:top w:val="nil"/>
              <w:left w:val="single" w:sz="8" w:space="0" w:color="A6A6A6"/>
              <w:bottom w:val="single" w:sz="8" w:space="0" w:color="A6A6A6"/>
              <w:right w:val="single" w:sz="8" w:space="0" w:color="A6A6A6"/>
            </w:tcBorders>
            <w:shd w:val="clear" w:color="000000" w:fill="CCCCCC"/>
            <w:vAlign w:val="center"/>
            <w:hideMark/>
          </w:tcPr>
          <w:p w:rsidR="008E6390" w:rsidRPr="00955A4C" w:rsidRDefault="008E6390" w:rsidP="008E6390">
            <w:pPr>
              <w:jc w:val="center"/>
              <w:rPr>
                <w:b/>
                <w:bCs/>
                <w:sz w:val="20"/>
                <w:szCs w:val="20"/>
                <w:lang w:eastAsia="es-MX"/>
              </w:rPr>
            </w:pPr>
            <w:r w:rsidRPr="00955A4C">
              <w:rPr>
                <w:b/>
                <w:bCs/>
                <w:sz w:val="20"/>
                <w:szCs w:val="20"/>
                <w:lang w:eastAsia="es-MX"/>
              </w:rPr>
              <w:t>TOTAL</w:t>
            </w:r>
          </w:p>
        </w:tc>
        <w:tc>
          <w:tcPr>
            <w:tcW w:w="1390" w:type="dxa"/>
            <w:tcBorders>
              <w:top w:val="nil"/>
              <w:left w:val="nil"/>
              <w:bottom w:val="single" w:sz="8" w:space="0" w:color="A6A6A6"/>
              <w:right w:val="single" w:sz="8" w:space="0" w:color="A6A6A6"/>
            </w:tcBorders>
            <w:shd w:val="clear" w:color="000000" w:fill="CCCCCC"/>
            <w:vAlign w:val="center"/>
          </w:tcPr>
          <w:p w:rsidR="008E6390" w:rsidRPr="00955A4C" w:rsidRDefault="008E6390" w:rsidP="008E6390">
            <w:pPr>
              <w:jc w:val="right"/>
              <w:rPr>
                <w:b/>
                <w:bCs/>
                <w:sz w:val="20"/>
                <w:szCs w:val="20"/>
                <w:lang w:eastAsia="es-MX"/>
              </w:rPr>
            </w:pPr>
            <w:r w:rsidRPr="00D1146A">
              <w:rPr>
                <w:b/>
                <w:bCs/>
                <w:sz w:val="20"/>
                <w:szCs w:val="20"/>
                <w:lang w:eastAsia="es-MX"/>
              </w:rPr>
              <w:t>859,815,328.28</w:t>
            </w:r>
          </w:p>
        </w:tc>
        <w:tc>
          <w:tcPr>
            <w:tcW w:w="1540" w:type="dxa"/>
            <w:tcBorders>
              <w:top w:val="nil"/>
              <w:left w:val="nil"/>
              <w:bottom w:val="single" w:sz="8" w:space="0" w:color="A6A6A6"/>
              <w:right w:val="single" w:sz="8" w:space="0" w:color="A6A6A6"/>
            </w:tcBorders>
            <w:shd w:val="clear" w:color="000000" w:fill="CCCCCC"/>
            <w:vAlign w:val="center"/>
          </w:tcPr>
          <w:p w:rsidR="008E6390" w:rsidRPr="00955A4C" w:rsidRDefault="008E6390" w:rsidP="008E6390">
            <w:pPr>
              <w:jc w:val="right"/>
              <w:rPr>
                <w:b/>
                <w:bCs/>
                <w:sz w:val="20"/>
                <w:szCs w:val="20"/>
                <w:lang w:eastAsia="es-MX"/>
              </w:rPr>
            </w:pPr>
            <w:r w:rsidRPr="00EE1ABD">
              <w:rPr>
                <w:b/>
                <w:bCs/>
                <w:sz w:val="20"/>
                <w:szCs w:val="20"/>
                <w:lang w:eastAsia="es-MX"/>
              </w:rPr>
              <w:t>1,155,714,199.22</w:t>
            </w:r>
          </w:p>
        </w:tc>
        <w:tc>
          <w:tcPr>
            <w:tcW w:w="1540" w:type="dxa"/>
            <w:tcBorders>
              <w:top w:val="nil"/>
              <w:left w:val="nil"/>
              <w:bottom w:val="single" w:sz="8" w:space="0" w:color="A6A6A6"/>
              <w:right w:val="single" w:sz="8" w:space="0" w:color="A6A6A6"/>
            </w:tcBorders>
            <w:shd w:val="clear" w:color="000000" w:fill="CCCCCC"/>
            <w:vAlign w:val="center"/>
          </w:tcPr>
          <w:p w:rsidR="008E6390" w:rsidRPr="00955A4C" w:rsidRDefault="008E6390" w:rsidP="00953436">
            <w:pPr>
              <w:jc w:val="right"/>
              <w:rPr>
                <w:b/>
                <w:bCs/>
                <w:sz w:val="20"/>
                <w:szCs w:val="20"/>
                <w:lang w:eastAsia="es-MX"/>
              </w:rPr>
            </w:pPr>
            <w:r w:rsidRPr="00FC2D6B">
              <w:rPr>
                <w:b/>
                <w:bCs/>
                <w:sz w:val="20"/>
                <w:szCs w:val="20"/>
                <w:lang w:eastAsia="es-MX"/>
              </w:rPr>
              <w:t>1,0</w:t>
            </w:r>
            <w:r w:rsidR="00953436">
              <w:rPr>
                <w:b/>
                <w:bCs/>
                <w:sz w:val="20"/>
                <w:szCs w:val="20"/>
                <w:lang w:eastAsia="es-MX"/>
              </w:rPr>
              <w:t>25,912,347.84</w:t>
            </w:r>
          </w:p>
        </w:tc>
      </w:tr>
    </w:tbl>
    <w:p w:rsidR="008E6390" w:rsidRDefault="008E6390" w:rsidP="008E6390">
      <w:pPr>
        <w:spacing w:after="200" w:line="360" w:lineRule="auto"/>
        <w:jc w:val="both"/>
        <w:rPr>
          <w:rFonts w:eastAsia="Calibri"/>
          <w:b/>
          <w:sz w:val="20"/>
          <w:szCs w:val="20"/>
        </w:rPr>
      </w:pPr>
    </w:p>
    <w:p w:rsidR="00E522C0" w:rsidRDefault="00E522C0" w:rsidP="008E6390">
      <w:pPr>
        <w:spacing w:after="200" w:line="360" w:lineRule="auto"/>
        <w:jc w:val="both"/>
        <w:rPr>
          <w:rFonts w:eastAsia="Calibri"/>
          <w:b/>
          <w:sz w:val="20"/>
          <w:szCs w:val="20"/>
        </w:rPr>
      </w:pPr>
    </w:p>
    <w:p w:rsidR="008E6390" w:rsidRDefault="008E6390" w:rsidP="008E6390">
      <w:pPr>
        <w:spacing w:after="200" w:line="360" w:lineRule="auto"/>
        <w:jc w:val="both"/>
        <w:rPr>
          <w:rFonts w:eastAsia="Calibri"/>
          <w:b/>
          <w:sz w:val="20"/>
          <w:szCs w:val="20"/>
        </w:rPr>
      </w:pPr>
      <w:r>
        <w:rPr>
          <w:rFonts w:eastAsia="Calibri"/>
          <w:b/>
          <w:sz w:val="20"/>
          <w:szCs w:val="20"/>
        </w:rPr>
        <w:t>CONCLUSIÓN</w:t>
      </w:r>
    </w:p>
    <w:p w:rsidR="008E6390" w:rsidRPr="00363D03" w:rsidRDefault="008E6390" w:rsidP="008E6390">
      <w:pPr>
        <w:spacing w:after="200" w:line="360" w:lineRule="auto"/>
        <w:jc w:val="both"/>
        <w:rPr>
          <w:rFonts w:eastAsia="Calibri"/>
          <w:sz w:val="20"/>
          <w:szCs w:val="20"/>
        </w:rPr>
      </w:pPr>
      <w:r>
        <w:rPr>
          <w:rFonts w:eastAsia="Calibri"/>
          <w:sz w:val="20"/>
          <w:szCs w:val="20"/>
        </w:rPr>
        <w:t>Dentro del Plan Estatal de Desarrollo (PED) uno de los Objetivos del actual gobierno es el Impulsar el Desarrollo del Capital Humano en el Estado y premiar el talento; siendo su estrategia Estimular el talento estudiantil con apoyos para continuar con sus estudios, de esa manera, en este Proyecto de Decreto de Presupuesto de Egresos del Estado de Tlaxcala, para el ejercicio 2020, se considera un fondo de $150,000,000.00 para continuar con el apoyo a jóvenes a través del Sistema Estatal de Becas; en el mismo sentido y en apoyo a la economía de las familias Tlaxcaltecas  para incentivar a niños de nivel básico y evitar una deserción a temprana edad, se considera un fondo de $70,000,000.00 para el Programa de Útiles Escolares; así como un fondo de Apoyo para la Rehabilitación de Escuelas Públicas por un monto de $5,000,000.00.</w:t>
      </w:r>
    </w:p>
    <w:p w:rsidR="008E6390" w:rsidRDefault="008E6390" w:rsidP="008E6390">
      <w:pPr>
        <w:spacing w:after="200" w:line="360" w:lineRule="auto"/>
        <w:jc w:val="both"/>
        <w:rPr>
          <w:sz w:val="20"/>
          <w:szCs w:val="20"/>
        </w:rPr>
      </w:pPr>
      <w:r>
        <w:rPr>
          <w:sz w:val="20"/>
          <w:szCs w:val="20"/>
        </w:rPr>
        <w:lastRenderedPageBreak/>
        <w:t xml:space="preserve">Otro de sus objetivos primordiales es Reducir la Vulnerabilidad de la Población en Tlaxcala, siguiendo la Estrategia de Focalizar la cobertura en apoyos en zonas de pobreza extrema a fin de disminuir la inseguridad alimentaria en el Estado, </w:t>
      </w:r>
      <w:r w:rsidRPr="00E3371A">
        <w:rPr>
          <w:sz w:val="20"/>
          <w:szCs w:val="20"/>
        </w:rPr>
        <w:t>toma</w:t>
      </w:r>
      <w:r>
        <w:rPr>
          <w:sz w:val="20"/>
          <w:szCs w:val="20"/>
        </w:rPr>
        <w:t>ndo</w:t>
      </w:r>
      <w:r w:rsidRPr="00E3371A">
        <w:rPr>
          <w:sz w:val="20"/>
          <w:szCs w:val="20"/>
        </w:rPr>
        <w:t xml:space="preserve"> como marco de referencia y línea base, los últimos resultados presentados por el</w:t>
      </w:r>
      <w:r>
        <w:rPr>
          <w:sz w:val="20"/>
          <w:szCs w:val="20"/>
        </w:rPr>
        <w:t xml:space="preserve"> Consejo Nacional de Evaluación de la Política de Desarrollo Social</w:t>
      </w:r>
      <w:r w:rsidRPr="00E3371A">
        <w:rPr>
          <w:sz w:val="20"/>
          <w:szCs w:val="20"/>
        </w:rPr>
        <w:t xml:space="preserve"> </w:t>
      </w:r>
      <w:r>
        <w:rPr>
          <w:sz w:val="20"/>
          <w:szCs w:val="20"/>
        </w:rPr>
        <w:t>(</w:t>
      </w:r>
      <w:r w:rsidRPr="00E3371A">
        <w:rPr>
          <w:sz w:val="20"/>
          <w:szCs w:val="20"/>
        </w:rPr>
        <w:t>CONEVAL</w:t>
      </w:r>
      <w:r>
        <w:rPr>
          <w:sz w:val="20"/>
          <w:szCs w:val="20"/>
        </w:rPr>
        <w:t>)</w:t>
      </w:r>
      <w:r w:rsidRPr="00E3371A">
        <w:rPr>
          <w:sz w:val="20"/>
          <w:szCs w:val="20"/>
        </w:rPr>
        <w:t xml:space="preserve"> en su Informe de Medición de la Pobreza, en el que se resalta una disminución de </w:t>
      </w:r>
      <w:r>
        <w:rPr>
          <w:sz w:val="20"/>
          <w:szCs w:val="20"/>
        </w:rPr>
        <w:t>6.4</w:t>
      </w:r>
      <w:r w:rsidRPr="00E3371A">
        <w:rPr>
          <w:sz w:val="20"/>
          <w:szCs w:val="20"/>
        </w:rPr>
        <w:t>% de la pobreza extrema en el Estado de Tlaxcala</w:t>
      </w:r>
      <w:r>
        <w:rPr>
          <w:sz w:val="20"/>
          <w:szCs w:val="20"/>
        </w:rPr>
        <w:t>, entre los años 2008</w:t>
      </w:r>
      <w:r w:rsidRPr="00E3371A">
        <w:rPr>
          <w:sz w:val="20"/>
          <w:szCs w:val="20"/>
        </w:rPr>
        <w:t>-201</w:t>
      </w:r>
      <w:r>
        <w:rPr>
          <w:sz w:val="20"/>
          <w:szCs w:val="20"/>
        </w:rPr>
        <w:t>8, como se puede ver en la siguiente tabla:</w:t>
      </w:r>
    </w:p>
    <w:p w:rsidR="008E6390" w:rsidRPr="00E3371A" w:rsidRDefault="008E6390" w:rsidP="008E6390">
      <w:pPr>
        <w:spacing w:after="200" w:line="360" w:lineRule="auto"/>
        <w:jc w:val="both"/>
        <w:rPr>
          <w:rFonts w:eastAsia="Calibri"/>
          <w:sz w:val="20"/>
          <w:szCs w:val="20"/>
        </w:rPr>
      </w:pPr>
      <w:r>
        <w:rPr>
          <w:noProof/>
          <w:lang w:val="es-MX" w:eastAsia="es-MX"/>
        </w:rPr>
        <w:drawing>
          <wp:inline distT="0" distB="0" distL="0" distR="0" wp14:anchorId="523D616B" wp14:editId="17CF1812">
            <wp:extent cx="4039262" cy="200876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36586" r="51969" b="20942"/>
                    <a:stretch/>
                  </pic:blipFill>
                  <pic:spPr bwMode="auto">
                    <a:xfrm>
                      <a:off x="0" y="0"/>
                      <a:ext cx="4069320" cy="2023712"/>
                    </a:xfrm>
                    <a:prstGeom prst="rect">
                      <a:avLst/>
                    </a:prstGeom>
                    <a:ln>
                      <a:noFill/>
                    </a:ln>
                    <a:extLst>
                      <a:ext uri="{53640926-AAD7-44D8-BBD7-CCE9431645EC}">
                        <a14:shadowObscured xmlns:a14="http://schemas.microsoft.com/office/drawing/2010/main"/>
                      </a:ext>
                    </a:extLst>
                  </pic:spPr>
                </pic:pic>
              </a:graphicData>
            </a:graphic>
          </wp:inline>
        </w:drawing>
      </w:r>
    </w:p>
    <w:p w:rsidR="008E6390" w:rsidRDefault="008E6390" w:rsidP="008E6390">
      <w:pPr>
        <w:spacing w:after="200" w:line="360" w:lineRule="auto"/>
        <w:jc w:val="both"/>
        <w:rPr>
          <w:sz w:val="20"/>
          <w:szCs w:val="20"/>
        </w:rPr>
      </w:pPr>
      <w:r>
        <w:rPr>
          <w:sz w:val="20"/>
          <w:szCs w:val="20"/>
        </w:rPr>
        <w:t xml:space="preserve">Aunque en los últimos años se han logrado avances en la reducción de la pobreza extrema, persisten carencias sociales, razón por lo cual se considera un fondo de $450,000,000.00 para continuar disminuyendo esa población que aún persiste en pobreza extrema y de esta forma </w:t>
      </w:r>
      <w:r w:rsidRPr="00E3371A">
        <w:rPr>
          <w:sz w:val="20"/>
          <w:szCs w:val="20"/>
        </w:rPr>
        <w:t xml:space="preserve">garantizar más y mejores oportunidades que coadyuven al </w:t>
      </w:r>
      <w:r>
        <w:rPr>
          <w:sz w:val="20"/>
          <w:szCs w:val="20"/>
        </w:rPr>
        <w:t>desarrollo</w:t>
      </w:r>
      <w:r w:rsidRPr="00E3371A">
        <w:rPr>
          <w:sz w:val="20"/>
          <w:szCs w:val="20"/>
        </w:rPr>
        <w:t xml:space="preserve"> de las familias</w:t>
      </w:r>
      <w:r>
        <w:rPr>
          <w:sz w:val="20"/>
          <w:szCs w:val="20"/>
        </w:rPr>
        <w:t>.</w:t>
      </w:r>
      <w:r w:rsidRPr="00E3371A">
        <w:rPr>
          <w:sz w:val="20"/>
          <w:szCs w:val="20"/>
        </w:rPr>
        <w:t xml:space="preserve"> </w:t>
      </w:r>
    </w:p>
    <w:p w:rsidR="008E6390" w:rsidRDefault="008E6390" w:rsidP="008E6390">
      <w:pPr>
        <w:spacing w:after="200" w:line="360" w:lineRule="auto"/>
        <w:jc w:val="both"/>
        <w:rPr>
          <w:sz w:val="20"/>
          <w:szCs w:val="20"/>
        </w:rPr>
      </w:pPr>
      <w:r w:rsidRPr="00816684">
        <w:rPr>
          <w:sz w:val="20"/>
          <w:szCs w:val="20"/>
        </w:rPr>
        <w:t>Una de las principales obligaciones de los gobiernos es proteger el acceso a los servicios de salud para la población.</w:t>
      </w:r>
      <w:r>
        <w:rPr>
          <w:sz w:val="20"/>
          <w:szCs w:val="20"/>
        </w:rPr>
        <w:t xml:space="preserve"> </w:t>
      </w:r>
      <w:r w:rsidRPr="00816684">
        <w:rPr>
          <w:sz w:val="20"/>
          <w:szCs w:val="20"/>
        </w:rPr>
        <w:t>La salud física y mental de una sociedad es, a la vez, reflejo y</w:t>
      </w:r>
      <w:r>
        <w:rPr>
          <w:sz w:val="20"/>
          <w:szCs w:val="20"/>
        </w:rPr>
        <w:t xml:space="preserve"> </w:t>
      </w:r>
      <w:r w:rsidRPr="00816684">
        <w:rPr>
          <w:sz w:val="20"/>
          <w:szCs w:val="20"/>
        </w:rPr>
        <w:t>factor determinante de su grado de desarrollo</w:t>
      </w:r>
      <w:r>
        <w:rPr>
          <w:sz w:val="20"/>
          <w:szCs w:val="20"/>
        </w:rPr>
        <w:t>. Por lo anterior se consideran los siguientes fondos:</w:t>
      </w:r>
    </w:p>
    <w:p w:rsidR="008E6390" w:rsidRDefault="008E6390" w:rsidP="008E6390">
      <w:pPr>
        <w:pStyle w:val="Prrafodelista"/>
        <w:numPr>
          <w:ilvl w:val="0"/>
          <w:numId w:val="46"/>
        </w:numPr>
        <w:spacing w:after="200" w:line="360" w:lineRule="auto"/>
        <w:jc w:val="both"/>
        <w:rPr>
          <w:sz w:val="20"/>
          <w:szCs w:val="20"/>
        </w:rPr>
      </w:pPr>
      <w:r>
        <w:rPr>
          <w:sz w:val="20"/>
          <w:szCs w:val="20"/>
        </w:rPr>
        <w:t>Equipamiento del Nuevo Hospital General por un monto de $300</w:t>
      </w:r>
      <w:proofErr w:type="gramStart"/>
      <w:r>
        <w:rPr>
          <w:sz w:val="20"/>
          <w:szCs w:val="20"/>
        </w:rPr>
        <w:t>,000,000.00</w:t>
      </w:r>
      <w:proofErr w:type="gramEnd"/>
      <w:r>
        <w:rPr>
          <w:sz w:val="20"/>
          <w:szCs w:val="20"/>
        </w:rPr>
        <w:t xml:space="preserve">; el no tener equipo médico necesario implica tener que subrogar servicios a otras instituciones para el </w:t>
      </w:r>
      <w:r>
        <w:rPr>
          <w:sz w:val="20"/>
          <w:szCs w:val="20"/>
        </w:rPr>
        <w:lastRenderedPageBreak/>
        <w:t>tratamiento médico de los pacientes, generando incremento en los costos de operación de las unidades médicas.</w:t>
      </w:r>
    </w:p>
    <w:p w:rsidR="008E6390" w:rsidRDefault="008E6390" w:rsidP="008E6390">
      <w:pPr>
        <w:pStyle w:val="Prrafodelista"/>
        <w:numPr>
          <w:ilvl w:val="0"/>
          <w:numId w:val="46"/>
        </w:numPr>
        <w:spacing w:after="200" w:line="360" w:lineRule="auto"/>
        <w:jc w:val="both"/>
        <w:rPr>
          <w:sz w:val="20"/>
          <w:szCs w:val="20"/>
        </w:rPr>
      </w:pPr>
      <w:r>
        <w:rPr>
          <w:sz w:val="20"/>
          <w:szCs w:val="20"/>
        </w:rPr>
        <w:t>Fondo de Abastecimiento de Medicamentos por un monto de $200,000,000.00; l</w:t>
      </w:r>
      <w:r w:rsidRPr="00296E0F">
        <w:rPr>
          <w:sz w:val="20"/>
          <w:szCs w:val="20"/>
        </w:rPr>
        <w:t>a actual situación demográfica y epidemiológica en el Estado de Tlaxcala tiende a aumentar la prevalencia de enfermedades crónicas degenerativas, simultáneamente con la aparición de algunas enfermedades transmisibles emergentes o reemergentes que demandan un consumo prolongado de medicamentos, en muchos casos por el período restante de vida. Sin embargo toda la prestación de servicios médicos va acompañada del suministro de medicamentos necesarios para un adecuado tratamiento que permita restablecer la salud del paciente.</w:t>
      </w:r>
    </w:p>
    <w:p w:rsidR="008E6390" w:rsidRDefault="008E6390" w:rsidP="008E6390">
      <w:pPr>
        <w:pStyle w:val="Prrafodelista"/>
        <w:numPr>
          <w:ilvl w:val="0"/>
          <w:numId w:val="46"/>
        </w:numPr>
        <w:spacing w:after="200" w:line="360" w:lineRule="auto"/>
        <w:jc w:val="both"/>
        <w:rPr>
          <w:sz w:val="20"/>
          <w:szCs w:val="20"/>
        </w:rPr>
      </w:pPr>
      <w:r>
        <w:rPr>
          <w:sz w:val="20"/>
          <w:szCs w:val="20"/>
        </w:rPr>
        <w:t>Programa de Mantenimiento, Rehabilitación y Equipamiento para Hospitales y Centros de Salud por un monto de $115</w:t>
      </w:r>
      <w:proofErr w:type="gramStart"/>
      <w:r>
        <w:rPr>
          <w:sz w:val="20"/>
          <w:szCs w:val="20"/>
        </w:rPr>
        <w:t>,000,000.00</w:t>
      </w:r>
      <w:proofErr w:type="gramEnd"/>
      <w:r>
        <w:rPr>
          <w:sz w:val="20"/>
          <w:szCs w:val="20"/>
        </w:rPr>
        <w:t>; es necesario invertir para dar conservación y mantenimiento a la infraestructura  física de las unidades médicas, la inversión en infraestructura permite tener espacios dignos, seguros y funcionales para cumplir con la normatividad vigente, satisfacer la creciente demanda de servicios de la población y asegurar atención médica de calidad.</w:t>
      </w:r>
    </w:p>
    <w:p w:rsidR="008E6390" w:rsidRDefault="008E6390" w:rsidP="008E6390">
      <w:pPr>
        <w:pStyle w:val="Prrafodelista"/>
        <w:numPr>
          <w:ilvl w:val="0"/>
          <w:numId w:val="46"/>
        </w:numPr>
        <w:spacing w:after="200" w:line="360" w:lineRule="auto"/>
        <w:jc w:val="both"/>
        <w:rPr>
          <w:sz w:val="20"/>
          <w:szCs w:val="20"/>
        </w:rPr>
      </w:pPr>
      <w:r w:rsidRPr="00B8508B">
        <w:rPr>
          <w:sz w:val="20"/>
          <w:szCs w:val="20"/>
        </w:rPr>
        <w:t>Actualmente, las mujeres representan el 40% de l</w:t>
      </w:r>
      <w:r>
        <w:rPr>
          <w:sz w:val="20"/>
          <w:szCs w:val="20"/>
        </w:rPr>
        <w:t>a fuerza laboral a nivel global,</w:t>
      </w:r>
      <w:r w:rsidRPr="00B8508B">
        <w:rPr>
          <w:sz w:val="20"/>
          <w:szCs w:val="20"/>
        </w:rPr>
        <w:t xml:space="preserve"> </w:t>
      </w:r>
      <w:r>
        <w:rPr>
          <w:sz w:val="20"/>
          <w:szCs w:val="20"/>
        </w:rPr>
        <w:t>i</w:t>
      </w:r>
      <w:r w:rsidRPr="00B8508B">
        <w:rPr>
          <w:sz w:val="20"/>
          <w:szCs w:val="20"/>
        </w:rPr>
        <w:t>ndependientemente del lugar donde vivamos, la igualdad de género es un derecho humano fundamental. Promover la igualdad de género es esencial en todos los ámbitos de sociedad sana: desde la reducción de la pobreza hasta la promoción de la salud, la educación, la protecc</w:t>
      </w:r>
      <w:r>
        <w:rPr>
          <w:sz w:val="20"/>
          <w:szCs w:val="20"/>
        </w:rPr>
        <w:t>ión y el bienestar de las niñas; por eso es importante invertir en la Equidad de Género al considerar las desigualdades históricas entre hombres y mujeres la perspectiva de género se constituye en un factor determinante de salud e ingrediente ineludible para la formulación de políticas públicas, en razón de lo anterior se considera un fondo de $100,000,000.00 para el Programa para la Salud de la Mujer y $15,622,521.75 para un Programa de Equidad de Género.</w:t>
      </w:r>
    </w:p>
    <w:p w:rsidR="008E6390" w:rsidRDefault="008E6390" w:rsidP="008E6390">
      <w:pPr>
        <w:spacing w:after="200" w:line="360" w:lineRule="auto"/>
        <w:jc w:val="both"/>
        <w:rPr>
          <w:sz w:val="20"/>
          <w:szCs w:val="20"/>
        </w:rPr>
      </w:pPr>
      <w:r>
        <w:rPr>
          <w:sz w:val="20"/>
          <w:szCs w:val="20"/>
        </w:rPr>
        <w:lastRenderedPageBreak/>
        <w:t>Dentro de las Estrategias de este Gobierno está el Mejorar las condiciones salariales del personal policial y el apoyo para familias de policías caídos en cumplimiento de su deber, por lo anterior se considera un fondo de $70</w:t>
      </w:r>
      <w:proofErr w:type="gramStart"/>
      <w:r>
        <w:rPr>
          <w:sz w:val="20"/>
          <w:szCs w:val="20"/>
        </w:rPr>
        <w:t>,000,000.00</w:t>
      </w:r>
      <w:proofErr w:type="gramEnd"/>
      <w:r>
        <w:rPr>
          <w:sz w:val="20"/>
          <w:szCs w:val="20"/>
        </w:rPr>
        <w:t xml:space="preserve"> para familias de los oficiales caídos.</w:t>
      </w:r>
    </w:p>
    <w:p w:rsidR="008E6390" w:rsidRDefault="008E6390" w:rsidP="008E6390">
      <w:pPr>
        <w:spacing w:after="200" w:line="360" w:lineRule="auto"/>
        <w:jc w:val="both"/>
        <w:rPr>
          <w:sz w:val="20"/>
          <w:szCs w:val="20"/>
        </w:rPr>
      </w:pPr>
      <w:r>
        <w:rPr>
          <w:sz w:val="20"/>
          <w:szCs w:val="20"/>
        </w:rPr>
        <w:t xml:space="preserve">Hoy, el Estado de </w:t>
      </w:r>
      <w:r w:rsidRPr="00101529">
        <w:rPr>
          <w:sz w:val="20"/>
          <w:szCs w:val="20"/>
        </w:rPr>
        <w:t xml:space="preserve">Tlaxcala es </w:t>
      </w:r>
      <w:r>
        <w:rPr>
          <w:sz w:val="20"/>
          <w:szCs w:val="20"/>
        </w:rPr>
        <w:t>el segundo más seguros del país, e</w:t>
      </w:r>
      <w:r w:rsidRPr="00101529">
        <w:rPr>
          <w:sz w:val="20"/>
          <w:szCs w:val="20"/>
        </w:rPr>
        <w:t>stas condiciones favorables en seguridad pública, son un activo</w:t>
      </w:r>
      <w:r>
        <w:rPr>
          <w:sz w:val="20"/>
          <w:szCs w:val="20"/>
        </w:rPr>
        <w:t xml:space="preserve"> </w:t>
      </w:r>
      <w:r w:rsidRPr="00101529">
        <w:rPr>
          <w:sz w:val="20"/>
          <w:szCs w:val="20"/>
        </w:rPr>
        <w:t>que nuestra entidad debe conservar y fortalecer, no sólo como</w:t>
      </w:r>
      <w:r>
        <w:rPr>
          <w:sz w:val="20"/>
          <w:szCs w:val="20"/>
        </w:rPr>
        <w:t xml:space="preserve"> </w:t>
      </w:r>
      <w:r w:rsidRPr="00101529">
        <w:rPr>
          <w:sz w:val="20"/>
          <w:szCs w:val="20"/>
        </w:rPr>
        <w:t>un factor relevante para nuestra población, sino también como</w:t>
      </w:r>
      <w:r>
        <w:rPr>
          <w:sz w:val="20"/>
          <w:szCs w:val="20"/>
        </w:rPr>
        <w:t xml:space="preserve"> </w:t>
      </w:r>
      <w:r w:rsidRPr="00101529">
        <w:rPr>
          <w:sz w:val="20"/>
          <w:szCs w:val="20"/>
        </w:rPr>
        <w:t xml:space="preserve">una ventaja frente a otros estados del país, para atraer inversión </w:t>
      </w:r>
      <w:r>
        <w:rPr>
          <w:sz w:val="20"/>
          <w:szCs w:val="20"/>
        </w:rPr>
        <w:t>productiva a nuestro territorio, con el fin de dar continuidad y fortalecer estas condiciones, es necesario tener un fondo para la Seguridad Pública por un monto de $100,000,000.00.</w:t>
      </w:r>
    </w:p>
    <w:p w:rsidR="008E6390" w:rsidRDefault="008E6390" w:rsidP="008E6390">
      <w:pPr>
        <w:spacing w:after="200" w:line="360" w:lineRule="auto"/>
        <w:jc w:val="both"/>
        <w:rPr>
          <w:sz w:val="20"/>
          <w:szCs w:val="20"/>
        </w:rPr>
      </w:pPr>
      <w:r>
        <w:rPr>
          <w:sz w:val="20"/>
          <w:szCs w:val="20"/>
        </w:rPr>
        <w:t xml:space="preserve"> A pesar de ser un Estado seguro, se deben implementar modelos para prevenir la violencia y delincuencia mediante la creación artística y deportiva, de intervenciones socio productivas para adolescentes y jóvenes, de intervención de consumo problemático, de intervención en el ámbito escolar y acciones de evaluación, entre otros; siendo la causa para considerar un fondo para el Programa de Prevención del Delito por un monto de $53</w:t>
      </w:r>
      <w:proofErr w:type="gramStart"/>
      <w:r>
        <w:rPr>
          <w:sz w:val="20"/>
          <w:szCs w:val="20"/>
        </w:rPr>
        <w:t>,000,000.00</w:t>
      </w:r>
      <w:proofErr w:type="gramEnd"/>
      <w:r>
        <w:rPr>
          <w:sz w:val="20"/>
          <w:szCs w:val="20"/>
        </w:rPr>
        <w:t>.</w:t>
      </w:r>
    </w:p>
    <w:p w:rsidR="00F62331" w:rsidRPr="001A05CB" w:rsidRDefault="001A05CB" w:rsidP="008E6390">
      <w:pPr>
        <w:spacing w:line="360" w:lineRule="auto"/>
        <w:jc w:val="both"/>
        <w:rPr>
          <w:sz w:val="20"/>
          <w:szCs w:val="20"/>
        </w:rPr>
      </w:pPr>
      <w:r>
        <w:rPr>
          <w:sz w:val="20"/>
          <w:szCs w:val="20"/>
        </w:rPr>
        <w:t>Por último</w:t>
      </w:r>
      <w:r w:rsidR="002A02E4">
        <w:rPr>
          <w:sz w:val="20"/>
          <w:szCs w:val="20"/>
        </w:rPr>
        <w:t>,</w:t>
      </w:r>
      <w:r>
        <w:rPr>
          <w:sz w:val="20"/>
          <w:szCs w:val="20"/>
        </w:rPr>
        <w:t xml:space="preserve"> derivado de la priorización de programas por parte del Gobierno Federal</w:t>
      </w:r>
      <w:r w:rsidR="002A02E4">
        <w:rPr>
          <w:sz w:val="20"/>
          <w:szCs w:val="20"/>
        </w:rPr>
        <w:t>,</w:t>
      </w:r>
      <w:r>
        <w:rPr>
          <w:sz w:val="20"/>
          <w:szCs w:val="20"/>
        </w:rPr>
        <w:t xml:space="preserve"> y con la finalidad de dar continuidad a los Macro proyectos emblemáticos de esta Administración</w:t>
      </w:r>
      <w:r w:rsidR="002A02E4">
        <w:rPr>
          <w:sz w:val="20"/>
          <w:szCs w:val="20"/>
        </w:rPr>
        <w:t>,</w:t>
      </w:r>
      <w:r>
        <w:rPr>
          <w:sz w:val="20"/>
          <w:szCs w:val="20"/>
        </w:rPr>
        <w:t xml:space="preserve"> se </w:t>
      </w:r>
      <w:proofErr w:type="gramStart"/>
      <w:r>
        <w:rPr>
          <w:sz w:val="20"/>
          <w:szCs w:val="20"/>
        </w:rPr>
        <w:t>destina  un</w:t>
      </w:r>
      <w:proofErr w:type="gramEnd"/>
      <w:r>
        <w:rPr>
          <w:sz w:val="20"/>
          <w:szCs w:val="20"/>
        </w:rPr>
        <w:t xml:space="preserve"> presupuesto por el orden de $300,000,000.00, con el objeto de que sea concluida en tiempo y forma. </w:t>
      </w:r>
    </w:p>
    <w:sectPr w:rsidR="00F62331" w:rsidRPr="001A05CB" w:rsidSect="00955A4C">
      <w:footerReference w:type="default" r:id="rId45"/>
      <w:pgSz w:w="12240" w:h="15840"/>
      <w:pgMar w:top="3119" w:right="1021" w:bottom="1701" w:left="311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90F" w:rsidRDefault="008E090F" w:rsidP="0037578E">
      <w:r>
        <w:separator/>
      </w:r>
    </w:p>
  </w:endnote>
  <w:endnote w:type="continuationSeparator" w:id="0">
    <w:p w:rsidR="008E090F" w:rsidRDefault="008E090F" w:rsidP="00375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LT">
    <w:altName w:val="Univers 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WenQuanYi Micro Hei">
    <w:altName w:val="MS Mincho"/>
    <w:charset w:val="80"/>
    <w:family w:val="auto"/>
    <w:pitch w:val="variable"/>
  </w:font>
  <w:font w:name="Lohit Hindi">
    <w:altName w:val="MS Mincho"/>
    <w:charset w:val="80"/>
    <w:family w:val="auto"/>
    <w:pitch w:val="variable"/>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390" w:rsidRDefault="008E6390">
    <w:pPr>
      <w:pStyle w:val="Piedepgina"/>
      <w:jc w:val="right"/>
    </w:pPr>
    <w:r>
      <w:fldChar w:fldCharType="begin"/>
    </w:r>
    <w:r>
      <w:instrText>PAGE   \* MERGEFORMAT</w:instrText>
    </w:r>
    <w:r>
      <w:fldChar w:fldCharType="separate"/>
    </w:r>
    <w:r w:rsidR="00A12439">
      <w:rPr>
        <w:noProof/>
      </w:rPr>
      <w:t>74</w:t>
    </w:r>
    <w:r>
      <w:fldChar w:fldCharType="end"/>
    </w:r>
  </w:p>
  <w:p w:rsidR="008E6390" w:rsidRDefault="008E6390" w:rsidP="00B8501C">
    <w:pPr>
      <w:pStyle w:val="Piedepgina"/>
      <w:spacing w:after="1560"/>
    </w:pPr>
  </w:p>
  <w:p w:rsidR="008E6390" w:rsidRDefault="008E63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90F" w:rsidRDefault="008E090F" w:rsidP="0037578E">
      <w:r>
        <w:separator/>
      </w:r>
    </w:p>
  </w:footnote>
  <w:footnote w:type="continuationSeparator" w:id="0">
    <w:p w:rsidR="008E090F" w:rsidRDefault="008E090F" w:rsidP="0037578E">
      <w:r>
        <w:continuationSeparator/>
      </w:r>
    </w:p>
  </w:footnote>
  <w:footnote w:id="1">
    <w:p w:rsidR="008E6390" w:rsidRDefault="008E6390" w:rsidP="002F621E">
      <w:pPr>
        <w:pStyle w:val="Textonotapie"/>
        <w:rPr>
          <w:sz w:val="16"/>
        </w:rPr>
      </w:pPr>
      <w:r>
        <w:rPr>
          <w:rStyle w:val="Refdenotaalpie"/>
          <w:b/>
          <w:sz w:val="16"/>
        </w:rPr>
        <w:footnoteRef/>
      </w:r>
      <w:r>
        <w:rPr>
          <w:sz w:val="16"/>
        </w:rPr>
        <w:t xml:space="preserve"> Valuaciones Actuariales del Norte, S.C. Consultoría Actuarial.</w:t>
      </w:r>
    </w:p>
  </w:footnote>
  <w:footnote w:id="2">
    <w:p w:rsidR="008E6390" w:rsidRDefault="008E6390" w:rsidP="008E6390">
      <w:pPr>
        <w:pStyle w:val="Textonotapie"/>
        <w:rPr>
          <w:sz w:val="16"/>
        </w:rPr>
      </w:pPr>
      <w:r>
        <w:rPr>
          <w:rStyle w:val="Refdenotaalpie"/>
          <w:b/>
          <w:sz w:val="16"/>
        </w:rPr>
        <w:footnoteRef/>
      </w:r>
      <w:r>
        <w:rPr>
          <w:sz w:val="16"/>
        </w:rPr>
        <w:t xml:space="preserve"> Valuaciones Actuariales del Norte, S.C. Consultoría Actuarial.</w:t>
      </w:r>
    </w:p>
  </w:footnote>
  <w:footnote w:id="3">
    <w:p w:rsidR="008E6390" w:rsidRPr="003420E3" w:rsidRDefault="008E6390" w:rsidP="008E6390">
      <w:pPr>
        <w:pStyle w:val="Textonotapie"/>
        <w:rPr>
          <w:lang w:val="es-MX"/>
        </w:rPr>
      </w:pPr>
      <w:r>
        <w:rPr>
          <w:rStyle w:val="Refdenotaalpie"/>
        </w:rPr>
        <w:footnoteRef/>
      </w:r>
      <w:r>
        <w:t xml:space="preserve"> </w:t>
      </w:r>
      <w:r w:rsidRPr="003420E3">
        <w:rPr>
          <w:sz w:val="16"/>
          <w:szCs w:val="16"/>
        </w:rPr>
        <w:t>Instituto Nacional de Estadística y Geografía (INEGI), 10 de diciembre de 2018. Cifras preliminares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24A82B0"/>
    <w:lvl w:ilvl="0">
      <w:numFmt w:val="decimal"/>
      <w:pStyle w:val="Ttulo9"/>
      <w:lvlText w:val="%1"/>
      <w:legacy w:legacy="1" w:legacySpace="0" w:legacyIndent="0"/>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01ED221F"/>
    <w:multiLevelType w:val="hybridMultilevel"/>
    <w:tmpl w:val="540A89C4"/>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B1B6402A">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7643D5"/>
    <w:multiLevelType w:val="hybridMultilevel"/>
    <w:tmpl w:val="E402AF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0A3BA7"/>
    <w:multiLevelType w:val="hybridMultilevel"/>
    <w:tmpl w:val="24D8E102"/>
    <w:lvl w:ilvl="0" w:tplc="D0DE75BC">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904B1B"/>
    <w:multiLevelType w:val="hybridMultilevel"/>
    <w:tmpl w:val="0F9C2D38"/>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C6051E"/>
    <w:multiLevelType w:val="hybridMultilevel"/>
    <w:tmpl w:val="28D495C0"/>
    <w:lvl w:ilvl="0" w:tplc="07303E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D1340C"/>
    <w:multiLevelType w:val="hybridMultilevel"/>
    <w:tmpl w:val="D21039BA"/>
    <w:lvl w:ilvl="0" w:tplc="B6C2AD22">
      <w:start w:val="1"/>
      <w:numFmt w:val="lowerRoman"/>
      <w:lvlText w:val="%1)"/>
      <w:lvlJc w:val="left"/>
      <w:pPr>
        <w:ind w:left="1080" w:hanging="720"/>
      </w:pPr>
      <w:rPr>
        <w:rFonts w:hint="default"/>
      </w:rPr>
    </w:lvl>
    <w:lvl w:ilvl="1" w:tplc="034862F2">
      <w:numFmt w:val="bullet"/>
      <w:lvlText w:val=""/>
      <w:lvlJc w:val="left"/>
      <w:pPr>
        <w:ind w:left="1440" w:hanging="360"/>
      </w:pPr>
      <w:rPr>
        <w:rFonts w:ascii="Symbol" w:eastAsia="Times New Roman"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697622"/>
    <w:multiLevelType w:val="hybridMultilevel"/>
    <w:tmpl w:val="7D686EF2"/>
    <w:lvl w:ilvl="0" w:tplc="442223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460063"/>
    <w:multiLevelType w:val="hybridMultilevel"/>
    <w:tmpl w:val="E2E4BF2E"/>
    <w:lvl w:ilvl="0" w:tplc="080A000F">
      <w:start w:val="1"/>
      <w:numFmt w:val="decimal"/>
      <w:lvlText w:val="%1."/>
      <w:lvlJc w:val="left"/>
      <w:pPr>
        <w:ind w:left="349" w:hanging="360"/>
      </w:pPr>
      <w:rPr>
        <w:rFonts w:hint="default"/>
      </w:rPr>
    </w:lvl>
    <w:lvl w:ilvl="1" w:tplc="080A000F">
      <w:start w:val="1"/>
      <w:numFmt w:val="decimal"/>
      <w:lvlText w:val="%2."/>
      <w:lvlJc w:val="left"/>
      <w:pPr>
        <w:ind w:left="1069" w:hanging="360"/>
      </w:pPr>
    </w:lvl>
    <w:lvl w:ilvl="2" w:tplc="080A001B" w:tentative="1">
      <w:start w:val="1"/>
      <w:numFmt w:val="lowerRoman"/>
      <w:lvlText w:val="%3."/>
      <w:lvlJc w:val="right"/>
      <w:pPr>
        <w:ind w:left="1789" w:hanging="180"/>
      </w:pPr>
    </w:lvl>
    <w:lvl w:ilvl="3" w:tplc="080A000F" w:tentative="1">
      <w:start w:val="1"/>
      <w:numFmt w:val="decimal"/>
      <w:lvlText w:val="%4."/>
      <w:lvlJc w:val="left"/>
      <w:pPr>
        <w:ind w:left="2509" w:hanging="360"/>
      </w:pPr>
    </w:lvl>
    <w:lvl w:ilvl="4" w:tplc="080A0019" w:tentative="1">
      <w:start w:val="1"/>
      <w:numFmt w:val="lowerLetter"/>
      <w:lvlText w:val="%5."/>
      <w:lvlJc w:val="left"/>
      <w:pPr>
        <w:ind w:left="3229" w:hanging="360"/>
      </w:pPr>
    </w:lvl>
    <w:lvl w:ilvl="5" w:tplc="080A001B" w:tentative="1">
      <w:start w:val="1"/>
      <w:numFmt w:val="lowerRoman"/>
      <w:lvlText w:val="%6."/>
      <w:lvlJc w:val="right"/>
      <w:pPr>
        <w:ind w:left="3949" w:hanging="180"/>
      </w:pPr>
    </w:lvl>
    <w:lvl w:ilvl="6" w:tplc="080A000F" w:tentative="1">
      <w:start w:val="1"/>
      <w:numFmt w:val="decimal"/>
      <w:lvlText w:val="%7."/>
      <w:lvlJc w:val="left"/>
      <w:pPr>
        <w:ind w:left="4669" w:hanging="360"/>
      </w:pPr>
    </w:lvl>
    <w:lvl w:ilvl="7" w:tplc="080A0019" w:tentative="1">
      <w:start w:val="1"/>
      <w:numFmt w:val="lowerLetter"/>
      <w:lvlText w:val="%8."/>
      <w:lvlJc w:val="left"/>
      <w:pPr>
        <w:ind w:left="5389" w:hanging="360"/>
      </w:pPr>
    </w:lvl>
    <w:lvl w:ilvl="8" w:tplc="080A001B" w:tentative="1">
      <w:start w:val="1"/>
      <w:numFmt w:val="lowerRoman"/>
      <w:lvlText w:val="%9."/>
      <w:lvlJc w:val="right"/>
      <w:pPr>
        <w:ind w:left="6109" w:hanging="180"/>
      </w:pPr>
    </w:lvl>
  </w:abstractNum>
  <w:abstractNum w:abstractNumId="9">
    <w:nsid w:val="201615C5"/>
    <w:multiLevelType w:val="hybridMultilevel"/>
    <w:tmpl w:val="A8C88E46"/>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10">
    <w:nsid w:val="28836CAF"/>
    <w:multiLevelType w:val="hybridMultilevel"/>
    <w:tmpl w:val="E70C3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D3E6FE9"/>
    <w:multiLevelType w:val="hybridMultilevel"/>
    <w:tmpl w:val="449229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EEF3874"/>
    <w:multiLevelType w:val="hybridMultilevel"/>
    <w:tmpl w:val="D2EC4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567788B"/>
    <w:multiLevelType w:val="hybridMultilevel"/>
    <w:tmpl w:val="B202AE24"/>
    <w:lvl w:ilvl="0" w:tplc="2DF69A96">
      <w:start w:val="1"/>
      <w:numFmt w:val="upperRoman"/>
      <w:pStyle w:val="Ttulo2"/>
      <w:lvlText w:val="%1."/>
      <w:lvlJc w:val="left"/>
      <w:pPr>
        <w:tabs>
          <w:tab w:val="num" w:pos="1080"/>
        </w:tabs>
        <w:ind w:left="1080" w:hanging="72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617485A"/>
    <w:multiLevelType w:val="hybridMultilevel"/>
    <w:tmpl w:val="D6B4573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8CB02C6"/>
    <w:multiLevelType w:val="multilevel"/>
    <w:tmpl w:val="21F2A52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95E1664"/>
    <w:multiLevelType w:val="hybridMultilevel"/>
    <w:tmpl w:val="91AE234A"/>
    <w:lvl w:ilvl="0" w:tplc="3F80604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F3C1A03"/>
    <w:multiLevelType w:val="hybridMultilevel"/>
    <w:tmpl w:val="13786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95F0277"/>
    <w:multiLevelType w:val="hybridMultilevel"/>
    <w:tmpl w:val="46F219B8"/>
    <w:lvl w:ilvl="0" w:tplc="40F8F29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E4A3DAF"/>
    <w:multiLevelType w:val="hybridMultilevel"/>
    <w:tmpl w:val="461858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E8F079A"/>
    <w:multiLevelType w:val="hybridMultilevel"/>
    <w:tmpl w:val="1444FC6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7">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5100364"/>
    <w:multiLevelType w:val="hybridMultilevel"/>
    <w:tmpl w:val="C4AC79B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6751C0A"/>
    <w:multiLevelType w:val="hybridMultilevel"/>
    <w:tmpl w:val="BDEA5C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15A78FF"/>
    <w:multiLevelType w:val="hybridMultilevel"/>
    <w:tmpl w:val="449229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3C82FE9"/>
    <w:multiLevelType w:val="hybridMultilevel"/>
    <w:tmpl w:val="7F7C55D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nsid w:val="657F0363"/>
    <w:multiLevelType w:val="hybridMultilevel"/>
    <w:tmpl w:val="170C9744"/>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59301C9"/>
    <w:multiLevelType w:val="multilevel"/>
    <w:tmpl w:val="7AC2C94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6F81005C"/>
    <w:multiLevelType w:val="hybridMultilevel"/>
    <w:tmpl w:val="C04E12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16E69E9"/>
    <w:multiLevelType w:val="hybridMultilevel"/>
    <w:tmpl w:val="5CDA7654"/>
    <w:lvl w:ilvl="0" w:tplc="1F08F61E">
      <w:start w:val="1"/>
      <w:numFmt w:val="decimal"/>
      <w:lvlText w:val="%1."/>
      <w:lvlJc w:val="left"/>
      <w:pPr>
        <w:ind w:left="349" w:hanging="360"/>
      </w:pPr>
      <w:rPr>
        <w:rFonts w:hint="default"/>
      </w:rPr>
    </w:lvl>
    <w:lvl w:ilvl="1" w:tplc="080A0019" w:tentative="1">
      <w:start w:val="1"/>
      <w:numFmt w:val="lowerLetter"/>
      <w:lvlText w:val="%2."/>
      <w:lvlJc w:val="left"/>
      <w:pPr>
        <w:ind w:left="1069" w:hanging="360"/>
      </w:pPr>
    </w:lvl>
    <w:lvl w:ilvl="2" w:tplc="080A001B" w:tentative="1">
      <w:start w:val="1"/>
      <w:numFmt w:val="lowerRoman"/>
      <w:lvlText w:val="%3."/>
      <w:lvlJc w:val="right"/>
      <w:pPr>
        <w:ind w:left="1789" w:hanging="180"/>
      </w:pPr>
    </w:lvl>
    <w:lvl w:ilvl="3" w:tplc="080A000F" w:tentative="1">
      <w:start w:val="1"/>
      <w:numFmt w:val="decimal"/>
      <w:lvlText w:val="%4."/>
      <w:lvlJc w:val="left"/>
      <w:pPr>
        <w:ind w:left="2509" w:hanging="360"/>
      </w:pPr>
    </w:lvl>
    <w:lvl w:ilvl="4" w:tplc="080A0019" w:tentative="1">
      <w:start w:val="1"/>
      <w:numFmt w:val="lowerLetter"/>
      <w:lvlText w:val="%5."/>
      <w:lvlJc w:val="left"/>
      <w:pPr>
        <w:ind w:left="3229" w:hanging="360"/>
      </w:pPr>
    </w:lvl>
    <w:lvl w:ilvl="5" w:tplc="080A001B" w:tentative="1">
      <w:start w:val="1"/>
      <w:numFmt w:val="lowerRoman"/>
      <w:lvlText w:val="%6."/>
      <w:lvlJc w:val="right"/>
      <w:pPr>
        <w:ind w:left="3949" w:hanging="180"/>
      </w:pPr>
    </w:lvl>
    <w:lvl w:ilvl="6" w:tplc="080A000F" w:tentative="1">
      <w:start w:val="1"/>
      <w:numFmt w:val="decimal"/>
      <w:lvlText w:val="%7."/>
      <w:lvlJc w:val="left"/>
      <w:pPr>
        <w:ind w:left="4669" w:hanging="360"/>
      </w:pPr>
    </w:lvl>
    <w:lvl w:ilvl="7" w:tplc="080A0019" w:tentative="1">
      <w:start w:val="1"/>
      <w:numFmt w:val="lowerLetter"/>
      <w:lvlText w:val="%8."/>
      <w:lvlJc w:val="left"/>
      <w:pPr>
        <w:ind w:left="5389" w:hanging="360"/>
      </w:pPr>
    </w:lvl>
    <w:lvl w:ilvl="8" w:tplc="080A001B" w:tentative="1">
      <w:start w:val="1"/>
      <w:numFmt w:val="lowerRoman"/>
      <w:lvlText w:val="%9."/>
      <w:lvlJc w:val="right"/>
      <w:pPr>
        <w:ind w:left="6109" w:hanging="180"/>
      </w:pPr>
    </w:lvl>
  </w:abstractNum>
  <w:abstractNum w:abstractNumId="29">
    <w:nsid w:val="727416AB"/>
    <w:multiLevelType w:val="hybridMultilevel"/>
    <w:tmpl w:val="C904546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AE61333"/>
    <w:multiLevelType w:val="hybridMultilevel"/>
    <w:tmpl w:val="D91A67F8"/>
    <w:lvl w:ilvl="0" w:tplc="0AEECB60">
      <w:start w:val="1"/>
      <w:numFmt w:val="decimal"/>
      <w:lvlText w:val="%1."/>
      <w:lvlJc w:val="left"/>
      <w:pPr>
        <w:ind w:left="379" w:hanging="390"/>
      </w:pPr>
      <w:rPr>
        <w:rFonts w:hint="default"/>
      </w:rPr>
    </w:lvl>
    <w:lvl w:ilvl="1" w:tplc="080A0019" w:tentative="1">
      <w:start w:val="1"/>
      <w:numFmt w:val="lowerLetter"/>
      <w:lvlText w:val="%2."/>
      <w:lvlJc w:val="left"/>
      <w:pPr>
        <w:ind w:left="1069" w:hanging="360"/>
      </w:pPr>
    </w:lvl>
    <w:lvl w:ilvl="2" w:tplc="080A001B" w:tentative="1">
      <w:start w:val="1"/>
      <w:numFmt w:val="lowerRoman"/>
      <w:lvlText w:val="%3."/>
      <w:lvlJc w:val="right"/>
      <w:pPr>
        <w:ind w:left="1789" w:hanging="180"/>
      </w:pPr>
    </w:lvl>
    <w:lvl w:ilvl="3" w:tplc="080A000F" w:tentative="1">
      <w:start w:val="1"/>
      <w:numFmt w:val="decimal"/>
      <w:lvlText w:val="%4."/>
      <w:lvlJc w:val="left"/>
      <w:pPr>
        <w:ind w:left="2509" w:hanging="360"/>
      </w:pPr>
    </w:lvl>
    <w:lvl w:ilvl="4" w:tplc="080A0019" w:tentative="1">
      <w:start w:val="1"/>
      <w:numFmt w:val="lowerLetter"/>
      <w:lvlText w:val="%5."/>
      <w:lvlJc w:val="left"/>
      <w:pPr>
        <w:ind w:left="3229" w:hanging="360"/>
      </w:pPr>
    </w:lvl>
    <w:lvl w:ilvl="5" w:tplc="080A001B" w:tentative="1">
      <w:start w:val="1"/>
      <w:numFmt w:val="lowerRoman"/>
      <w:lvlText w:val="%6."/>
      <w:lvlJc w:val="right"/>
      <w:pPr>
        <w:ind w:left="3949" w:hanging="180"/>
      </w:pPr>
    </w:lvl>
    <w:lvl w:ilvl="6" w:tplc="080A000F" w:tentative="1">
      <w:start w:val="1"/>
      <w:numFmt w:val="decimal"/>
      <w:lvlText w:val="%7."/>
      <w:lvlJc w:val="left"/>
      <w:pPr>
        <w:ind w:left="4669" w:hanging="360"/>
      </w:pPr>
    </w:lvl>
    <w:lvl w:ilvl="7" w:tplc="080A0019" w:tentative="1">
      <w:start w:val="1"/>
      <w:numFmt w:val="lowerLetter"/>
      <w:lvlText w:val="%8."/>
      <w:lvlJc w:val="left"/>
      <w:pPr>
        <w:ind w:left="5389" w:hanging="360"/>
      </w:pPr>
    </w:lvl>
    <w:lvl w:ilvl="8" w:tplc="080A001B" w:tentative="1">
      <w:start w:val="1"/>
      <w:numFmt w:val="lowerRoman"/>
      <w:lvlText w:val="%9."/>
      <w:lvlJc w:val="right"/>
      <w:pPr>
        <w:ind w:left="6109" w:hanging="180"/>
      </w:pPr>
    </w:lvl>
  </w:abstractNum>
  <w:abstractNum w:abstractNumId="31">
    <w:nsid w:val="7C575FAC"/>
    <w:multiLevelType w:val="hybridMultilevel"/>
    <w:tmpl w:val="393646A6"/>
    <w:lvl w:ilvl="0" w:tplc="D8BE73F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0"/>
  </w:num>
  <w:num w:numId="4">
    <w:abstractNumId w:val="28"/>
  </w:num>
  <w:num w:numId="5">
    <w:abstractNumId w:val="7"/>
  </w:num>
  <w:num w:numId="6">
    <w:abstractNumId w:val="3"/>
  </w:num>
  <w:num w:numId="7">
    <w:abstractNumId w:val="15"/>
  </w:num>
  <w:num w:numId="8">
    <w:abstractNumId w:val="19"/>
  </w:num>
  <w:num w:numId="9">
    <w:abstractNumId w:val="22"/>
  </w:num>
  <w:num w:numId="10">
    <w:abstractNumId w:val="1"/>
  </w:num>
  <w:num w:numId="11">
    <w:abstractNumId w:val="20"/>
  </w:num>
  <w:num w:numId="12">
    <w:abstractNumId w:val="4"/>
  </w:num>
  <w:num w:numId="13">
    <w:abstractNumId w:val="12"/>
  </w:num>
  <w:num w:numId="14">
    <w:abstractNumId w:val="2"/>
  </w:num>
  <w:num w:numId="15">
    <w:abstractNumId w:val="24"/>
  </w:num>
  <w:num w:numId="16">
    <w:abstractNumId w:val="8"/>
  </w:num>
  <w:num w:numId="17">
    <w:abstractNumId w:val="26"/>
  </w:num>
  <w:num w:numId="18">
    <w:abstractNumId w:val="5"/>
  </w:num>
  <w:num w:numId="19">
    <w:abstractNumId w:val="21"/>
  </w:num>
  <w:num w:numId="20">
    <w:abstractNumId w:val="31"/>
  </w:num>
  <w:num w:numId="21">
    <w:abstractNumId w:val="14"/>
  </w:num>
  <w:num w:numId="22">
    <w:abstractNumId w:val="16"/>
  </w:num>
  <w:num w:numId="23">
    <w:abstractNumId w:val="18"/>
  </w:num>
  <w:num w:numId="24">
    <w:abstractNumId w:val="6"/>
  </w:num>
  <w:num w:numId="25">
    <w:abstractNumId w:val="11"/>
  </w:num>
  <w:num w:numId="26">
    <w:abstractNumId w:val="27"/>
  </w:num>
  <w:num w:numId="27">
    <w:abstractNumId w:val="23"/>
  </w:num>
  <w:num w:numId="28">
    <w:abstractNumId w:val="30"/>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num>
  <w:num w:numId="45">
    <w:abstractNumId w:val="25"/>
  </w:num>
  <w:num w:numId="46">
    <w:abstractNumId w:val="9"/>
  </w:num>
  <w:num w:numId="47">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78E"/>
    <w:rsid w:val="00001771"/>
    <w:rsid w:val="00017584"/>
    <w:rsid w:val="0002177F"/>
    <w:rsid w:val="00032343"/>
    <w:rsid w:val="00041C6E"/>
    <w:rsid w:val="00053F24"/>
    <w:rsid w:val="00086DDD"/>
    <w:rsid w:val="00087033"/>
    <w:rsid w:val="000E38EF"/>
    <w:rsid w:val="000E6706"/>
    <w:rsid w:val="00102586"/>
    <w:rsid w:val="0012771B"/>
    <w:rsid w:val="001559A2"/>
    <w:rsid w:val="00172D80"/>
    <w:rsid w:val="00182D65"/>
    <w:rsid w:val="0019116A"/>
    <w:rsid w:val="001A05CB"/>
    <w:rsid w:val="001C22ED"/>
    <w:rsid w:val="001C6AC8"/>
    <w:rsid w:val="001C7D44"/>
    <w:rsid w:val="001F2F78"/>
    <w:rsid w:val="002160EB"/>
    <w:rsid w:val="00220F6D"/>
    <w:rsid w:val="002468ED"/>
    <w:rsid w:val="00253E38"/>
    <w:rsid w:val="00260969"/>
    <w:rsid w:val="00260CBF"/>
    <w:rsid w:val="00267C93"/>
    <w:rsid w:val="00276498"/>
    <w:rsid w:val="0029701A"/>
    <w:rsid w:val="002A02E4"/>
    <w:rsid w:val="002B0464"/>
    <w:rsid w:val="002E0CC2"/>
    <w:rsid w:val="002E798F"/>
    <w:rsid w:val="002F621E"/>
    <w:rsid w:val="00307FA2"/>
    <w:rsid w:val="003420E3"/>
    <w:rsid w:val="00371295"/>
    <w:rsid w:val="00372711"/>
    <w:rsid w:val="0037578E"/>
    <w:rsid w:val="003C798E"/>
    <w:rsid w:val="003D457A"/>
    <w:rsid w:val="00404E4A"/>
    <w:rsid w:val="00423BFC"/>
    <w:rsid w:val="004336DD"/>
    <w:rsid w:val="00433F14"/>
    <w:rsid w:val="00437F63"/>
    <w:rsid w:val="0045216D"/>
    <w:rsid w:val="004A1725"/>
    <w:rsid w:val="004C5A8E"/>
    <w:rsid w:val="00514D47"/>
    <w:rsid w:val="00521596"/>
    <w:rsid w:val="00521EE6"/>
    <w:rsid w:val="00536123"/>
    <w:rsid w:val="00554ACF"/>
    <w:rsid w:val="00590908"/>
    <w:rsid w:val="005E6BC4"/>
    <w:rsid w:val="005F66CD"/>
    <w:rsid w:val="006114A2"/>
    <w:rsid w:val="00612325"/>
    <w:rsid w:val="006239B3"/>
    <w:rsid w:val="00626D20"/>
    <w:rsid w:val="00627CEC"/>
    <w:rsid w:val="00666469"/>
    <w:rsid w:val="006A32E4"/>
    <w:rsid w:val="006A72A7"/>
    <w:rsid w:val="006B431E"/>
    <w:rsid w:val="0070499F"/>
    <w:rsid w:val="00711CF9"/>
    <w:rsid w:val="00712D3D"/>
    <w:rsid w:val="00733773"/>
    <w:rsid w:val="00734AAC"/>
    <w:rsid w:val="00735D39"/>
    <w:rsid w:val="007610E4"/>
    <w:rsid w:val="00765750"/>
    <w:rsid w:val="00786D45"/>
    <w:rsid w:val="007A02BB"/>
    <w:rsid w:val="007A5775"/>
    <w:rsid w:val="007A6FDB"/>
    <w:rsid w:val="007D2807"/>
    <w:rsid w:val="007F2A68"/>
    <w:rsid w:val="007F3BBD"/>
    <w:rsid w:val="00800638"/>
    <w:rsid w:val="00824248"/>
    <w:rsid w:val="00835955"/>
    <w:rsid w:val="00835F7D"/>
    <w:rsid w:val="0083769F"/>
    <w:rsid w:val="00897474"/>
    <w:rsid w:val="008A69F4"/>
    <w:rsid w:val="008E090F"/>
    <w:rsid w:val="008E6390"/>
    <w:rsid w:val="008F060C"/>
    <w:rsid w:val="009129F0"/>
    <w:rsid w:val="009325A0"/>
    <w:rsid w:val="00953436"/>
    <w:rsid w:val="00955A4C"/>
    <w:rsid w:val="00997956"/>
    <w:rsid w:val="00997980"/>
    <w:rsid w:val="009B2EE6"/>
    <w:rsid w:val="009D7B28"/>
    <w:rsid w:val="00A12439"/>
    <w:rsid w:val="00A1791B"/>
    <w:rsid w:val="00A378B5"/>
    <w:rsid w:val="00A64D2A"/>
    <w:rsid w:val="00A72206"/>
    <w:rsid w:val="00A94BE5"/>
    <w:rsid w:val="00AB32BA"/>
    <w:rsid w:val="00AB74D8"/>
    <w:rsid w:val="00AD3533"/>
    <w:rsid w:val="00AD4C18"/>
    <w:rsid w:val="00AE2619"/>
    <w:rsid w:val="00AF6BAD"/>
    <w:rsid w:val="00B27DEF"/>
    <w:rsid w:val="00B408D6"/>
    <w:rsid w:val="00B45116"/>
    <w:rsid w:val="00B560F7"/>
    <w:rsid w:val="00B572C1"/>
    <w:rsid w:val="00B708F7"/>
    <w:rsid w:val="00B8501C"/>
    <w:rsid w:val="00BA08B6"/>
    <w:rsid w:val="00BA4AD8"/>
    <w:rsid w:val="00BA7339"/>
    <w:rsid w:val="00BB09B5"/>
    <w:rsid w:val="00BB540C"/>
    <w:rsid w:val="00BC730E"/>
    <w:rsid w:val="00BE5A70"/>
    <w:rsid w:val="00BF0B7E"/>
    <w:rsid w:val="00C17D66"/>
    <w:rsid w:val="00C40A20"/>
    <w:rsid w:val="00C44BB8"/>
    <w:rsid w:val="00C66F30"/>
    <w:rsid w:val="00CE2E85"/>
    <w:rsid w:val="00D07D8F"/>
    <w:rsid w:val="00D57AE2"/>
    <w:rsid w:val="00DB233D"/>
    <w:rsid w:val="00DB2712"/>
    <w:rsid w:val="00DC05D7"/>
    <w:rsid w:val="00DE1663"/>
    <w:rsid w:val="00DE7C9C"/>
    <w:rsid w:val="00E5185B"/>
    <w:rsid w:val="00E51973"/>
    <w:rsid w:val="00E522C0"/>
    <w:rsid w:val="00E86469"/>
    <w:rsid w:val="00E903F6"/>
    <w:rsid w:val="00EA1E83"/>
    <w:rsid w:val="00EB2EF3"/>
    <w:rsid w:val="00F02440"/>
    <w:rsid w:val="00F11BA0"/>
    <w:rsid w:val="00F27576"/>
    <w:rsid w:val="00F3036F"/>
    <w:rsid w:val="00F36D7A"/>
    <w:rsid w:val="00F62331"/>
    <w:rsid w:val="00F67B87"/>
    <w:rsid w:val="00F76312"/>
    <w:rsid w:val="00FC3A60"/>
    <w:rsid w:val="00FF58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885293-577D-4A09-9A67-16C106651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78E"/>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37578E"/>
    <w:pPr>
      <w:keepNext/>
      <w:tabs>
        <w:tab w:val="left" w:pos="5580"/>
      </w:tabs>
      <w:jc w:val="center"/>
      <w:outlineLvl w:val="0"/>
    </w:pPr>
    <w:rPr>
      <w:b/>
      <w:lang w:val="en-US"/>
    </w:rPr>
  </w:style>
  <w:style w:type="paragraph" w:styleId="Ttulo2">
    <w:name w:val="heading 2"/>
    <w:basedOn w:val="Normal"/>
    <w:next w:val="Normal"/>
    <w:link w:val="Ttulo2Car"/>
    <w:qFormat/>
    <w:rsid w:val="0037578E"/>
    <w:pPr>
      <w:keepNext/>
      <w:numPr>
        <w:numId w:val="1"/>
      </w:numPr>
      <w:tabs>
        <w:tab w:val="clear" w:pos="1080"/>
      </w:tabs>
      <w:ind w:left="0" w:firstLine="0"/>
      <w:outlineLvl w:val="1"/>
    </w:pPr>
    <w:rPr>
      <w:b/>
      <w:bCs/>
      <w:lang w:val="es-MX"/>
    </w:rPr>
  </w:style>
  <w:style w:type="paragraph" w:styleId="Ttulo3">
    <w:name w:val="heading 3"/>
    <w:basedOn w:val="Normal"/>
    <w:next w:val="Normal"/>
    <w:link w:val="Ttulo3Car"/>
    <w:qFormat/>
    <w:rsid w:val="0037578E"/>
    <w:pPr>
      <w:keepNext/>
      <w:ind w:left="1080"/>
      <w:jc w:val="center"/>
      <w:outlineLvl w:val="2"/>
    </w:pPr>
    <w:rPr>
      <w:rFonts w:ascii="Arial Narrow" w:hAnsi="Arial Narrow" w:cs="Arial"/>
      <w:b/>
      <w:sz w:val="22"/>
    </w:rPr>
  </w:style>
  <w:style w:type="paragraph" w:styleId="Ttulo4">
    <w:name w:val="heading 4"/>
    <w:basedOn w:val="Normal"/>
    <w:next w:val="Normal"/>
    <w:link w:val="Ttulo4Car"/>
    <w:qFormat/>
    <w:rsid w:val="0037578E"/>
    <w:pPr>
      <w:keepNext/>
      <w:tabs>
        <w:tab w:val="left" w:pos="1800"/>
      </w:tabs>
      <w:jc w:val="both"/>
      <w:outlineLvl w:val="3"/>
    </w:pPr>
    <w:rPr>
      <w:rFonts w:ascii="Arial" w:hAnsi="Arial" w:cs="Arial"/>
      <w:sz w:val="28"/>
    </w:rPr>
  </w:style>
  <w:style w:type="paragraph" w:styleId="Ttulo5">
    <w:name w:val="heading 5"/>
    <w:basedOn w:val="Normal"/>
    <w:next w:val="Normal"/>
    <w:link w:val="Ttulo5Car"/>
    <w:qFormat/>
    <w:rsid w:val="0037578E"/>
    <w:pPr>
      <w:keepNext/>
      <w:ind w:left="110"/>
      <w:jc w:val="center"/>
      <w:outlineLvl w:val="4"/>
    </w:pPr>
    <w:rPr>
      <w:rFonts w:ascii="Arial Narrow" w:hAnsi="Arial Narrow" w:cs="Arial"/>
      <w:b/>
      <w:color w:val="FF0000"/>
      <w:sz w:val="22"/>
    </w:rPr>
  </w:style>
  <w:style w:type="paragraph" w:styleId="Ttulo6">
    <w:name w:val="heading 6"/>
    <w:basedOn w:val="Normal"/>
    <w:next w:val="Normal"/>
    <w:link w:val="Ttulo6Car"/>
    <w:qFormat/>
    <w:rsid w:val="0037578E"/>
    <w:pPr>
      <w:keepNext/>
      <w:ind w:left="110"/>
      <w:jc w:val="center"/>
      <w:outlineLvl w:val="5"/>
    </w:pPr>
    <w:rPr>
      <w:rFonts w:ascii="Arial Narrow" w:hAnsi="Arial Narrow" w:cs="Arial"/>
      <w:b/>
      <w:sz w:val="22"/>
    </w:rPr>
  </w:style>
  <w:style w:type="paragraph" w:styleId="Ttulo7">
    <w:name w:val="heading 7"/>
    <w:basedOn w:val="Normal"/>
    <w:next w:val="Normal"/>
    <w:link w:val="Ttulo7Car"/>
    <w:qFormat/>
    <w:rsid w:val="0037578E"/>
    <w:pPr>
      <w:keepNext/>
      <w:tabs>
        <w:tab w:val="left" w:pos="1756"/>
        <w:tab w:val="left" w:pos="2834"/>
        <w:tab w:val="left" w:pos="4790"/>
        <w:tab w:val="left" w:pos="5668"/>
        <w:tab w:val="left" w:pos="7936"/>
        <w:tab w:val="left" w:pos="8560"/>
      </w:tabs>
      <w:jc w:val="center"/>
      <w:outlineLvl w:val="6"/>
    </w:pPr>
    <w:rPr>
      <w:rFonts w:ascii="Arial" w:hAnsi="Arial" w:cs="Arial"/>
      <w:b/>
      <w:bCs/>
      <w:sz w:val="20"/>
    </w:rPr>
  </w:style>
  <w:style w:type="paragraph" w:styleId="Ttulo8">
    <w:name w:val="heading 8"/>
    <w:basedOn w:val="Normal"/>
    <w:next w:val="Normal"/>
    <w:link w:val="Ttulo8Car"/>
    <w:qFormat/>
    <w:rsid w:val="0037578E"/>
    <w:pPr>
      <w:keepNext/>
      <w:jc w:val="both"/>
      <w:outlineLvl w:val="7"/>
    </w:pPr>
    <w:rPr>
      <w:rFonts w:ascii="Arial" w:hAnsi="Arial" w:cs="Arial"/>
      <w:b/>
      <w:bCs/>
      <w:color w:val="FF0000"/>
    </w:rPr>
  </w:style>
  <w:style w:type="paragraph" w:styleId="Ttulo9">
    <w:name w:val="heading 9"/>
    <w:basedOn w:val="Normal"/>
    <w:next w:val="Normal"/>
    <w:link w:val="Ttulo9Car"/>
    <w:qFormat/>
    <w:rsid w:val="0037578E"/>
    <w:pPr>
      <w:keepNext/>
      <w:numPr>
        <w:numId w:val="2"/>
      </w:numPr>
      <w:tabs>
        <w:tab w:val="left" w:pos="720"/>
        <w:tab w:val="right" w:pos="8000"/>
      </w:tabs>
      <w:overflowPunct w:val="0"/>
      <w:autoSpaceDE w:val="0"/>
      <w:autoSpaceDN w:val="0"/>
      <w:adjustRightInd w:val="0"/>
      <w:ind w:left="720" w:right="-89" w:hanging="720"/>
      <w:jc w:val="both"/>
      <w:textAlignment w:val="baseline"/>
      <w:outlineLvl w:val="8"/>
    </w:pPr>
    <w:rPr>
      <w:rFonts w:ascii="Arial" w:hAnsi="Arial"/>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7578E"/>
    <w:rPr>
      <w:rFonts w:ascii="Times New Roman" w:eastAsia="Times New Roman" w:hAnsi="Times New Roman" w:cs="Times New Roman"/>
      <w:b/>
      <w:sz w:val="24"/>
      <w:szCs w:val="24"/>
      <w:lang w:val="en-US" w:eastAsia="es-ES"/>
    </w:rPr>
  </w:style>
  <w:style w:type="character" w:customStyle="1" w:styleId="Ttulo2Car">
    <w:name w:val="Título 2 Car"/>
    <w:basedOn w:val="Fuentedeprrafopredeter"/>
    <w:link w:val="Ttulo2"/>
    <w:rsid w:val="0037578E"/>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rsid w:val="0037578E"/>
    <w:rPr>
      <w:rFonts w:ascii="Arial Narrow" w:eastAsia="Times New Roman" w:hAnsi="Arial Narrow" w:cs="Arial"/>
      <w:b/>
      <w:szCs w:val="24"/>
      <w:lang w:val="es-ES" w:eastAsia="es-ES"/>
    </w:rPr>
  </w:style>
  <w:style w:type="character" w:customStyle="1" w:styleId="Ttulo4Car">
    <w:name w:val="Título 4 Car"/>
    <w:basedOn w:val="Fuentedeprrafopredeter"/>
    <w:link w:val="Ttulo4"/>
    <w:rsid w:val="0037578E"/>
    <w:rPr>
      <w:rFonts w:ascii="Arial" w:eastAsia="Times New Roman" w:hAnsi="Arial" w:cs="Arial"/>
      <w:sz w:val="28"/>
      <w:szCs w:val="24"/>
      <w:lang w:val="es-ES" w:eastAsia="es-ES"/>
    </w:rPr>
  </w:style>
  <w:style w:type="character" w:customStyle="1" w:styleId="Ttulo5Car">
    <w:name w:val="Título 5 Car"/>
    <w:basedOn w:val="Fuentedeprrafopredeter"/>
    <w:link w:val="Ttulo5"/>
    <w:rsid w:val="0037578E"/>
    <w:rPr>
      <w:rFonts w:ascii="Arial Narrow" w:eastAsia="Times New Roman" w:hAnsi="Arial Narrow" w:cs="Arial"/>
      <w:b/>
      <w:color w:val="FF0000"/>
      <w:szCs w:val="24"/>
      <w:lang w:val="es-ES" w:eastAsia="es-ES"/>
    </w:rPr>
  </w:style>
  <w:style w:type="character" w:customStyle="1" w:styleId="Ttulo6Car">
    <w:name w:val="Título 6 Car"/>
    <w:basedOn w:val="Fuentedeprrafopredeter"/>
    <w:link w:val="Ttulo6"/>
    <w:rsid w:val="0037578E"/>
    <w:rPr>
      <w:rFonts w:ascii="Arial Narrow" w:eastAsia="Times New Roman" w:hAnsi="Arial Narrow" w:cs="Arial"/>
      <w:b/>
      <w:szCs w:val="24"/>
      <w:lang w:val="es-ES" w:eastAsia="es-ES"/>
    </w:rPr>
  </w:style>
  <w:style w:type="character" w:customStyle="1" w:styleId="Ttulo7Car">
    <w:name w:val="Título 7 Car"/>
    <w:basedOn w:val="Fuentedeprrafopredeter"/>
    <w:link w:val="Ttulo7"/>
    <w:rsid w:val="0037578E"/>
    <w:rPr>
      <w:rFonts w:ascii="Arial" w:eastAsia="Times New Roman" w:hAnsi="Arial" w:cs="Arial"/>
      <w:b/>
      <w:bCs/>
      <w:sz w:val="20"/>
      <w:szCs w:val="24"/>
      <w:lang w:val="es-ES" w:eastAsia="es-ES"/>
    </w:rPr>
  </w:style>
  <w:style w:type="character" w:customStyle="1" w:styleId="Ttulo8Car">
    <w:name w:val="Título 8 Car"/>
    <w:basedOn w:val="Fuentedeprrafopredeter"/>
    <w:link w:val="Ttulo8"/>
    <w:rsid w:val="0037578E"/>
    <w:rPr>
      <w:rFonts w:ascii="Arial" w:eastAsia="Times New Roman" w:hAnsi="Arial" w:cs="Arial"/>
      <w:b/>
      <w:bCs/>
      <w:color w:val="FF0000"/>
      <w:sz w:val="24"/>
      <w:szCs w:val="24"/>
      <w:lang w:val="es-ES" w:eastAsia="es-ES"/>
    </w:rPr>
  </w:style>
  <w:style w:type="character" w:customStyle="1" w:styleId="Ttulo9Car">
    <w:name w:val="Título 9 Car"/>
    <w:basedOn w:val="Fuentedeprrafopredeter"/>
    <w:link w:val="Ttulo9"/>
    <w:rsid w:val="0037578E"/>
    <w:rPr>
      <w:rFonts w:ascii="Arial" w:eastAsia="Times New Roman" w:hAnsi="Arial" w:cs="Times New Roman"/>
      <w:sz w:val="24"/>
      <w:szCs w:val="20"/>
      <w:lang w:val="es-ES" w:eastAsia="es-ES"/>
    </w:rPr>
  </w:style>
  <w:style w:type="paragraph" w:styleId="Textoindependiente">
    <w:name w:val="Body Text"/>
    <w:basedOn w:val="Normal"/>
    <w:link w:val="TextoindependienteCar"/>
    <w:rsid w:val="0037578E"/>
    <w:pPr>
      <w:spacing w:line="360" w:lineRule="auto"/>
      <w:jc w:val="both"/>
    </w:pPr>
    <w:rPr>
      <w:rFonts w:ascii="Arial" w:hAnsi="Arial" w:cs="Arial"/>
      <w:b/>
      <w:bCs/>
      <w:sz w:val="20"/>
    </w:rPr>
  </w:style>
  <w:style w:type="character" w:customStyle="1" w:styleId="TextoindependienteCar">
    <w:name w:val="Texto independiente Car"/>
    <w:basedOn w:val="Fuentedeprrafopredeter"/>
    <w:link w:val="Textoindependiente"/>
    <w:rsid w:val="0037578E"/>
    <w:rPr>
      <w:rFonts w:ascii="Arial" w:eastAsia="Times New Roman" w:hAnsi="Arial" w:cs="Arial"/>
      <w:b/>
      <w:bCs/>
      <w:sz w:val="20"/>
      <w:szCs w:val="24"/>
      <w:lang w:val="es-ES" w:eastAsia="es-ES"/>
    </w:rPr>
  </w:style>
  <w:style w:type="paragraph" w:styleId="Textoindependiente3">
    <w:name w:val="Body Text 3"/>
    <w:basedOn w:val="Normal"/>
    <w:link w:val="Textoindependiente3Car"/>
    <w:uiPriority w:val="99"/>
    <w:rsid w:val="0037578E"/>
    <w:pPr>
      <w:spacing w:line="360" w:lineRule="auto"/>
      <w:jc w:val="both"/>
    </w:pPr>
    <w:rPr>
      <w:rFonts w:ascii="Arial" w:hAnsi="Arial"/>
      <w:sz w:val="20"/>
    </w:rPr>
  </w:style>
  <w:style w:type="character" w:customStyle="1" w:styleId="Textoindependiente3Car">
    <w:name w:val="Texto independiente 3 Car"/>
    <w:basedOn w:val="Fuentedeprrafopredeter"/>
    <w:link w:val="Textoindependiente3"/>
    <w:uiPriority w:val="99"/>
    <w:rsid w:val="0037578E"/>
    <w:rPr>
      <w:rFonts w:ascii="Arial" w:eastAsia="Times New Roman" w:hAnsi="Arial" w:cs="Times New Roman"/>
      <w:sz w:val="20"/>
      <w:szCs w:val="24"/>
      <w:lang w:val="es-ES" w:eastAsia="es-ES"/>
    </w:rPr>
  </w:style>
  <w:style w:type="paragraph" w:styleId="Textoindependiente2">
    <w:name w:val="Body Text 2"/>
    <w:basedOn w:val="Normal"/>
    <w:link w:val="Textoindependiente2Car"/>
    <w:rsid w:val="0037578E"/>
    <w:rPr>
      <w:rFonts w:ascii="Tahoma" w:hAnsi="Tahoma" w:cs="Tahoma"/>
      <w:sz w:val="28"/>
      <w:lang w:val="es-MX"/>
    </w:rPr>
  </w:style>
  <w:style w:type="character" w:customStyle="1" w:styleId="Textoindependiente2Car">
    <w:name w:val="Texto independiente 2 Car"/>
    <w:basedOn w:val="Fuentedeprrafopredeter"/>
    <w:link w:val="Textoindependiente2"/>
    <w:rsid w:val="0037578E"/>
    <w:rPr>
      <w:rFonts w:ascii="Tahoma" w:eastAsia="Times New Roman" w:hAnsi="Tahoma" w:cs="Tahoma"/>
      <w:sz w:val="28"/>
      <w:szCs w:val="24"/>
      <w:lang w:eastAsia="es-ES"/>
    </w:rPr>
  </w:style>
  <w:style w:type="paragraph" w:customStyle="1" w:styleId="PRIMERAPLANA">
    <w:name w:val="PRIMERA PLANA"/>
    <w:basedOn w:val="Normal"/>
    <w:rsid w:val="0037578E"/>
    <w:pPr>
      <w:jc w:val="both"/>
    </w:pPr>
    <w:rPr>
      <w:rFonts w:ascii="Arial" w:hAnsi="Arial"/>
      <w:sz w:val="20"/>
      <w:szCs w:val="20"/>
      <w:lang w:val="es-ES_tradnl"/>
    </w:rPr>
  </w:style>
  <w:style w:type="paragraph" w:styleId="NormalWeb">
    <w:name w:val="Normal (Web)"/>
    <w:basedOn w:val="Normal"/>
    <w:uiPriority w:val="99"/>
    <w:rsid w:val="0037578E"/>
    <w:pPr>
      <w:spacing w:before="100" w:beforeAutospacing="1" w:after="100" w:afterAutospacing="1"/>
    </w:pPr>
  </w:style>
  <w:style w:type="paragraph" w:customStyle="1" w:styleId="Default">
    <w:name w:val="Default"/>
    <w:rsid w:val="0037578E"/>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Piedepgina">
    <w:name w:val="footer"/>
    <w:basedOn w:val="Normal"/>
    <w:link w:val="PiedepginaCar"/>
    <w:rsid w:val="0037578E"/>
    <w:pPr>
      <w:tabs>
        <w:tab w:val="center" w:pos="4419"/>
        <w:tab w:val="right" w:pos="8838"/>
      </w:tabs>
    </w:pPr>
  </w:style>
  <w:style w:type="character" w:customStyle="1" w:styleId="PiedepginaCar">
    <w:name w:val="Pie de página Car"/>
    <w:basedOn w:val="Fuentedeprrafopredeter"/>
    <w:link w:val="Piedepgina"/>
    <w:rsid w:val="0037578E"/>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7578E"/>
  </w:style>
  <w:style w:type="paragraph" w:styleId="Encabezado">
    <w:name w:val="header"/>
    <w:basedOn w:val="Normal"/>
    <w:link w:val="EncabezadoCar"/>
    <w:rsid w:val="0037578E"/>
    <w:pPr>
      <w:tabs>
        <w:tab w:val="center" w:pos="4419"/>
        <w:tab w:val="right" w:pos="8838"/>
      </w:tabs>
    </w:pPr>
  </w:style>
  <w:style w:type="character" w:customStyle="1" w:styleId="EncabezadoCar">
    <w:name w:val="Encabezado Car"/>
    <w:basedOn w:val="Fuentedeprrafopredeter"/>
    <w:link w:val="Encabezado"/>
    <w:rsid w:val="0037578E"/>
    <w:rPr>
      <w:rFonts w:ascii="Times New Roman" w:eastAsia="Times New Roman" w:hAnsi="Times New Roman" w:cs="Times New Roman"/>
      <w:sz w:val="24"/>
      <w:szCs w:val="24"/>
      <w:lang w:val="es-ES" w:eastAsia="es-ES"/>
    </w:rPr>
  </w:style>
  <w:style w:type="character" w:styleId="Hipervnculo">
    <w:name w:val="Hyperlink"/>
    <w:uiPriority w:val="99"/>
    <w:unhideWhenUsed/>
    <w:rsid w:val="0037578E"/>
    <w:rPr>
      <w:color w:val="0000FF"/>
      <w:u w:val="single"/>
    </w:rPr>
  </w:style>
  <w:style w:type="paragraph" w:styleId="Prrafodelista">
    <w:name w:val="List Paragraph"/>
    <w:basedOn w:val="Normal"/>
    <w:uiPriority w:val="34"/>
    <w:qFormat/>
    <w:rsid w:val="0037578E"/>
    <w:pPr>
      <w:ind w:left="708"/>
    </w:pPr>
  </w:style>
  <w:style w:type="character" w:customStyle="1" w:styleId="Sangra2detindependienteCar">
    <w:name w:val="Sangría 2 de t. independiente Car"/>
    <w:basedOn w:val="Fuentedeprrafopredeter"/>
    <w:link w:val="Sangra2detindependiente"/>
    <w:uiPriority w:val="99"/>
    <w:semiHidden/>
    <w:rsid w:val="0037578E"/>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uiPriority w:val="99"/>
    <w:semiHidden/>
    <w:unhideWhenUsed/>
    <w:rsid w:val="0037578E"/>
    <w:pPr>
      <w:spacing w:after="120" w:line="480" w:lineRule="auto"/>
      <w:ind w:left="283"/>
    </w:pPr>
  </w:style>
  <w:style w:type="character" w:customStyle="1" w:styleId="A12">
    <w:name w:val="A12"/>
    <w:uiPriority w:val="99"/>
    <w:rsid w:val="0037578E"/>
    <w:rPr>
      <w:rFonts w:cs="Univers LT"/>
      <w:b/>
      <w:bCs/>
      <w:color w:val="000000"/>
      <w:sz w:val="97"/>
      <w:szCs w:val="97"/>
    </w:rPr>
  </w:style>
  <w:style w:type="character" w:customStyle="1" w:styleId="TextodegloboCar">
    <w:name w:val="Texto de globo Car"/>
    <w:basedOn w:val="Fuentedeprrafopredeter"/>
    <w:link w:val="Textodeglobo"/>
    <w:uiPriority w:val="99"/>
    <w:rsid w:val="0037578E"/>
    <w:rPr>
      <w:rFonts w:ascii="Tahoma" w:eastAsia="Times New Roman" w:hAnsi="Tahoma" w:cs="Times New Roman"/>
      <w:sz w:val="16"/>
      <w:szCs w:val="16"/>
      <w:lang w:val="es-ES" w:eastAsia="es-ES"/>
    </w:rPr>
  </w:style>
  <w:style w:type="paragraph" w:styleId="Textodeglobo">
    <w:name w:val="Balloon Text"/>
    <w:basedOn w:val="Normal"/>
    <w:link w:val="TextodegloboCar"/>
    <w:uiPriority w:val="99"/>
    <w:unhideWhenUsed/>
    <w:rsid w:val="0037578E"/>
    <w:rPr>
      <w:rFonts w:ascii="Tahoma" w:hAnsi="Tahoma"/>
      <w:sz w:val="16"/>
      <w:szCs w:val="16"/>
    </w:rPr>
  </w:style>
  <w:style w:type="character" w:styleId="nfasis">
    <w:name w:val="Emphasis"/>
    <w:uiPriority w:val="20"/>
    <w:qFormat/>
    <w:rsid w:val="0037578E"/>
    <w:rPr>
      <w:i/>
      <w:iCs/>
    </w:rPr>
  </w:style>
  <w:style w:type="paragraph" w:styleId="Citadestacada">
    <w:name w:val="Intense Quote"/>
    <w:basedOn w:val="Normal"/>
    <w:next w:val="Normal"/>
    <w:link w:val="CitadestacadaCar"/>
    <w:uiPriority w:val="30"/>
    <w:qFormat/>
    <w:rsid w:val="0037578E"/>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CitadestacadaCar">
    <w:name w:val="Cita destacada Car"/>
    <w:basedOn w:val="Fuentedeprrafopredeter"/>
    <w:link w:val="Citadestacada"/>
    <w:uiPriority w:val="30"/>
    <w:rsid w:val="0037578E"/>
    <w:rPr>
      <w:rFonts w:ascii="Calibri" w:eastAsia="Calibri" w:hAnsi="Calibri" w:cs="Times New Roman"/>
      <w:b/>
      <w:bCs/>
      <w:i/>
      <w:iCs/>
      <w:color w:val="4F81BD"/>
      <w:lang w:val="es-ES"/>
    </w:rPr>
  </w:style>
  <w:style w:type="paragraph" w:styleId="Textonotapie">
    <w:name w:val="footnote text"/>
    <w:basedOn w:val="Normal"/>
    <w:link w:val="TextonotapieCar"/>
    <w:uiPriority w:val="99"/>
    <w:semiHidden/>
    <w:unhideWhenUsed/>
    <w:rsid w:val="0037578E"/>
    <w:rPr>
      <w:rFonts w:ascii="Calibri" w:eastAsia="Calibri" w:hAnsi="Calibri"/>
      <w:sz w:val="20"/>
      <w:szCs w:val="20"/>
      <w:lang w:eastAsia="en-US"/>
    </w:rPr>
  </w:style>
  <w:style w:type="character" w:customStyle="1" w:styleId="TextonotapieCar">
    <w:name w:val="Texto nota pie Car"/>
    <w:basedOn w:val="Fuentedeprrafopredeter"/>
    <w:link w:val="Textonotapie"/>
    <w:uiPriority w:val="99"/>
    <w:semiHidden/>
    <w:rsid w:val="0037578E"/>
    <w:rPr>
      <w:rFonts w:ascii="Calibri" w:eastAsia="Calibri" w:hAnsi="Calibri" w:cs="Times New Roman"/>
      <w:sz w:val="20"/>
      <w:szCs w:val="20"/>
      <w:lang w:val="es-ES"/>
    </w:rPr>
  </w:style>
  <w:style w:type="character" w:styleId="Refdenotaalpie">
    <w:name w:val="footnote reference"/>
    <w:uiPriority w:val="99"/>
    <w:semiHidden/>
    <w:unhideWhenUsed/>
    <w:rsid w:val="0037578E"/>
    <w:rPr>
      <w:vertAlign w:val="superscript"/>
    </w:rPr>
  </w:style>
  <w:style w:type="character" w:customStyle="1" w:styleId="apple-converted-space">
    <w:name w:val="apple-converted-space"/>
    <w:basedOn w:val="Fuentedeprrafopredeter"/>
    <w:rsid w:val="0037578E"/>
  </w:style>
  <w:style w:type="character" w:styleId="Textoennegrita">
    <w:name w:val="Strong"/>
    <w:uiPriority w:val="22"/>
    <w:qFormat/>
    <w:rsid w:val="0037578E"/>
    <w:rPr>
      <w:b/>
      <w:bCs/>
    </w:rPr>
  </w:style>
  <w:style w:type="paragraph" w:customStyle="1" w:styleId="xl63">
    <w:name w:val="xl63"/>
    <w:basedOn w:val="Normal"/>
    <w:rsid w:val="003757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u w:val="single"/>
      <w:lang w:val="es-MX" w:eastAsia="es-MX"/>
    </w:rPr>
  </w:style>
  <w:style w:type="paragraph" w:customStyle="1" w:styleId="xl64">
    <w:name w:val="xl64"/>
    <w:basedOn w:val="Normal"/>
    <w:rsid w:val="0037578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5">
    <w:name w:val="xl65"/>
    <w:basedOn w:val="Normal"/>
    <w:rsid w:val="003757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6">
    <w:name w:val="xl66"/>
    <w:basedOn w:val="Normal"/>
    <w:rsid w:val="003757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7">
    <w:name w:val="xl67"/>
    <w:basedOn w:val="Normal"/>
    <w:rsid w:val="0037578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8">
    <w:name w:val="xl68"/>
    <w:basedOn w:val="Normal"/>
    <w:rsid w:val="003757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9">
    <w:name w:val="xl69"/>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70">
    <w:name w:val="xl70"/>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1">
    <w:name w:val="xl71"/>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2">
    <w:name w:val="xl72"/>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73">
    <w:name w:val="xl73"/>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74">
    <w:name w:val="xl74"/>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75">
    <w:name w:val="xl75"/>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6">
    <w:name w:val="xl76"/>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77">
    <w:name w:val="xl77"/>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16"/>
      <w:szCs w:val="16"/>
      <w:lang w:val="es-MX" w:eastAsia="es-MX"/>
    </w:rPr>
  </w:style>
  <w:style w:type="paragraph" w:customStyle="1" w:styleId="xl78">
    <w:name w:val="xl78"/>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MX" w:eastAsia="es-MX"/>
    </w:rPr>
  </w:style>
  <w:style w:type="paragraph" w:customStyle="1" w:styleId="xl79">
    <w:name w:val="xl79"/>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80">
    <w:name w:val="xl80"/>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1">
    <w:name w:val="xl81"/>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82">
    <w:name w:val="xl82"/>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83">
    <w:name w:val="xl83"/>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84">
    <w:name w:val="xl84"/>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5">
    <w:name w:val="xl85"/>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86">
    <w:name w:val="xl86"/>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87">
    <w:name w:val="xl87"/>
    <w:basedOn w:val="Normal"/>
    <w:rsid w:val="0037578E"/>
    <w:pPr>
      <w:pBdr>
        <w:top w:val="single" w:sz="4" w:space="0" w:color="auto"/>
        <w:left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8">
    <w:name w:val="xl88"/>
    <w:basedOn w:val="Normal"/>
    <w:rsid w:val="0037578E"/>
    <w:pPr>
      <w:pBdr>
        <w:top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9">
    <w:name w:val="xl89"/>
    <w:basedOn w:val="Normal"/>
    <w:rsid w:val="0037578E"/>
    <w:pPr>
      <w:pBdr>
        <w:top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0">
    <w:name w:val="xl90"/>
    <w:basedOn w:val="Normal"/>
    <w:rsid w:val="0037578E"/>
    <w:pPr>
      <w:spacing w:before="100" w:beforeAutospacing="1" w:after="100" w:afterAutospacing="1"/>
    </w:pPr>
    <w:rPr>
      <w:sz w:val="16"/>
      <w:szCs w:val="16"/>
      <w:lang w:val="es-MX" w:eastAsia="es-MX"/>
    </w:rPr>
  </w:style>
  <w:style w:type="paragraph" w:customStyle="1" w:styleId="xl91">
    <w:name w:val="xl91"/>
    <w:basedOn w:val="Normal"/>
    <w:rsid w:val="0037578E"/>
    <w:pPr>
      <w:spacing w:before="100" w:beforeAutospacing="1" w:after="100" w:afterAutospacing="1"/>
    </w:pPr>
    <w:rPr>
      <w:sz w:val="16"/>
      <w:szCs w:val="16"/>
      <w:lang w:val="es-MX" w:eastAsia="es-MX"/>
    </w:rPr>
  </w:style>
  <w:style w:type="paragraph" w:customStyle="1" w:styleId="xl92">
    <w:name w:val="xl92"/>
    <w:basedOn w:val="Normal"/>
    <w:rsid w:val="0037578E"/>
    <w:pPr>
      <w:spacing w:before="100" w:beforeAutospacing="1" w:after="100" w:afterAutospacing="1"/>
      <w:textAlignment w:val="center"/>
    </w:pPr>
    <w:rPr>
      <w:sz w:val="16"/>
      <w:szCs w:val="16"/>
      <w:lang w:val="es-MX" w:eastAsia="es-MX"/>
    </w:rPr>
  </w:style>
  <w:style w:type="paragraph" w:customStyle="1" w:styleId="xl93">
    <w:name w:val="xl93"/>
    <w:basedOn w:val="Normal"/>
    <w:rsid w:val="0037578E"/>
    <w:pPr>
      <w:shd w:val="clear" w:color="000000" w:fill="FFFFFF"/>
      <w:spacing w:before="100" w:beforeAutospacing="1" w:after="100" w:afterAutospacing="1"/>
      <w:textAlignment w:val="center"/>
    </w:pPr>
    <w:rPr>
      <w:sz w:val="16"/>
      <w:szCs w:val="16"/>
      <w:lang w:val="es-MX" w:eastAsia="es-MX"/>
    </w:rPr>
  </w:style>
  <w:style w:type="paragraph" w:customStyle="1" w:styleId="xl94">
    <w:name w:val="xl94"/>
    <w:basedOn w:val="Normal"/>
    <w:rsid w:val="0037578E"/>
    <w:pPr>
      <w:shd w:val="clear" w:color="000000" w:fill="FFFFFF"/>
      <w:spacing w:before="100" w:beforeAutospacing="1" w:after="100" w:afterAutospacing="1"/>
      <w:textAlignment w:val="center"/>
    </w:pPr>
    <w:rPr>
      <w:b/>
      <w:bCs/>
      <w:sz w:val="16"/>
      <w:szCs w:val="16"/>
      <w:lang w:val="es-MX" w:eastAsia="es-MX"/>
    </w:rPr>
  </w:style>
  <w:style w:type="paragraph" w:customStyle="1" w:styleId="xl95">
    <w:name w:val="xl95"/>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96">
    <w:name w:val="xl96"/>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97">
    <w:name w:val="xl97"/>
    <w:basedOn w:val="Normal"/>
    <w:rsid w:val="0037578E"/>
    <w:pPr>
      <w:spacing w:before="100" w:beforeAutospacing="1" w:after="100" w:afterAutospacing="1"/>
    </w:pPr>
    <w:rPr>
      <w:sz w:val="16"/>
      <w:szCs w:val="16"/>
      <w:lang w:val="es-MX" w:eastAsia="es-MX"/>
    </w:rPr>
  </w:style>
  <w:style w:type="character" w:customStyle="1" w:styleId="TextocomentarioCar">
    <w:name w:val="Texto comentario Car"/>
    <w:basedOn w:val="Fuentedeprrafopredeter"/>
    <w:link w:val="Textocomentario"/>
    <w:uiPriority w:val="99"/>
    <w:rsid w:val="0037578E"/>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unhideWhenUsed/>
    <w:rsid w:val="0037578E"/>
    <w:rPr>
      <w:sz w:val="20"/>
      <w:szCs w:val="20"/>
    </w:rPr>
  </w:style>
  <w:style w:type="character" w:customStyle="1" w:styleId="AsuntodelcomentarioCar">
    <w:name w:val="Asunto del comentario Car"/>
    <w:basedOn w:val="TextocomentarioCar"/>
    <w:link w:val="Asuntodelcomentario"/>
    <w:uiPriority w:val="99"/>
    <w:semiHidden/>
    <w:rsid w:val="0037578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7578E"/>
    <w:rPr>
      <w:b/>
      <w:bCs/>
    </w:rPr>
  </w:style>
  <w:style w:type="paragraph" w:customStyle="1" w:styleId="Texto">
    <w:name w:val="Texto"/>
    <w:basedOn w:val="Normal"/>
    <w:link w:val="TextoCar"/>
    <w:qFormat/>
    <w:rsid w:val="0037578E"/>
    <w:pPr>
      <w:spacing w:after="101" w:line="216" w:lineRule="exact"/>
      <w:ind w:firstLine="288"/>
      <w:jc w:val="both"/>
    </w:pPr>
    <w:rPr>
      <w:rFonts w:ascii="Arial" w:hAnsi="Arial" w:cs="Arial"/>
      <w:sz w:val="18"/>
      <w:szCs w:val="20"/>
    </w:rPr>
  </w:style>
  <w:style w:type="character" w:customStyle="1" w:styleId="TextoCar">
    <w:name w:val="Texto Car"/>
    <w:link w:val="Texto"/>
    <w:locked/>
    <w:rsid w:val="0037578E"/>
    <w:rPr>
      <w:rFonts w:ascii="Arial" w:eastAsia="Times New Roman" w:hAnsi="Arial" w:cs="Arial"/>
      <w:sz w:val="18"/>
      <w:szCs w:val="20"/>
      <w:lang w:val="es-ES" w:eastAsia="es-ES"/>
    </w:rPr>
  </w:style>
  <w:style w:type="paragraph" w:styleId="Textosinformato">
    <w:name w:val="Plain Text"/>
    <w:basedOn w:val="Normal"/>
    <w:link w:val="TextosinformatoCar"/>
    <w:rsid w:val="0037578E"/>
    <w:rPr>
      <w:rFonts w:ascii="Courier New" w:hAnsi="Courier New" w:cs="Courier New"/>
      <w:sz w:val="20"/>
      <w:szCs w:val="20"/>
    </w:rPr>
  </w:style>
  <w:style w:type="character" w:customStyle="1" w:styleId="TextosinformatoCar">
    <w:name w:val="Texto sin formato Car"/>
    <w:basedOn w:val="Fuentedeprrafopredeter"/>
    <w:link w:val="Textosinformato"/>
    <w:rsid w:val="0037578E"/>
    <w:rPr>
      <w:rFonts w:ascii="Courier New" w:eastAsia="Times New Roman" w:hAnsi="Courier New" w:cs="Courier New"/>
      <w:sz w:val="20"/>
      <w:szCs w:val="20"/>
      <w:lang w:val="es-ES" w:eastAsia="es-ES"/>
    </w:rPr>
  </w:style>
  <w:style w:type="numbering" w:customStyle="1" w:styleId="Sinlista1">
    <w:name w:val="Sin lista1"/>
    <w:next w:val="Sinlista"/>
    <w:uiPriority w:val="99"/>
    <w:semiHidden/>
    <w:unhideWhenUsed/>
    <w:rsid w:val="00B8501C"/>
  </w:style>
  <w:style w:type="table" w:styleId="Tablaconcuadrcula">
    <w:name w:val="Table Grid"/>
    <w:basedOn w:val="Tablanormal"/>
    <w:uiPriority w:val="39"/>
    <w:rsid w:val="00B8501C"/>
    <w:pPr>
      <w:spacing w:after="0" w:line="240" w:lineRule="auto"/>
    </w:pPr>
    <w:rPr>
      <w:rFonts w:ascii="Arial" w:eastAsia="Calibri" w:hAnsi="Arial" w:cs="Arial"/>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semiHidden/>
    <w:unhideWhenUsed/>
    <w:rsid w:val="00B8501C"/>
    <w:rPr>
      <w:sz w:val="16"/>
      <w:szCs w:val="16"/>
    </w:rPr>
  </w:style>
  <w:style w:type="paragraph" w:styleId="Revisin">
    <w:name w:val="Revision"/>
    <w:hidden/>
    <w:uiPriority w:val="99"/>
    <w:semiHidden/>
    <w:rsid w:val="00B8501C"/>
    <w:pPr>
      <w:spacing w:after="0" w:line="240" w:lineRule="auto"/>
    </w:pPr>
    <w:rPr>
      <w:rFonts w:ascii="Arial" w:eastAsia="Calibri" w:hAnsi="Arial" w:cs="Arial"/>
      <w:sz w:val="24"/>
      <w:szCs w:val="24"/>
    </w:rPr>
  </w:style>
  <w:style w:type="numbering" w:customStyle="1" w:styleId="Sinlista11">
    <w:name w:val="Sin lista11"/>
    <w:next w:val="Sinlista"/>
    <w:uiPriority w:val="99"/>
    <w:semiHidden/>
    <w:unhideWhenUsed/>
    <w:rsid w:val="00B8501C"/>
  </w:style>
  <w:style w:type="paragraph" w:customStyle="1" w:styleId="Estilo">
    <w:name w:val="Estilo"/>
    <w:basedOn w:val="Sinespaciado"/>
    <w:link w:val="EstiloCar"/>
    <w:qFormat/>
    <w:rsid w:val="00B8501C"/>
    <w:rPr>
      <w:rFonts w:ascii="Arial" w:eastAsia="Times New Roman" w:hAnsi="Arial"/>
      <w:sz w:val="20"/>
    </w:rPr>
  </w:style>
  <w:style w:type="paragraph" w:styleId="Sinespaciado">
    <w:name w:val="No Spacing"/>
    <w:link w:val="SinespaciadoCar"/>
    <w:uiPriority w:val="1"/>
    <w:qFormat/>
    <w:rsid w:val="00B8501C"/>
    <w:pPr>
      <w:spacing w:after="0" w:line="240" w:lineRule="auto"/>
      <w:jc w:val="both"/>
    </w:pPr>
    <w:rPr>
      <w:rFonts w:ascii="Calibri" w:eastAsia="Calibri" w:hAnsi="Calibri" w:cs="Times New Roman"/>
      <w:lang w:val="es-ES" w:eastAsia="es-ES"/>
    </w:rPr>
  </w:style>
  <w:style w:type="character" w:customStyle="1" w:styleId="EstiloCar">
    <w:name w:val="Estilo Car"/>
    <w:link w:val="Estilo"/>
    <w:rsid w:val="00B8501C"/>
    <w:rPr>
      <w:rFonts w:ascii="Arial" w:eastAsia="Times New Roman" w:hAnsi="Arial" w:cs="Times New Roman"/>
      <w:sz w:val="20"/>
      <w:lang w:val="es-ES" w:eastAsia="es-ES"/>
    </w:rPr>
  </w:style>
  <w:style w:type="character" w:customStyle="1" w:styleId="TextodegloboCar1">
    <w:name w:val="Texto de globo Car1"/>
    <w:uiPriority w:val="99"/>
    <w:semiHidden/>
    <w:rsid w:val="00B8501C"/>
    <w:rPr>
      <w:rFonts w:ascii="Tahoma" w:hAnsi="Tahoma" w:cs="Tahoma"/>
      <w:sz w:val="16"/>
      <w:szCs w:val="16"/>
    </w:rPr>
  </w:style>
  <w:style w:type="character" w:customStyle="1" w:styleId="PuestoCar">
    <w:name w:val="Puesto Car"/>
    <w:link w:val="Puesto"/>
    <w:rsid w:val="00B8501C"/>
    <w:rPr>
      <w:rFonts w:ascii="Cambria" w:eastAsia="Times New Roman" w:hAnsi="Cambria" w:cs="Times New Roman"/>
      <w:color w:val="17365D"/>
      <w:spacing w:val="5"/>
      <w:kern w:val="28"/>
      <w:sz w:val="52"/>
      <w:szCs w:val="52"/>
      <w:lang w:val="es-ES" w:eastAsia="es-ES"/>
    </w:rPr>
  </w:style>
  <w:style w:type="character" w:styleId="Ttulodellibro">
    <w:name w:val="Book Title"/>
    <w:uiPriority w:val="33"/>
    <w:qFormat/>
    <w:rsid w:val="00B8501C"/>
    <w:rPr>
      <w:b/>
      <w:bCs/>
      <w:smallCaps/>
      <w:spacing w:val="5"/>
    </w:rPr>
  </w:style>
  <w:style w:type="character" w:styleId="Referenciasutil">
    <w:name w:val="Subtle Reference"/>
    <w:uiPriority w:val="31"/>
    <w:qFormat/>
    <w:rsid w:val="00B8501C"/>
    <w:rPr>
      <w:smallCaps/>
      <w:color w:val="C0504D"/>
      <w:u w:val="single"/>
    </w:rPr>
  </w:style>
  <w:style w:type="paragraph" w:customStyle="1" w:styleId="Estilo2">
    <w:name w:val="Estilo2"/>
    <w:basedOn w:val="Estilo"/>
    <w:link w:val="Estilo2Car"/>
    <w:rsid w:val="00B8501C"/>
    <w:pPr>
      <w:spacing w:line="360" w:lineRule="auto"/>
    </w:pPr>
  </w:style>
  <w:style w:type="character" w:customStyle="1" w:styleId="Estilo2Car">
    <w:name w:val="Estilo2 Car"/>
    <w:link w:val="Estilo2"/>
    <w:rsid w:val="00B8501C"/>
    <w:rPr>
      <w:rFonts w:ascii="Arial" w:eastAsia="Times New Roman" w:hAnsi="Arial" w:cs="Times New Roman"/>
      <w:sz w:val="20"/>
      <w:lang w:val="es-ES" w:eastAsia="es-ES"/>
    </w:rPr>
  </w:style>
  <w:style w:type="paragraph" w:customStyle="1" w:styleId="WW-BodyText2">
    <w:name w:val="WW-Body Text 2"/>
    <w:basedOn w:val="Normal"/>
    <w:rsid w:val="00B8501C"/>
    <w:pPr>
      <w:suppressAutoHyphens/>
      <w:ind w:right="424"/>
      <w:jc w:val="both"/>
    </w:pPr>
    <w:rPr>
      <w:rFonts w:ascii="Arial" w:hAnsi="Arial" w:cs="Arial"/>
      <w:szCs w:val="20"/>
      <w:lang w:val="es-ES_tradnl" w:eastAsia="ar-SA"/>
    </w:rPr>
  </w:style>
  <w:style w:type="character" w:customStyle="1" w:styleId="AsuntodelcomentarioCar1">
    <w:name w:val="Asunto del comentario Car1"/>
    <w:basedOn w:val="TextocomentarioCar"/>
    <w:uiPriority w:val="99"/>
    <w:rsid w:val="00B8501C"/>
    <w:rPr>
      <w:rFonts w:ascii="Calibri" w:eastAsia="Times New Roman" w:hAnsi="Calibri" w:cs="Times New Roman"/>
      <w:b/>
      <w:bCs/>
      <w:sz w:val="20"/>
      <w:szCs w:val="20"/>
      <w:lang w:val="es-ES" w:eastAsia="es-ES"/>
    </w:rPr>
  </w:style>
  <w:style w:type="paragraph" w:customStyle="1" w:styleId="Textoindependiente22">
    <w:name w:val="Texto independiente 22"/>
    <w:basedOn w:val="Normal"/>
    <w:rsid w:val="00B8501C"/>
    <w:pPr>
      <w:overflowPunct w:val="0"/>
      <w:autoSpaceDE w:val="0"/>
      <w:autoSpaceDN w:val="0"/>
      <w:adjustRightInd w:val="0"/>
      <w:ind w:right="424"/>
      <w:jc w:val="both"/>
      <w:textAlignment w:val="baseline"/>
    </w:pPr>
    <w:rPr>
      <w:rFonts w:ascii="Arial" w:hAnsi="Arial"/>
      <w:szCs w:val="20"/>
      <w:lang w:val="es-ES_tradnl"/>
    </w:rPr>
  </w:style>
  <w:style w:type="paragraph" w:styleId="Sangra3detindependiente">
    <w:name w:val="Body Text Indent 3"/>
    <w:basedOn w:val="Normal"/>
    <w:link w:val="Sangra3detindependienteCar"/>
    <w:rsid w:val="00B8501C"/>
    <w:pPr>
      <w:spacing w:after="120"/>
      <w:ind w:left="283"/>
    </w:pPr>
    <w:rPr>
      <w:sz w:val="16"/>
      <w:szCs w:val="16"/>
      <w:lang w:val="es-MX" w:eastAsia="es-MX"/>
    </w:rPr>
  </w:style>
  <w:style w:type="character" w:customStyle="1" w:styleId="Sangra3detindependienteCar">
    <w:name w:val="Sangría 3 de t. independiente Car"/>
    <w:basedOn w:val="Fuentedeprrafopredeter"/>
    <w:link w:val="Sangra3detindependiente"/>
    <w:rsid w:val="00B8501C"/>
    <w:rPr>
      <w:rFonts w:ascii="Times New Roman" w:eastAsia="Times New Roman" w:hAnsi="Times New Roman" w:cs="Times New Roman"/>
      <w:sz w:val="16"/>
      <w:szCs w:val="16"/>
      <w:lang w:eastAsia="es-MX"/>
    </w:rPr>
  </w:style>
  <w:style w:type="paragraph" w:customStyle="1" w:styleId="xl30">
    <w:name w:val="xl30"/>
    <w:basedOn w:val="Normal"/>
    <w:rsid w:val="00B8501C"/>
    <w:pPr>
      <w:spacing w:before="100" w:beforeAutospacing="1" w:after="100" w:afterAutospacing="1"/>
    </w:pPr>
    <w:rPr>
      <w:rFonts w:ascii="Arial" w:eastAsia="Arial Unicode MS" w:hAnsi="Arial" w:cs="Arial"/>
    </w:rPr>
  </w:style>
  <w:style w:type="character" w:customStyle="1" w:styleId="SinespaciadoCar">
    <w:name w:val="Sin espaciado Car"/>
    <w:link w:val="Sinespaciado"/>
    <w:uiPriority w:val="1"/>
    <w:rsid w:val="00B8501C"/>
    <w:rPr>
      <w:rFonts w:ascii="Calibri" w:eastAsia="Calibri" w:hAnsi="Calibri" w:cs="Times New Roman"/>
      <w:lang w:val="es-ES" w:eastAsia="es-ES"/>
    </w:rPr>
  </w:style>
  <w:style w:type="character" w:styleId="Hipervnculovisitado">
    <w:name w:val="FollowedHyperlink"/>
    <w:uiPriority w:val="99"/>
    <w:semiHidden/>
    <w:unhideWhenUsed/>
    <w:rsid w:val="00B8501C"/>
    <w:rPr>
      <w:color w:val="800080"/>
      <w:u w:val="single"/>
    </w:rPr>
  </w:style>
  <w:style w:type="character" w:customStyle="1" w:styleId="ANOTACIONCar">
    <w:name w:val="ANOTACION Car"/>
    <w:link w:val="ANOTACION"/>
    <w:locked/>
    <w:rsid w:val="00B8501C"/>
    <w:rPr>
      <w:b/>
      <w:bCs/>
      <w:lang w:eastAsia="es-ES"/>
    </w:rPr>
  </w:style>
  <w:style w:type="paragraph" w:customStyle="1" w:styleId="ANOTACION">
    <w:name w:val="ANOTACION"/>
    <w:basedOn w:val="Normal"/>
    <w:link w:val="ANOTACIONCar"/>
    <w:rsid w:val="00B8501C"/>
    <w:pPr>
      <w:spacing w:before="101" w:after="101" w:line="216" w:lineRule="atLeast"/>
      <w:jc w:val="center"/>
    </w:pPr>
    <w:rPr>
      <w:rFonts w:asciiTheme="minorHAnsi" w:eastAsiaTheme="minorHAnsi" w:hAnsiTheme="minorHAnsi" w:cstheme="minorBidi"/>
      <w:b/>
      <w:bCs/>
      <w:sz w:val="22"/>
      <w:szCs w:val="22"/>
      <w:lang w:val="es-MX"/>
    </w:rPr>
  </w:style>
  <w:style w:type="character" w:customStyle="1" w:styleId="estilocorreo34">
    <w:name w:val="estilocorreo34"/>
    <w:semiHidden/>
    <w:rsid w:val="00B8501C"/>
    <w:rPr>
      <w:rFonts w:ascii="Calibri" w:hAnsi="Calibri" w:cs="Calibri" w:hint="default"/>
      <w:color w:val="auto"/>
    </w:rPr>
  </w:style>
  <w:style w:type="numbering" w:customStyle="1" w:styleId="Sinlista111">
    <w:name w:val="Sin lista111"/>
    <w:next w:val="Sinlista"/>
    <w:uiPriority w:val="99"/>
    <w:semiHidden/>
    <w:unhideWhenUsed/>
    <w:rsid w:val="00B8501C"/>
  </w:style>
  <w:style w:type="table" w:customStyle="1" w:styleId="Tablaconcuadrcula1">
    <w:name w:val="Tabla con cuadrícula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8">
    <w:name w:val="xl98"/>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99">
    <w:name w:val="xl99"/>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00">
    <w:name w:val="xl100"/>
    <w:basedOn w:val="Normal"/>
    <w:rsid w:val="00B8501C"/>
    <w:pPr>
      <w:pBdr>
        <w:top w:val="single" w:sz="8" w:space="0" w:color="auto"/>
        <w:left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01">
    <w:name w:val="xl101"/>
    <w:basedOn w:val="Normal"/>
    <w:rsid w:val="00B8501C"/>
    <w:pPr>
      <w:pBdr>
        <w:top w:val="single" w:sz="8" w:space="0" w:color="auto"/>
        <w:left w:val="single" w:sz="8" w:space="0" w:color="auto"/>
      </w:pBdr>
      <w:spacing w:before="100" w:beforeAutospacing="1" w:after="100" w:afterAutospacing="1"/>
      <w:textAlignment w:val="top"/>
    </w:pPr>
    <w:rPr>
      <w:lang w:val="es-MX" w:eastAsia="es-MX"/>
    </w:rPr>
  </w:style>
  <w:style w:type="paragraph" w:customStyle="1" w:styleId="xl102">
    <w:name w:val="xl102"/>
    <w:basedOn w:val="Normal"/>
    <w:rsid w:val="00B8501C"/>
    <w:pPr>
      <w:pBdr>
        <w:top w:val="single" w:sz="8" w:space="0" w:color="auto"/>
      </w:pBdr>
      <w:spacing w:before="100" w:beforeAutospacing="1" w:after="100" w:afterAutospacing="1"/>
      <w:textAlignment w:val="top"/>
    </w:pPr>
    <w:rPr>
      <w:lang w:val="es-MX" w:eastAsia="es-MX"/>
    </w:rPr>
  </w:style>
  <w:style w:type="paragraph" w:customStyle="1" w:styleId="xl103">
    <w:name w:val="xl103"/>
    <w:basedOn w:val="Normal"/>
    <w:rsid w:val="00B8501C"/>
    <w:pPr>
      <w:pBdr>
        <w:top w:val="single" w:sz="8" w:space="0" w:color="auto"/>
        <w:right w:val="single" w:sz="8" w:space="0" w:color="auto"/>
      </w:pBdr>
      <w:spacing w:before="100" w:beforeAutospacing="1" w:after="100" w:afterAutospacing="1"/>
      <w:textAlignment w:val="top"/>
    </w:pPr>
    <w:rPr>
      <w:lang w:val="es-MX" w:eastAsia="es-MX"/>
    </w:rPr>
  </w:style>
  <w:style w:type="paragraph" w:customStyle="1" w:styleId="xl104">
    <w:name w:val="xl104"/>
    <w:basedOn w:val="Normal"/>
    <w:rsid w:val="00B8501C"/>
    <w:pPr>
      <w:pBdr>
        <w:left w:val="single" w:sz="8" w:space="0" w:color="auto"/>
        <w:bottom w:val="single" w:sz="8" w:space="0" w:color="auto"/>
      </w:pBdr>
      <w:spacing w:before="100" w:beforeAutospacing="1" w:after="100" w:afterAutospacing="1"/>
      <w:textAlignment w:val="top"/>
    </w:pPr>
    <w:rPr>
      <w:lang w:val="es-MX" w:eastAsia="es-MX"/>
    </w:rPr>
  </w:style>
  <w:style w:type="paragraph" w:customStyle="1" w:styleId="xl105">
    <w:name w:val="xl105"/>
    <w:basedOn w:val="Normal"/>
    <w:rsid w:val="00B8501C"/>
    <w:pPr>
      <w:pBdr>
        <w:bottom w:val="single" w:sz="8" w:space="0" w:color="auto"/>
      </w:pBdr>
      <w:spacing w:before="100" w:beforeAutospacing="1" w:after="100" w:afterAutospacing="1"/>
      <w:textAlignment w:val="top"/>
    </w:pPr>
    <w:rPr>
      <w:lang w:val="es-MX" w:eastAsia="es-MX"/>
    </w:rPr>
  </w:style>
  <w:style w:type="paragraph" w:customStyle="1" w:styleId="xl106">
    <w:name w:val="xl106"/>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07">
    <w:name w:val="xl107"/>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08">
    <w:name w:val="xl108"/>
    <w:basedOn w:val="Normal"/>
    <w:rsid w:val="00B8501C"/>
    <w:pPr>
      <w:pBdr>
        <w:top w:val="single" w:sz="8" w:space="0" w:color="auto"/>
        <w:left w:val="single" w:sz="8" w:space="0" w:color="auto"/>
        <w:right w:val="single" w:sz="8" w:space="0" w:color="auto"/>
      </w:pBdr>
      <w:spacing w:before="100" w:beforeAutospacing="1" w:after="100" w:afterAutospacing="1"/>
      <w:textAlignment w:val="top"/>
    </w:pPr>
    <w:rPr>
      <w:lang w:val="es-MX" w:eastAsia="es-MX"/>
    </w:rPr>
  </w:style>
  <w:style w:type="paragraph" w:customStyle="1" w:styleId="xl109">
    <w:name w:val="xl109"/>
    <w:basedOn w:val="Normal"/>
    <w:rsid w:val="00B8501C"/>
    <w:pPr>
      <w:pBdr>
        <w:left w:val="single" w:sz="8" w:space="0" w:color="auto"/>
        <w:bottom w:val="single" w:sz="8" w:space="0" w:color="auto"/>
        <w:right w:val="single" w:sz="8" w:space="0" w:color="auto"/>
      </w:pBdr>
      <w:spacing w:before="100" w:beforeAutospacing="1" w:after="100" w:afterAutospacing="1"/>
      <w:textAlignment w:val="top"/>
    </w:pPr>
    <w:rPr>
      <w:lang w:val="es-MX" w:eastAsia="es-MX"/>
    </w:rPr>
  </w:style>
  <w:style w:type="paragraph" w:customStyle="1" w:styleId="xl110">
    <w:name w:val="xl110"/>
    <w:basedOn w:val="Normal"/>
    <w:rsid w:val="00B8501C"/>
    <w:pPr>
      <w:pBdr>
        <w:top w:val="single" w:sz="8" w:space="0" w:color="auto"/>
        <w:left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11">
    <w:name w:val="xl111"/>
    <w:basedOn w:val="Normal"/>
    <w:rsid w:val="00B8501C"/>
    <w:pPr>
      <w:pBdr>
        <w:top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12">
    <w:name w:val="xl112"/>
    <w:basedOn w:val="Normal"/>
    <w:rsid w:val="00B8501C"/>
    <w:pPr>
      <w:pBdr>
        <w:top w:val="single" w:sz="8" w:space="0" w:color="auto"/>
        <w:bottom w:val="single" w:sz="8" w:space="0" w:color="auto"/>
        <w:right w:val="single" w:sz="8" w:space="0" w:color="auto"/>
      </w:pBdr>
      <w:spacing w:before="100" w:beforeAutospacing="1" w:after="100" w:afterAutospacing="1"/>
      <w:textAlignment w:val="top"/>
    </w:pPr>
    <w:rPr>
      <w:b/>
      <w:bCs/>
      <w:sz w:val="18"/>
      <w:szCs w:val="18"/>
      <w:lang w:val="es-MX" w:eastAsia="es-MX"/>
    </w:rPr>
  </w:style>
  <w:style w:type="paragraph" w:customStyle="1" w:styleId="xl113">
    <w:name w:val="xl113"/>
    <w:basedOn w:val="Normal"/>
    <w:rsid w:val="00B8501C"/>
    <w:pPr>
      <w:pBdr>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14">
    <w:name w:val="xl114"/>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15">
    <w:name w:val="xl115"/>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16">
    <w:name w:val="xl116"/>
    <w:basedOn w:val="Normal"/>
    <w:rsid w:val="00B8501C"/>
    <w:pPr>
      <w:pBdr>
        <w:top w:val="single" w:sz="8" w:space="0" w:color="auto"/>
        <w:left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7">
    <w:name w:val="xl117"/>
    <w:basedOn w:val="Normal"/>
    <w:rsid w:val="00B8501C"/>
    <w:pPr>
      <w:pBdr>
        <w:top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8">
    <w:name w:val="xl118"/>
    <w:basedOn w:val="Normal"/>
    <w:rsid w:val="00B8501C"/>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9">
    <w:name w:val="xl119"/>
    <w:basedOn w:val="Normal"/>
    <w:rsid w:val="00B8501C"/>
    <w:pPr>
      <w:pBdr>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20">
    <w:name w:val="xl120"/>
    <w:basedOn w:val="Normal"/>
    <w:rsid w:val="00B8501C"/>
    <w:pPr>
      <w:pBdr>
        <w:bottom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21">
    <w:name w:val="xl121"/>
    <w:basedOn w:val="Normal"/>
    <w:rsid w:val="00B8501C"/>
    <w:pPr>
      <w:pBdr>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22">
    <w:name w:val="xl122"/>
    <w:basedOn w:val="Normal"/>
    <w:rsid w:val="00B8501C"/>
    <w:pPr>
      <w:pBdr>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23">
    <w:name w:val="xl123"/>
    <w:basedOn w:val="Normal"/>
    <w:rsid w:val="00B8501C"/>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24">
    <w:name w:val="xl124"/>
    <w:basedOn w:val="Normal"/>
    <w:rsid w:val="00B8501C"/>
    <w:pPr>
      <w:pBdr>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25">
    <w:name w:val="xl125"/>
    <w:basedOn w:val="Normal"/>
    <w:rsid w:val="00B8501C"/>
    <w:pPr>
      <w:pBdr>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26">
    <w:name w:val="xl126"/>
    <w:basedOn w:val="Normal"/>
    <w:rsid w:val="00B8501C"/>
    <w:pPr>
      <w:pBdr>
        <w:bottom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27">
    <w:name w:val="xl127"/>
    <w:basedOn w:val="Normal"/>
    <w:rsid w:val="00B8501C"/>
    <w:pPr>
      <w:pBdr>
        <w:bottom w:val="single" w:sz="8" w:space="0" w:color="auto"/>
        <w:right w:val="single" w:sz="8" w:space="0" w:color="auto"/>
      </w:pBdr>
      <w:spacing w:before="100" w:beforeAutospacing="1" w:after="100" w:afterAutospacing="1"/>
      <w:textAlignment w:val="center"/>
    </w:pPr>
    <w:rPr>
      <w:color w:val="000000"/>
      <w:sz w:val="18"/>
      <w:szCs w:val="18"/>
      <w:lang w:val="es-MX" w:eastAsia="es-MX"/>
    </w:rPr>
  </w:style>
  <w:style w:type="paragraph" w:customStyle="1" w:styleId="xl128">
    <w:name w:val="xl128"/>
    <w:basedOn w:val="Normal"/>
    <w:rsid w:val="00B8501C"/>
    <w:pPr>
      <w:pBdr>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29">
    <w:name w:val="xl129"/>
    <w:basedOn w:val="Normal"/>
    <w:rsid w:val="00B8501C"/>
    <w:pPr>
      <w:pBdr>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30">
    <w:name w:val="xl130"/>
    <w:basedOn w:val="Normal"/>
    <w:rsid w:val="00B8501C"/>
    <w:pPr>
      <w:pBdr>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31">
    <w:name w:val="xl131"/>
    <w:basedOn w:val="Normal"/>
    <w:rsid w:val="00B8501C"/>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2">
    <w:name w:val="xl132"/>
    <w:basedOn w:val="Normal"/>
    <w:rsid w:val="00B8501C"/>
    <w:pPr>
      <w:pBdr>
        <w:right w:val="single" w:sz="8" w:space="0" w:color="auto"/>
      </w:pBdr>
      <w:spacing w:before="100" w:beforeAutospacing="1" w:after="100" w:afterAutospacing="1"/>
      <w:jc w:val="center"/>
      <w:textAlignment w:val="center"/>
    </w:pPr>
    <w:rPr>
      <w:b/>
      <w:bCs/>
      <w:color w:val="000000"/>
      <w:sz w:val="16"/>
      <w:szCs w:val="16"/>
      <w:lang w:val="es-MX" w:eastAsia="es-MX"/>
    </w:rPr>
  </w:style>
  <w:style w:type="paragraph" w:customStyle="1" w:styleId="xl133">
    <w:name w:val="xl133"/>
    <w:basedOn w:val="Normal"/>
    <w:rsid w:val="00B8501C"/>
    <w:pPr>
      <w:pBdr>
        <w:bottom w:val="single" w:sz="8" w:space="0" w:color="auto"/>
        <w:right w:val="single" w:sz="8" w:space="0" w:color="auto"/>
      </w:pBdr>
      <w:spacing w:before="100" w:beforeAutospacing="1" w:after="100" w:afterAutospacing="1"/>
      <w:jc w:val="center"/>
      <w:textAlignment w:val="center"/>
    </w:pPr>
    <w:rPr>
      <w:b/>
      <w:bCs/>
      <w:color w:val="000000"/>
      <w:sz w:val="16"/>
      <w:szCs w:val="16"/>
      <w:lang w:val="es-MX" w:eastAsia="es-MX"/>
    </w:rPr>
  </w:style>
  <w:style w:type="paragraph" w:customStyle="1" w:styleId="xl134">
    <w:name w:val="xl134"/>
    <w:basedOn w:val="Normal"/>
    <w:rsid w:val="00B8501C"/>
    <w:pPr>
      <w:pBdr>
        <w:left w:val="single" w:sz="8" w:space="0" w:color="auto"/>
        <w:bottom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35">
    <w:name w:val="xl135"/>
    <w:basedOn w:val="Normal"/>
    <w:rsid w:val="00B8501C"/>
    <w:pPr>
      <w:pBdr>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36">
    <w:name w:val="xl136"/>
    <w:basedOn w:val="Normal"/>
    <w:rsid w:val="00B8501C"/>
    <w:pPr>
      <w:pBdr>
        <w:top w:val="single" w:sz="8" w:space="0" w:color="auto"/>
        <w:lef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7">
    <w:name w:val="xl137"/>
    <w:basedOn w:val="Normal"/>
    <w:rsid w:val="00B8501C"/>
    <w:pPr>
      <w:pBdr>
        <w:top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8">
    <w:name w:val="xl138"/>
    <w:basedOn w:val="Normal"/>
    <w:rsid w:val="00B8501C"/>
    <w:pPr>
      <w:pBdr>
        <w:left w:val="single" w:sz="8" w:space="0" w:color="auto"/>
        <w:bottom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9">
    <w:name w:val="xl139"/>
    <w:basedOn w:val="Normal"/>
    <w:rsid w:val="00B8501C"/>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0">
    <w:name w:val="xl140"/>
    <w:basedOn w:val="Normal"/>
    <w:rsid w:val="00B8501C"/>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41">
    <w:name w:val="xl141"/>
    <w:basedOn w:val="Normal"/>
    <w:rsid w:val="00B8501C"/>
    <w:pPr>
      <w:pBdr>
        <w:top w:val="single" w:sz="8" w:space="0" w:color="auto"/>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42">
    <w:name w:val="xl142"/>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43">
    <w:name w:val="xl143"/>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44">
    <w:name w:val="xl144"/>
    <w:basedOn w:val="Normal"/>
    <w:rsid w:val="00B8501C"/>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5">
    <w:name w:val="xl145"/>
    <w:basedOn w:val="Normal"/>
    <w:rsid w:val="00B8501C"/>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6">
    <w:name w:val="xl146"/>
    <w:basedOn w:val="Normal"/>
    <w:rsid w:val="00B8501C"/>
    <w:pPr>
      <w:pBdr>
        <w:top w:val="single" w:sz="8" w:space="0" w:color="auto"/>
        <w:left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47">
    <w:name w:val="xl147"/>
    <w:basedOn w:val="Normal"/>
    <w:rsid w:val="00B8501C"/>
    <w:pPr>
      <w:pBdr>
        <w:top w:val="single" w:sz="8" w:space="0" w:color="auto"/>
        <w:left w:val="single" w:sz="8" w:space="0" w:color="auto"/>
      </w:pBdr>
      <w:spacing w:before="100" w:beforeAutospacing="1" w:after="100" w:afterAutospacing="1"/>
      <w:textAlignment w:val="top"/>
    </w:pPr>
    <w:rPr>
      <w:lang w:val="es-MX" w:eastAsia="es-MX"/>
    </w:rPr>
  </w:style>
  <w:style w:type="paragraph" w:customStyle="1" w:styleId="xl148">
    <w:name w:val="xl148"/>
    <w:basedOn w:val="Normal"/>
    <w:rsid w:val="00B8501C"/>
    <w:pPr>
      <w:pBdr>
        <w:top w:val="single" w:sz="8" w:space="0" w:color="auto"/>
      </w:pBdr>
      <w:spacing w:before="100" w:beforeAutospacing="1" w:after="100" w:afterAutospacing="1"/>
      <w:textAlignment w:val="top"/>
    </w:pPr>
    <w:rPr>
      <w:lang w:val="es-MX" w:eastAsia="es-MX"/>
    </w:rPr>
  </w:style>
  <w:style w:type="paragraph" w:customStyle="1" w:styleId="xl149">
    <w:name w:val="xl149"/>
    <w:basedOn w:val="Normal"/>
    <w:rsid w:val="00B8501C"/>
    <w:pPr>
      <w:pBdr>
        <w:top w:val="single" w:sz="8" w:space="0" w:color="auto"/>
        <w:right w:val="single" w:sz="8" w:space="0" w:color="auto"/>
      </w:pBdr>
      <w:spacing w:before="100" w:beforeAutospacing="1" w:after="100" w:afterAutospacing="1"/>
      <w:textAlignment w:val="top"/>
    </w:pPr>
    <w:rPr>
      <w:lang w:val="es-MX" w:eastAsia="es-MX"/>
    </w:rPr>
  </w:style>
  <w:style w:type="paragraph" w:customStyle="1" w:styleId="xl150">
    <w:name w:val="xl150"/>
    <w:basedOn w:val="Normal"/>
    <w:rsid w:val="00B8501C"/>
    <w:pPr>
      <w:pBdr>
        <w:left w:val="single" w:sz="8" w:space="0" w:color="auto"/>
        <w:bottom w:val="single" w:sz="8" w:space="0" w:color="auto"/>
      </w:pBdr>
      <w:spacing w:before="100" w:beforeAutospacing="1" w:after="100" w:afterAutospacing="1"/>
      <w:textAlignment w:val="top"/>
    </w:pPr>
    <w:rPr>
      <w:lang w:val="es-MX" w:eastAsia="es-MX"/>
    </w:rPr>
  </w:style>
  <w:style w:type="paragraph" w:customStyle="1" w:styleId="xl151">
    <w:name w:val="xl151"/>
    <w:basedOn w:val="Normal"/>
    <w:rsid w:val="00B8501C"/>
    <w:pPr>
      <w:pBdr>
        <w:bottom w:val="single" w:sz="8" w:space="0" w:color="auto"/>
      </w:pBdr>
      <w:spacing w:before="100" w:beforeAutospacing="1" w:after="100" w:afterAutospacing="1"/>
      <w:textAlignment w:val="top"/>
    </w:pPr>
    <w:rPr>
      <w:lang w:val="es-MX" w:eastAsia="es-MX"/>
    </w:rPr>
  </w:style>
  <w:style w:type="paragraph" w:customStyle="1" w:styleId="xl152">
    <w:name w:val="xl152"/>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53">
    <w:name w:val="xl153"/>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54">
    <w:name w:val="xl154"/>
    <w:basedOn w:val="Normal"/>
    <w:rsid w:val="00B8501C"/>
    <w:pPr>
      <w:pBdr>
        <w:top w:val="single" w:sz="8" w:space="0" w:color="auto"/>
        <w:left w:val="single" w:sz="8" w:space="0" w:color="auto"/>
        <w:right w:val="single" w:sz="8" w:space="0" w:color="auto"/>
      </w:pBdr>
      <w:spacing w:before="100" w:beforeAutospacing="1" w:after="100" w:afterAutospacing="1"/>
      <w:textAlignment w:val="top"/>
    </w:pPr>
    <w:rPr>
      <w:lang w:val="es-MX" w:eastAsia="es-MX"/>
    </w:rPr>
  </w:style>
  <w:style w:type="paragraph" w:customStyle="1" w:styleId="xl155">
    <w:name w:val="xl155"/>
    <w:basedOn w:val="Normal"/>
    <w:rsid w:val="00B8501C"/>
    <w:pPr>
      <w:pBdr>
        <w:left w:val="single" w:sz="8" w:space="0" w:color="auto"/>
        <w:bottom w:val="single" w:sz="8" w:space="0" w:color="auto"/>
        <w:right w:val="single" w:sz="8" w:space="0" w:color="auto"/>
      </w:pBdr>
      <w:spacing w:before="100" w:beforeAutospacing="1" w:after="100" w:afterAutospacing="1"/>
      <w:textAlignment w:val="top"/>
    </w:pPr>
    <w:rPr>
      <w:lang w:val="es-MX" w:eastAsia="es-MX"/>
    </w:rPr>
  </w:style>
  <w:style w:type="paragraph" w:customStyle="1" w:styleId="xl156">
    <w:name w:val="xl156"/>
    <w:basedOn w:val="Normal"/>
    <w:rsid w:val="00B8501C"/>
    <w:pPr>
      <w:pBdr>
        <w:top w:val="single" w:sz="8" w:space="0" w:color="auto"/>
        <w:left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57">
    <w:name w:val="xl157"/>
    <w:basedOn w:val="Normal"/>
    <w:rsid w:val="00B8501C"/>
    <w:pPr>
      <w:pBdr>
        <w:top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58">
    <w:name w:val="xl158"/>
    <w:basedOn w:val="Normal"/>
    <w:rsid w:val="00B8501C"/>
    <w:pPr>
      <w:pBdr>
        <w:top w:val="single" w:sz="8" w:space="0" w:color="auto"/>
        <w:bottom w:val="single" w:sz="8" w:space="0" w:color="auto"/>
        <w:right w:val="single" w:sz="8" w:space="0" w:color="auto"/>
      </w:pBdr>
      <w:spacing w:before="100" w:beforeAutospacing="1" w:after="100" w:afterAutospacing="1"/>
      <w:textAlignment w:val="top"/>
    </w:pPr>
    <w:rPr>
      <w:b/>
      <w:bCs/>
      <w:sz w:val="18"/>
      <w:szCs w:val="18"/>
      <w:lang w:val="es-MX" w:eastAsia="es-MX"/>
    </w:rPr>
  </w:style>
  <w:style w:type="paragraph" w:customStyle="1" w:styleId="xl159">
    <w:name w:val="xl159"/>
    <w:basedOn w:val="Normal"/>
    <w:rsid w:val="00B8501C"/>
    <w:pPr>
      <w:pBdr>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60">
    <w:name w:val="xl160"/>
    <w:basedOn w:val="Normal"/>
    <w:rsid w:val="00B8501C"/>
    <w:pPr>
      <w:pBdr>
        <w:top w:val="single" w:sz="8" w:space="0" w:color="auto"/>
        <w:left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61">
    <w:name w:val="xl161"/>
    <w:basedOn w:val="Normal"/>
    <w:rsid w:val="00B8501C"/>
    <w:pPr>
      <w:pBdr>
        <w:top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62">
    <w:name w:val="xl162"/>
    <w:basedOn w:val="Normal"/>
    <w:rsid w:val="00B8501C"/>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ecxmsonormal">
    <w:name w:val="ecxmsonormal"/>
    <w:basedOn w:val="Normal"/>
    <w:rsid w:val="00B8501C"/>
    <w:pPr>
      <w:spacing w:after="324"/>
    </w:pPr>
    <w:rPr>
      <w:lang w:val="es-MX" w:eastAsia="es-MX"/>
    </w:rPr>
  </w:style>
  <w:style w:type="paragraph" w:customStyle="1" w:styleId="font5">
    <w:name w:val="font5"/>
    <w:basedOn w:val="Normal"/>
    <w:rsid w:val="00B8501C"/>
    <w:pPr>
      <w:spacing w:before="100" w:beforeAutospacing="1" w:after="100" w:afterAutospacing="1"/>
    </w:pPr>
    <w:rPr>
      <w:rFonts w:ascii="Arial" w:hAnsi="Arial" w:cs="Arial"/>
      <w:b/>
      <w:bCs/>
      <w:sz w:val="16"/>
      <w:szCs w:val="16"/>
      <w:lang w:val="es-MX" w:eastAsia="es-MX"/>
    </w:rPr>
  </w:style>
  <w:style w:type="paragraph" w:customStyle="1" w:styleId="xl163">
    <w:name w:val="xl163"/>
    <w:basedOn w:val="Normal"/>
    <w:rsid w:val="00B8501C"/>
    <w:pPr>
      <w:pBdr>
        <w:top w:val="single" w:sz="8" w:space="0" w:color="auto"/>
        <w:left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4">
    <w:name w:val="xl164"/>
    <w:basedOn w:val="Normal"/>
    <w:rsid w:val="00B8501C"/>
    <w:pPr>
      <w:pBdr>
        <w:top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5">
    <w:name w:val="xl165"/>
    <w:basedOn w:val="Normal"/>
    <w:rsid w:val="00B8501C"/>
    <w:pPr>
      <w:pBdr>
        <w:top w:val="single" w:sz="8" w:space="0" w:color="333333"/>
        <w:left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6">
    <w:name w:val="xl166"/>
    <w:basedOn w:val="Normal"/>
    <w:rsid w:val="00B8501C"/>
    <w:pPr>
      <w:pBdr>
        <w:top w:val="single" w:sz="8" w:space="0" w:color="333333"/>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7">
    <w:name w:val="xl167"/>
    <w:basedOn w:val="Normal"/>
    <w:rsid w:val="00B8501C"/>
    <w:pPr>
      <w:pBdr>
        <w:top w:val="single" w:sz="8" w:space="0" w:color="333333"/>
        <w:left w:val="single" w:sz="8" w:space="0" w:color="auto"/>
        <w:bottom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8">
    <w:name w:val="xl168"/>
    <w:basedOn w:val="Normal"/>
    <w:rsid w:val="00B8501C"/>
    <w:pPr>
      <w:pBdr>
        <w:top w:val="single" w:sz="8" w:space="0" w:color="333333"/>
        <w:bottom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9">
    <w:name w:val="xl169"/>
    <w:basedOn w:val="Normal"/>
    <w:rsid w:val="00B8501C"/>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0">
    <w:name w:val="xl170"/>
    <w:basedOn w:val="Normal"/>
    <w:rsid w:val="00B8501C"/>
    <w:pPr>
      <w:pBdr>
        <w:top w:val="single" w:sz="8" w:space="0" w:color="auto"/>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1">
    <w:name w:val="xl171"/>
    <w:basedOn w:val="Normal"/>
    <w:rsid w:val="00B8501C"/>
    <w:pPr>
      <w:pBdr>
        <w:top w:val="single" w:sz="8" w:space="0" w:color="auto"/>
        <w:left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2">
    <w:name w:val="xl172"/>
    <w:basedOn w:val="Normal"/>
    <w:rsid w:val="00B8501C"/>
    <w:pPr>
      <w:pBdr>
        <w:top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3">
    <w:name w:val="xl173"/>
    <w:basedOn w:val="Normal"/>
    <w:rsid w:val="00B8501C"/>
    <w:pPr>
      <w:pBdr>
        <w:top w:val="single" w:sz="8" w:space="0" w:color="auto"/>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4">
    <w:name w:val="xl174"/>
    <w:basedOn w:val="Normal"/>
    <w:rsid w:val="00B8501C"/>
    <w:pPr>
      <w:pBdr>
        <w:top w:val="single" w:sz="8" w:space="0" w:color="333333"/>
        <w:left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5">
    <w:name w:val="xl175"/>
    <w:basedOn w:val="Normal"/>
    <w:rsid w:val="00B8501C"/>
    <w:pPr>
      <w:pBdr>
        <w:top w:val="single" w:sz="8" w:space="0" w:color="333333"/>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6">
    <w:name w:val="xl176"/>
    <w:basedOn w:val="Normal"/>
    <w:rsid w:val="00B8501C"/>
    <w:pPr>
      <w:pBdr>
        <w:top w:val="single" w:sz="8" w:space="0" w:color="333333"/>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7">
    <w:name w:val="xl177"/>
    <w:basedOn w:val="Normal"/>
    <w:rsid w:val="00B8501C"/>
    <w:pPr>
      <w:pBdr>
        <w:top w:val="single" w:sz="8" w:space="0" w:color="333333"/>
        <w:left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8">
    <w:name w:val="xl178"/>
    <w:basedOn w:val="Normal"/>
    <w:rsid w:val="00B8501C"/>
    <w:pPr>
      <w:pBdr>
        <w:top w:val="single" w:sz="8" w:space="0" w:color="333333"/>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9">
    <w:name w:val="xl179"/>
    <w:basedOn w:val="Normal"/>
    <w:rsid w:val="00B8501C"/>
    <w:pPr>
      <w:pBdr>
        <w:top w:val="single" w:sz="8" w:space="0" w:color="333333"/>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0">
    <w:name w:val="xl180"/>
    <w:basedOn w:val="Normal"/>
    <w:rsid w:val="00B8501C"/>
    <w:pPr>
      <w:pBdr>
        <w:top w:val="single" w:sz="8" w:space="0" w:color="333333"/>
        <w:bottom w:val="single" w:sz="8" w:space="0" w:color="333333"/>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1">
    <w:name w:val="xl181"/>
    <w:basedOn w:val="Normal"/>
    <w:rsid w:val="00B8501C"/>
    <w:pPr>
      <w:pBdr>
        <w:top w:val="single" w:sz="8" w:space="0" w:color="333333"/>
        <w:bottom w:val="single" w:sz="8" w:space="0" w:color="auto"/>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2">
    <w:name w:val="xl182"/>
    <w:basedOn w:val="Normal"/>
    <w:rsid w:val="00B8501C"/>
    <w:pPr>
      <w:pBdr>
        <w:top w:val="single" w:sz="8" w:space="0" w:color="auto"/>
        <w:bottom w:val="single" w:sz="8" w:space="0" w:color="333333"/>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3">
    <w:name w:val="xl183"/>
    <w:basedOn w:val="Normal"/>
    <w:rsid w:val="00B8501C"/>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4">
    <w:name w:val="xl184"/>
    <w:basedOn w:val="Normal"/>
    <w:rsid w:val="00B8501C"/>
    <w:pPr>
      <w:pBdr>
        <w:top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5">
    <w:name w:val="xl185"/>
    <w:basedOn w:val="Normal"/>
    <w:rsid w:val="00B8501C"/>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6">
    <w:name w:val="xl186"/>
    <w:basedOn w:val="Normal"/>
    <w:rsid w:val="00B8501C"/>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7">
    <w:name w:val="xl187"/>
    <w:basedOn w:val="Normal"/>
    <w:rsid w:val="00B8501C"/>
    <w:pPr>
      <w:pBdr>
        <w:bottom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8">
    <w:name w:val="xl188"/>
    <w:basedOn w:val="Normal"/>
    <w:rsid w:val="00B850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9">
    <w:name w:val="xl189"/>
    <w:basedOn w:val="Normal"/>
    <w:rsid w:val="00B8501C"/>
    <w:pPr>
      <w:pBdr>
        <w:right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0">
    <w:name w:val="xl190"/>
    <w:basedOn w:val="Normal"/>
    <w:rsid w:val="00B8501C"/>
    <w:pPr>
      <w:pBdr>
        <w:top w:val="single" w:sz="8" w:space="0" w:color="auto"/>
        <w:left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1">
    <w:name w:val="xl191"/>
    <w:basedOn w:val="Normal"/>
    <w:rsid w:val="00B8501C"/>
    <w:pPr>
      <w:pBdr>
        <w:top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2">
    <w:name w:val="xl192"/>
    <w:basedOn w:val="Normal"/>
    <w:rsid w:val="00B8501C"/>
    <w:pPr>
      <w:pBdr>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3">
    <w:name w:val="xl193"/>
    <w:basedOn w:val="Normal"/>
    <w:rsid w:val="00B8501C"/>
    <w:pPr>
      <w:pBdr>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4">
    <w:name w:val="xl194"/>
    <w:basedOn w:val="Normal"/>
    <w:rsid w:val="00B8501C"/>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5">
    <w:name w:val="xl195"/>
    <w:basedOn w:val="Normal"/>
    <w:rsid w:val="00B8501C"/>
    <w:pPr>
      <w:pBdr>
        <w:top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6">
    <w:name w:val="xl196"/>
    <w:basedOn w:val="Normal"/>
    <w:rsid w:val="00B8501C"/>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7">
    <w:name w:val="xl197"/>
    <w:basedOn w:val="Normal"/>
    <w:rsid w:val="00B8501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16"/>
      <w:szCs w:val="16"/>
      <w:lang w:val="es-MX" w:eastAsia="es-MX"/>
    </w:rPr>
  </w:style>
  <w:style w:type="paragraph" w:customStyle="1" w:styleId="xl198">
    <w:name w:val="xl198"/>
    <w:basedOn w:val="Normal"/>
    <w:rsid w:val="00B850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16"/>
      <w:szCs w:val="16"/>
      <w:lang w:val="es-MX" w:eastAsia="es-MX"/>
    </w:rPr>
  </w:style>
  <w:style w:type="paragraph" w:customStyle="1" w:styleId="xl199">
    <w:name w:val="xl199"/>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0">
    <w:name w:val="xl200"/>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1">
    <w:name w:val="xl201"/>
    <w:basedOn w:val="Normal"/>
    <w:rsid w:val="00B8501C"/>
    <w:pPr>
      <w:pBdr>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2">
    <w:name w:val="xl202"/>
    <w:basedOn w:val="Normal"/>
    <w:rsid w:val="00B8501C"/>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3">
    <w:name w:val="xl203"/>
    <w:basedOn w:val="Normal"/>
    <w:rsid w:val="00B8501C"/>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4">
    <w:name w:val="xl204"/>
    <w:basedOn w:val="Normal"/>
    <w:rsid w:val="00B8501C"/>
    <w:pPr>
      <w:pBdr>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5">
    <w:name w:val="xl205"/>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rFonts w:ascii="Arial Narrow" w:hAnsi="Arial Narrow"/>
      <w:b/>
      <w:bCs/>
      <w:color w:val="000000"/>
      <w:sz w:val="20"/>
      <w:szCs w:val="20"/>
      <w:lang w:val="es-MX" w:eastAsia="es-MX"/>
    </w:rPr>
  </w:style>
  <w:style w:type="paragraph" w:customStyle="1" w:styleId="xl206">
    <w:name w:val="xl206"/>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rFonts w:ascii="Arial Narrow" w:hAnsi="Arial Narrow"/>
      <w:color w:val="000000"/>
      <w:sz w:val="20"/>
      <w:szCs w:val="20"/>
      <w:lang w:val="es-MX" w:eastAsia="es-MX"/>
    </w:rPr>
  </w:style>
  <w:style w:type="paragraph" w:customStyle="1" w:styleId="xl207">
    <w:name w:val="xl207"/>
    <w:basedOn w:val="Normal"/>
    <w:rsid w:val="00B8501C"/>
    <w:pPr>
      <w:pBdr>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8">
    <w:name w:val="xl208"/>
    <w:basedOn w:val="Normal"/>
    <w:rsid w:val="00B850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9">
    <w:name w:val="xl209"/>
    <w:basedOn w:val="Normal"/>
    <w:rsid w:val="00B850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0">
    <w:name w:val="xl210"/>
    <w:basedOn w:val="Normal"/>
    <w:rsid w:val="00B8501C"/>
    <w:pPr>
      <w:pBdr>
        <w:top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211">
    <w:name w:val="xl211"/>
    <w:basedOn w:val="Normal"/>
    <w:rsid w:val="00B8501C"/>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212">
    <w:name w:val="xl212"/>
    <w:basedOn w:val="Normal"/>
    <w:rsid w:val="00B8501C"/>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3">
    <w:name w:val="xl213"/>
    <w:basedOn w:val="Normal"/>
    <w:rsid w:val="00B8501C"/>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4">
    <w:name w:val="xl214"/>
    <w:basedOn w:val="Normal"/>
    <w:rsid w:val="00B8501C"/>
    <w:pPr>
      <w:pBdr>
        <w:top w:val="single" w:sz="8" w:space="0" w:color="auto"/>
        <w:lef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5">
    <w:name w:val="xl215"/>
    <w:basedOn w:val="Normal"/>
    <w:rsid w:val="00B8501C"/>
    <w:pPr>
      <w:pBdr>
        <w:top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6">
    <w:name w:val="xl216"/>
    <w:basedOn w:val="Normal"/>
    <w:rsid w:val="00B8501C"/>
    <w:pPr>
      <w:pBdr>
        <w:top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7">
    <w:name w:val="xl217"/>
    <w:basedOn w:val="Normal"/>
    <w:rsid w:val="00B8501C"/>
    <w:pPr>
      <w:pBdr>
        <w:left w:val="single" w:sz="8" w:space="0" w:color="auto"/>
        <w:bottom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8">
    <w:name w:val="xl218"/>
    <w:basedOn w:val="Normal"/>
    <w:rsid w:val="00B8501C"/>
    <w:pPr>
      <w:pBdr>
        <w:bottom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9">
    <w:name w:val="xl219"/>
    <w:basedOn w:val="Normal"/>
    <w:rsid w:val="00B8501C"/>
    <w:pPr>
      <w:pBdr>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0">
    <w:name w:val="xl220"/>
    <w:basedOn w:val="Normal"/>
    <w:rsid w:val="00B8501C"/>
    <w:pPr>
      <w:pBdr>
        <w:top w:val="single" w:sz="8" w:space="0" w:color="333333"/>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221">
    <w:name w:val="xl221"/>
    <w:basedOn w:val="Normal"/>
    <w:rsid w:val="00B8501C"/>
    <w:pPr>
      <w:pBdr>
        <w:top w:val="single" w:sz="8" w:space="0" w:color="333333"/>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character" w:customStyle="1" w:styleId="Absatz-Standardschriftart">
    <w:name w:val="Absatz-Standardschriftart"/>
    <w:rsid w:val="00B8501C"/>
  </w:style>
  <w:style w:type="character" w:customStyle="1" w:styleId="WW-Absatz-Standardschriftart">
    <w:name w:val="WW-Absatz-Standardschriftart"/>
    <w:rsid w:val="00B8501C"/>
  </w:style>
  <w:style w:type="character" w:customStyle="1" w:styleId="WW-Absatz-Standardschriftart1">
    <w:name w:val="WW-Absatz-Standardschriftart1"/>
    <w:rsid w:val="00B8501C"/>
  </w:style>
  <w:style w:type="character" w:customStyle="1" w:styleId="WW-Absatz-Standardschriftart11">
    <w:name w:val="WW-Absatz-Standardschriftart11"/>
    <w:rsid w:val="00B8501C"/>
  </w:style>
  <w:style w:type="character" w:customStyle="1" w:styleId="WW-Absatz-Standardschriftart111">
    <w:name w:val="WW-Absatz-Standardschriftart111"/>
    <w:rsid w:val="00B8501C"/>
  </w:style>
  <w:style w:type="character" w:customStyle="1" w:styleId="WW8Num2z0">
    <w:name w:val="WW8Num2z0"/>
    <w:rsid w:val="00B8501C"/>
    <w:rPr>
      <w:rFonts w:ascii="Wingdings" w:hAnsi="Wingdings" w:cs="Wingdings"/>
    </w:rPr>
  </w:style>
  <w:style w:type="character" w:customStyle="1" w:styleId="WW8Num3z0">
    <w:name w:val="WW8Num3z0"/>
    <w:rsid w:val="00B8501C"/>
    <w:rPr>
      <w:rFonts w:ascii="Symbol" w:hAnsi="Symbol" w:cs="Symbol"/>
    </w:rPr>
  </w:style>
  <w:style w:type="character" w:customStyle="1" w:styleId="WW8Num3z1">
    <w:name w:val="WW8Num3z1"/>
    <w:rsid w:val="00B8501C"/>
    <w:rPr>
      <w:rFonts w:ascii="Courier New" w:hAnsi="Courier New" w:cs="Courier New"/>
    </w:rPr>
  </w:style>
  <w:style w:type="character" w:customStyle="1" w:styleId="WW8Num3z2">
    <w:name w:val="WW8Num3z2"/>
    <w:rsid w:val="00B8501C"/>
    <w:rPr>
      <w:rFonts w:ascii="Wingdings" w:hAnsi="Wingdings" w:cs="Wingdings"/>
    </w:rPr>
  </w:style>
  <w:style w:type="character" w:customStyle="1" w:styleId="WW8Num4z0">
    <w:name w:val="WW8Num4z0"/>
    <w:rsid w:val="00B8501C"/>
    <w:rPr>
      <w:rFonts w:ascii="Symbol" w:hAnsi="Symbol" w:cs="Symbol"/>
    </w:rPr>
  </w:style>
  <w:style w:type="character" w:customStyle="1" w:styleId="WW8Num4z1">
    <w:name w:val="WW8Num4z1"/>
    <w:rsid w:val="00B8501C"/>
    <w:rPr>
      <w:rFonts w:ascii="Courier New" w:hAnsi="Courier New" w:cs="Courier New"/>
    </w:rPr>
  </w:style>
  <w:style w:type="character" w:customStyle="1" w:styleId="WW8Num4z2">
    <w:name w:val="WW8Num4z2"/>
    <w:rsid w:val="00B8501C"/>
    <w:rPr>
      <w:rFonts w:ascii="Wingdings" w:hAnsi="Wingdings" w:cs="Wingdings"/>
    </w:rPr>
  </w:style>
  <w:style w:type="character" w:customStyle="1" w:styleId="WW8Num5z0">
    <w:name w:val="WW8Num5z0"/>
    <w:rsid w:val="00B8501C"/>
    <w:rPr>
      <w:rFonts w:ascii="Symbol" w:hAnsi="Symbol" w:cs="Symbol"/>
    </w:rPr>
  </w:style>
  <w:style w:type="character" w:customStyle="1" w:styleId="WW8Num5z1">
    <w:name w:val="WW8Num5z1"/>
    <w:rsid w:val="00B8501C"/>
    <w:rPr>
      <w:rFonts w:ascii="Courier New" w:hAnsi="Courier New" w:cs="Courier New"/>
    </w:rPr>
  </w:style>
  <w:style w:type="character" w:customStyle="1" w:styleId="WW8Num5z2">
    <w:name w:val="WW8Num5z2"/>
    <w:rsid w:val="00B8501C"/>
    <w:rPr>
      <w:rFonts w:ascii="Wingdings" w:hAnsi="Wingdings" w:cs="Wingdings"/>
    </w:rPr>
  </w:style>
  <w:style w:type="character" w:customStyle="1" w:styleId="WW8Num6z0">
    <w:name w:val="WW8Num6z0"/>
    <w:rsid w:val="00B8501C"/>
    <w:rPr>
      <w:rFonts w:ascii="Symbol" w:hAnsi="Symbol" w:cs="Symbol"/>
    </w:rPr>
  </w:style>
  <w:style w:type="character" w:customStyle="1" w:styleId="WW8Num6z1">
    <w:name w:val="WW8Num6z1"/>
    <w:rsid w:val="00B8501C"/>
    <w:rPr>
      <w:rFonts w:ascii="Courier New" w:hAnsi="Courier New" w:cs="Courier New"/>
    </w:rPr>
  </w:style>
  <w:style w:type="character" w:customStyle="1" w:styleId="WW8Num6z2">
    <w:name w:val="WW8Num6z2"/>
    <w:rsid w:val="00B8501C"/>
    <w:rPr>
      <w:rFonts w:ascii="Wingdings" w:hAnsi="Wingdings" w:cs="Wingdings"/>
    </w:rPr>
  </w:style>
  <w:style w:type="character" w:customStyle="1" w:styleId="WW8Num7z0">
    <w:name w:val="WW8Num7z0"/>
    <w:rsid w:val="00B8501C"/>
    <w:rPr>
      <w:rFonts w:ascii="Symbol" w:hAnsi="Symbol" w:cs="Symbol"/>
    </w:rPr>
  </w:style>
  <w:style w:type="character" w:customStyle="1" w:styleId="WW8Num8z0">
    <w:name w:val="WW8Num8z0"/>
    <w:rsid w:val="00B8501C"/>
    <w:rPr>
      <w:rFonts w:ascii="Wingdings" w:hAnsi="Wingdings" w:cs="Wingdings"/>
    </w:rPr>
  </w:style>
  <w:style w:type="character" w:customStyle="1" w:styleId="WW8Num9z0">
    <w:name w:val="WW8Num9z0"/>
    <w:rsid w:val="00B8501C"/>
    <w:rPr>
      <w:rFonts w:ascii="Wingdings" w:hAnsi="Wingdings" w:cs="Wingdings"/>
    </w:rPr>
  </w:style>
  <w:style w:type="character" w:customStyle="1" w:styleId="WW8NumSt3z0">
    <w:name w:val="WW8NumSt3z0"/>
    <w:rsid w:val="00B8501C"/>
    <w:rPr>
      <w:rFonts w:ascii="Arial" w:hAnsi="Arial" w:cs="Arial"/>
      <w:sz w:val="32"/>
    </w:rPr>
  </w:style>
  <w:style w:type="character" w:customStyle="1" w:styleId="Fuentedeprrafopredeter1">
    <w:name w:val="Fuente de párrafo predeter.1"/>
    <w:rsid w:val="00B8501C"/>
  </w:style>
  <w:style w:type="paragraph" w:customStyle="1" w:styleId="Encabezado1">
    <w:name w:val="Encabezado1"/>
    <w:basedOn w:val="Normal"/>
    <w:next w:val="Textoindependiente"/>
    <w:rsid w:val="00B8501C"/>
    <w:pPr>
      <w:keepNext/>
      <w:suppressAutoHyphens/>
      <w:spacing w:before="240" w:after="120"/>
    </w:pPr>
    <w:rPr>
      <w:rFonts w:ascii="Arial" w:eastAsia="WenQuanYi Micro Hei" w:hAnsi="Arial" w:cs="Lohit Hindi"/>
      <w:sz w:val="28"/>
      <w:szCs w:val="28"/>
      <w:lang w:eastAsia="ar-SA"/>
    </w:rPr>
  </w:style>
  <w:style w:type="paragraph" w:styleId="Lista">
    <w:name w:val="List"/>
    <w:basedOn w:val="Textoindependiente"/>
    <w:rsid w:val="00B8501C"/>
    <w:pPr>
      <w:suppressAutoHyphens/>
      <w:spacing w:line="240" w:lineRule="auto"/>
      <w:jc w:val="left"/>
    </w:pPr>
    <w:rPr>
      <w:rFonts w:cs="Lohit Hindi"/>
      <w:b w:val="0"/>
      <w:bCs w:val="0"/>
      <w:sz w:val="16"/>
      <w:szCs w:val="20"/>
      <w:lang w:eastAsia="ar-SA"/>
    </w:rPr>
  </w:style>
  <w:style w:type="paragraph" w:customStyle="1" w:styleId="Etiqueta">
    <w:name w:val="Etiqueta"/>
    <w:basedOn w:val="Normal"/>
    <w:rsid w:val="00B8501C"/>
    <w:pPr>
      <w:suppressLineNumbers/>
      <w:suppressAutoHyphens/>
      <w:spacing w:before="120" w:after="120"/>
    </w:pPr>
    <w:rPr>
      <w:rFonts w:cs="Lohit Hindi"/>
      <w:i/>
      <w:iCs/>
      <w:lang w:eastAsia="ar-SA"/>
    </w:rPr>
  </w:style>
  <w:style w:type="paragraph" w:customStyle="1" w:styleId="ndice">
    <w:name w:val="Índice"/>
    <w:basedOn w:val="Normal"/>
    <w:rsid w:val="00B8501C"/>
    <w:pPr>
      <w:suppressLineNumbers/>
      <w:suppressAutoHyphens/>
    </w:pPr>
    <w:rPr>
      <w:rFonts w:cs="Lohit Hindi"/>
      <w:sz w:val="20"/>
      <w:szCs w:val="20"/>
      <w:lang w:eastAsia="ar-SA"/>
    </w:rPr>
  </w:style>
  <w:style w:type="paragraph" w:customStyle="1" w:styleId="Contenidodelatabla">
    <w:name w:val="Contenido de la tabla"/>
    <w:basedOn w:val="Normal"/>
    <w:rsid w:val="00B8501C"/>
    <w:pPr>
      <w:suppressLineNumbers/>
      <w:suppressAutoHyphens/>
    </w:pPr>
    <w:rPr>
      <w:sz w:val="20"/>
      <w:szCs w:val="20"/>
      <w:lang w:eastAsia="ar-SA"/>
    </w:rPr>
  </w:style>
  <w:style w:type="paragraph" w:customStyle="1" w:styleId="Encabezadodelatabla">
    <w:name w:val="Encabezado de la tabla"/>
    <w:basedOn w:val="Contenidodelatabla"/>
    <w:rsid w:val="00B8501C"/>
    <w:pPr>
      <w:jc w:val="center"/>
    </w:pPr>
    <w:rPr>
      <w:b/>
      <w:bCs/>
    </w:rPr>
  </w:style>
  <w:style w:type="paragraph" w:customStyle="1" w:styleId="Contenidodelmarco">
    <w:name w:val="Contenido del marco"/>
    <w:basedOn w:val="Textoindependiente"/>
    <w:rsid w:val="00B8501C"/>
    <w:pPr>
      <w:suppressAutoHyphens/>
      <w:spacing w:line="240" w:lineRule="auto"/>
      <w:jc w:val="left"/>
    </w:pPr>
    <w:rPr>
      <w:b w:val="0"/>
      <w:bCs w:val="0"/>
      <w:sz w:val="16"/>
      <w:szCs w:val="20"/>
      <w:lang w:eastAsia="ar-SA"/>
    </w:rPr>
  </w:style>
  <w:style w:type="paragraph" w:customStyle="1" w:styleId="xl222">
    <w:name w:val="xl222"/>
    <w:basedOn w:val="Normal"/>
    <w:rsid w:val="00B8501C"/>
    <w:pPr>
      <w:pBdr>
        <w:top w:val="single" w:sz="8" w:space="0" w:color="auto"/>
        <w:lef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3">
    <w:name w:val="xl223"/>
    <w:basedOn w:val="Normal"/>
    <w:rsid w:val="00B8501C"/>
    <w:pPr>
      <w:pBdr>
        <w:top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4">
    <w:name w:val="xl224"/>
    <w:basedOn w:val="Normal"/>
    <w:rsid w:val="00B8501C"/>
    <w:pPr>
      <w:pBdr>
        <w:top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5">
    <w:name w:val="xl225"/>
    <w:basedOn w:val="Normal"/>
    <w:rsid w:val="00B8501C"/>
    <w:pPr>
      <w:pBdr>
        <w:top w:val="single" w:sz="8" w:space="0" w:color="333333"/>
        <w:left w:val="single" w:sz="8" w:space="0" w:color="333333"/>
        <w:bottom w:val="single" w:sz="8" w:space="0" w:color="333333"/>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226">
    <w:name w:val="xl226"/>
    <w:basedOn w:val="Normal"/>
    <w:rsid w:val="00B8501C"/>
    <w:pPr>
      <w:pBdr>
        <w:top w:val="single" w:sz="8" w:space="0" w:color="333333"/>
        <w:left w:val="single" w:sz="8" w:space="0" w:color="333333"/>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7">
    <w:name w:val="xl227"/>
    <w:basedOn w:val="Normal"/>
    <w:rsid w:val="00B8501C"/>
    <w:pPr>
      <w:pBdr>
        <w:bottom w:val="single" w:sz="8" w:space="0" w:color="333333"/>
        <w:right w:val="single" w:sz="8" w:space="0" w:color="333333"/>
      </w:pBdr>
      <w:shd w:val="clear" w:color="000000" w:fill="FFFF00"/>
      <w:spacing w:before="100" w:beforeAutospacing="1" w:after="100" w:afterAutospacing="1"/>
      <w:jc w:val="right"/>
      <w:textAlignment w:val="center"/>
    </w:pPr>
    <w:rPr>
      <w:b/>
      <w:bCs/>
      <w:color w:val="000000"/>
      <w:sz w:val="16"/>
      <w:szCs w:val="16"/>
      <w:lang w:val="es-MX" w:eastAsia="es-MX"/>
    </w:rPr>
  </w:style>
  <w:style w:type="paragraph" w:customStyle="1" w:styleId="xl228">
    <w:name w:val="xl228"/>
    <w:basedOn w:val="Normal"/>
    <w:rsid w:val="00B8501C"/>
    <w:pPr>
      <w:pBdr>
        <w:bottom w:val="single" w:sz="8" w:space="0" w:color="333333"/>
        <w:right w:val="single" w:sz="8" w:space="0" w:color="333333"/>
      </w:pBdr>
      <w:shd w:val="clear" w:color="000000" w:fill="FFC000"/>
      <w:spacing w:before="100" w:beforeAutospacing="1" w:after="100" w:afterAutospacing="1"/>
      <w:jc w:val="right"/>
      <w:textAlignment w:val="center"/>
    </w:pPr>
    <w:rPr>
      <w:b/>
      <w:bCs/>
      <w:color w:val="000000"/>
      <w:sz w:val="16"/>
      <w:szCs w:val="16"/>
      <w:lang w:val="es-MX" w:eastAsia="es-MX"/>
    </w:rPr>
  </w:style>
  <w:style w:type="paragraph" w:customStyle="1" w:styleId="xl229">
    <w:name w:val="xl229"/>
    <w:basedOn w:val="Normal"/>
    <w:rsid w:val="00B8501C"/>
    <w:pPr>
      <w:pBdr>
        <w:top w:val="single" w:sz="8" w:space="0" w:color="auto"/>
        <w:bottom w:val="single" w:sz="8" w:space="0" w:color="auto"/>
        <w:right w:val="single" w:sz="8" w:space="0" w:color="auto"/>
      </w:pBdr>
      <w:shd w:val="clear" w:color="000000" w:fill="92D050"/>
      <w:spacing w:before="100" w:beforeAutospacing="1" w:after="100" w:afterAutospacing="1"/>
      <w:jc w:val="right"/>
      <w:textAlignment w:val="center"/>
    </w:pPr>
    <w:rPr>
      <w:b/>
      <w:bCs/>
      <w:color w:val="000000"/>
      <w:sz w:val="16"/>
      <w:szCs w:val="16"/>
      <w:lang w:val="es-MX" w:eastAsia="es-MX"/>
    </w:rPr>
  </w:style>
  <w:style w:type="paragraph" w:customStyle="1" w:styleId="xl230">
    <w:name w:val="xl230"/>
    <w:basedOn w:val="Normal"/>
    <w:rsid w:val="00B8501C"/>
    <w:pPr>
      <w:pBdr>
        <w:bottom w:val="single" w:sz="8" w:space="0" w:color="auto"/>
        <w:right w:val="single" w:sz="8" w:space="0" w:color="auto"/>
      </w:pBdr>
      <w:shd w:val="clear" w:color="000000" w:fill="92D050"/>
      <w:spacing w:before="100" w:beforeAutospacing="1" w:after="100" w:afterAutospacing="1"/>
      <w:jc w:val="right"/>
      <w:textAlignment w:val="center"/>
    </w:pPr>
    <w:rPr>
      <w:b/>
      <w:bCs/>
      <w:color w:val="000000"/>
      <w:sz w:val="16"/>
      <w:szCs w:val="16"/>
      <w:lang w:val="es-MX" w:eastAsia="es-MX"/>
    </w:rPr>
  </w:style>
  <w:style w:type="paragraph" w:customStyle="1" w:styleId="xl231">
    <w:name w:val="xl231"/>
    <w:basedOn w:val="Normal"/>
    <w:rsid w:val="00B8501C"/>
    <w:pPr>
      <w:pBdr>
        <w:bottom w:val="single" w:sz="8" w:space="0" w:color="auto"/>
        <w:right w:val="single" w:sz="8" w:space="0" w:color="auto"/>
      </w:pBdr>
      <w:shd w:val="clear" w:color="000000" w:fill="FF0000"/>
      <w:spacing w:before="100" w:beforeAutospacing="1" w:after="100" w:afterAutospacing="1"/>
      <w:jc w:val="right"/>
      <w:textAlignment w:val="center"/>
    </w:pPr>
    <w:rPr>
      <w:b/>
      <w:bCs/>
      <w:color w:val="000000"/>
      <w:sz w:val="16"/>
      <w:szCs w:val="16"/>
      <w:lang w:val="es-MX" w:eastAsia="es-MX"/>
    </w:rPr>
  </w:style>
  <w:style w:type="table" w:customStyle="1" w:styleId="Sombreadoclaro1">
    <w:name w:val="Sombreado claro1"/>
    <w:basedOn w:val="Tablanormal"/>
    <w:uiPriority w:val="60"/>
    <w:rsid w:val="00B8501C"/>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
    <w:name w:val="Tabla con cuadrícula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B8501C"/>
  </w:style>
  <w:style w:type="table" w:customStyle="1" w:styleId="Tablaconcuadrcula51">
    <w:name w:val="Tabla con cuadrícula5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8501C"/>
  </w:style>
  <w:style w:type="paragraph" w:customStyle="1" w:styleId="ecxmsolistparagraph">
    <w:name w:val="ecxmsolistparagraph"/>
    <w:basedOn w:val="Normal"/>
    <w:rsid w:val="00B8501C"/>
    <w:pPr>
      <w:spacing w:after="324"/>
    </w:pPr>
    <w:rPr>
      <w:lang w:val="es-MX" w:eastAsia="es-MX"/>
    </w:rPr>
  </w:style>
  <w:style w:type="numbering" w:customStyle="1" w:styleId="Sinlista4">
    <w:name w:val="Sin lista4"/>
    <w:next w:val="Sinlista"/>
    <w:uiPriority w:val="99"/>
    <w:semiHidden/>
    <w:unhideWhenUsed/>
    <w:rsid w:val="00B8501C"/>
  </w:style>
  <w:style w:type="table" w:customStyle="1" w:styleId="Tablaconcuadrcula53">
    <w:name w:val="Tabla con cuadrícula53"/>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B8501C"/>
    <w:pPr>
      <w:spacing w:after="0" w:line="240" w:lineRule="auto"/>
      <w:jc w:val="both"/>
    </w:pPr>
    <w:rPr>
      <w:rFonts w:ascii="Calibri" w:eastAsia="Times New Roman" w:hAnsi="Calibri" w:cs="Times New Roman"/>
      <w:lang w:eastAsia="es-MX"/>
    </w:rPr>
    <w:tblPr>
      <w:tblCellMar>
        <w:top w:w="0" w:type="dxa"/>
        <w:left w:w="0" w:type="dxa"/>
        <w:bottom w:w="0" w:type="dxa"/>
        <w:right w:w="0" w:type="dxa"/>
      </w:tblCellMar>
    </w:tblPr>
  </w:style>
  <w:style w:type="numbering" w:customStyle="1" w:styleId="Sinlista5">
    <w:name w:val="Sin lista5"/>
    <w:next w:val="Sinlista"/>
    <w:uiPriority w:val="99"/>
    <w:semiHidden/>
    <w:unhideWhenUsed/>
    <w:rsid w:val="00B8501C"/>
  </w:style>
  <w:style w:type="numbering" w:customStyle="1" w:styleId="Sinlista12">
    <w:name w:val="Sin lista12"/>
    <w:next w:val="Sinlista"/>
    <w:uiPriority w:val="99"/>
    <w:semiHidden/>
    <w:unhideWhenUsed/>
    <w:rsid w:val="00B8501C"/>
  </w:style>
  <w:style w:type="table" w:customStyle="1" w:styleId="Tablaconcuadrcula9">
    <w:name w:val="Tabla con cuadrícula9"/>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B8501C"/>
  </w:style>
  <w:style w:type="table" w:customStyle="1" w:styleId="Tablaconcuadrcula11">
    <w:name w:val="Tabla con cuadrícula1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1">
    <w:name w:val="Sombreado claro11"/>
    <w:basedOn w:val="Tablanormal"/>
    <w:uiPriority w:val="60"/>
    <w:rsid w:val="00B8501C"/>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1">
    <w:name w:val="Tabla con cuadrícula2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B8501C"/>
  </w:style>
  <w:style w:type="table" w:customStyle="1" w:styleId="Tablaconcuadrcula511">
    <w:name w:val="Tabla con cuadrícula51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1">
    <w:name w:val="Tabla con cuadrícula52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8501C"/>
  </w:style>
  <w:style w:type="numbering" w:customStyle="1" w:styleId="Sinlista41">
    <w:name w:val="Sin lista41"/>
    <w:next w:val="Sinlista"/>
    <w:uiPriority w:val="99"/>
    <w:semiHidden/>
    <w:unhideWhenUsed/>
    <w:rsid w:val="00B8501C"/>
  </w:style>
  <w:style w:type="table" w:customStyle="1" w:styleId="Tablaconcuadrcula531">
    <w:name w:val="Tabla con cuadrícula53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B8501C"/>
    <w:pPr>
      <w:spacing w:after="0" w:line="240" w:lineRule="auto"/>
      <w:jc w:val="both"/>
    </w:pPr>
    <w:rPr>
      <w:rFonts w:ascii="Calibri" w:eastAsia="Times New Roman" w:hAnsi="Calibri" w:cs="Times New Roman"/>
      <w:lang w:eastAsia="es-MX"/>
    </w:rPr>
    <w:tblPr>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B8501C"/>
    <w:pPr>
      <w:spacing w:after="0" w:line="240" w:lineRule="auto"/>
    </w:pPr>
    <w:rPr>
      <w:rFonts w:ascii="Calibri" w:eastAsia="Calibri" w:hAnsi="Calibri" w:cs="Times New Roman"/>
      <w:sz w:val="20"/>
      <w:szCs w:val="20"/>
      <w:lang w:val="es-ES_tradnl"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B8501C"/>
    <w:pPr>
      <w:spacing w:before="100" w:beforeAutospacing="1" w:after="100" w:afterAutospacing="1"/>
    </w:pPr>
    <w:rPr>
      <w:lang w:val="es-MX" w:eastAsia="es-MX"/>
    </w:rPr>
  </w:style>
  <w:style w:type="table" w:customStyle="1" w:styleId="Tablaconcuadrcula42">
    <w:name w:val="Tabla con cuadrícula42"/>
    <w:basedOn w:val="Tablanormal"/>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
    <w:name w:val="Título Car"/>
    <w:uiPriority w:val="10"/>
    <w:rsid w:val="00B8501C"/>
    <w:rPr>
      <w:rFonts w:ascii="Cambria" w:eastAsia="Times New Roman" w:hAnsi="Cambria" w:cs="Times New Roman"/>
      <w:color w:val="17365D"/>
      <w:spacing w:val="5"/>
      <w:kern w:val="28"/>
      <w:sz w:val="52"/>
      <w:szCs w:val="52"/>
    </w:rPr>
  </w:style>
  <w:style w:type="character" w:customStyle="1" w:styleId="PuestoCar1">
    <w:name w:val="Puesto Car1"/>
    <w:uiPriority w:val="10"/>
    <w:rsid w:val="00B8501C"/>
    <w:rPr>
      <w:rFonts w:ascii="Cambria" w:eastAsia="Times New Roman" w:hAnsi="Cambria" w:cs="Times New Roman"/>
      <w:spacing w:val="-10"/>
      <w:kern w:val="28"/>
      <w:sz w:val="56"/>
      <w:szCs w:val="56"/>
    </w:rPr>
  </w:style>
  <w:style w:type="table" w:customStyle="1" w:styleId="Tablaconcuadrcula13">
    <w:name w:val="Tabla con cuadrícula13"/>
    <w:basedOn w:val="Tablanormal"/>
    <w:next w:val="Tablaconcuadrcula"/>
    <w:uiPriority w:val="39"/>
    <w:rsid w:val="00B8501C"/>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sid w:val="00B8501C"/>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2detindependienteCar1">
    <w:name w:val="Sangría 2 de t. independiente Car1"/>
    <w:basedOn w:val="Fuentedeprrafopredeter"/>
    <w:uiPriority w:val="99"/>
    <w:semiHidden/>
    <w:rsid w:val="00B8501C"/>
  </w:style>
  <w:style w:type="paragraph" w:styleId="Puesto">
    <w:name w:val="Title"/>
    <w:basedOn w:val="Normal"/>
    <w:next w:val="Normal"/>
    <w:link w:val="PuestoCar"/>
    <w:qFormat/>
    <w:rsid w:val="00B8501C"/>
    <w:pPr>
      <w:contextualSpacing/>
    </w:pPr>
    <w:rPr>
      <w:rFonts w:ascii="Cambria" w:hAnsi="Cambria"/>
      <w:color w:val="17365D"/>
      <w:spacing w:val="5"/>
      <w:kern w:val="28"/>
      <w:sz w:val="52"/>
      <w:szCs w:val="52"/>
    </w:rPr>
  </w:style>
  <w:style w:type="character" w:customStyle="1" w:styleId="TtuloCar1">
    <w:name w:val="Título Car1"/>
    <w:basedOn w:val="Fuentedeprrafopredeter"/>
    <w:uiPriority w:val="10"/>
    <w:rsid w:val="00B8501C"/>
    <w:rPr>
      <w:rFonts w:asciiTheme="majorHAnsi" w:eastAsiaTheme="majorEastAsia" w:hAnsiTheme="majorHAnsi" w:cstheme="majorBidi"/>
      <w:spacing w:val="-10"/>
      <w:kern w:val="28"/>
      <w:sz w:val="56"/>
      <w:szCs w:val="5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11874">
      <w:bodyDiv w:val="1"/>
      <w:marLeft w:val="0"/>
      <w:marRight w:val="0"/>
      <w:marTop w:val="0"/>
      <w:marBottom w:val="0"/>
      <w:divBdr>
        <w:top w:val="none" w:sz="0" w:space="0" w:color="auto"/>
        <w:left w:val="none" w:sz="0" w:space="0" w:color="auto"/>
        <w:bottom w:val="none" w:sz="0" w:space="0" w:color="auto"/>
        <w:right w:val="none" w:sz="0" w:space="0" w:color="auto"/>
      </w:divBdr>
    </w:div>
    <w:div w:id="97721791">
      <w:bodyDiv w:val="1"/>
      <w:marLeft w:val="0"/>
      <w:marRight w:val="0"/>
      <w:marTop w:val="0"/>
      <w:marBottom w:val="0"/>
      <w:divBdr>
        <w:top w:val="none" w:sz="0" w:space="0" w:color="auto"/>
        <w:left w:val="none" w:sz="0" w:space="0" w:color="auto"/>
        <w:bottom w:val="none" w:sz="0" w:space="0" w:color="auto"/>
        <w:right w:val="none" w:sz="0" w:space="0" w:color="auto"/>
      </w:divBdr>
    </w:div>
    <w:div w:id="153962043">
      <w:bodyDiv w:val="1"/>
      <w:marLeft w:val="0"/>
      <w:marRight w:val="0"/>
      <w:marTop w:val="0"/>
      <w:marBottom w:val="0"/>
      <w:divBdr>
        <w:top w:val="none" w:sz="0" w:space="0" w:color="auto"/>
        <w:left w:val="none" w:sz="0" w:space="0" w:color="auto"/>
        <w:bottom w:val="none" w:sz="0" w:space="0" w:color="auto"/>
        <w:right w:val="none" w:sz="0" w:space="0" w:color="auto"/>
      </w:divBdr>
    </w:div>
    <w:div w:id="230312178">
      <w:bodyDiv w:val="1"/>
      <w:marLeft w:val="0"/>
      <w:marRight w:val="0"/>
      <w:marTop w:val="0"/>
      <w:marBottom w:val="0"/>
      <w:divBdr>
        <w:top w:val="none" w:sz="0" w:space="0" w:color="auto"/>
        <w:left w:val="none" w:sz="0" w:space="0" w:color="auto"/>
        <w:bottom w:val="none" w:sz="0" w:space="0" w:color="auto"/>
        <w:right w:val="none" w:sz="0" w:space="0" w:color="auto"/>
      </w:divBdr>
    </w:div>
    <w:div w:id="238638325">
      <w:bodyDiv w:val="1"/>
      <w:marLeft w:val="0"/>
      <w:marRight w:val="0"/>
      <w:marTop w:val="0"/>
      <w:marBottom w:val="0"/>
      <w:divBdr>
        <w:top w:val="none" w:sz="0" w:space="0" w:color="auto"/>
        <w:left w:val="none" w:sz="0" w:space="0" w:color="auto"/>
        <w:bottom w:val="none" w:sz="0" w:space="0" w:color="auto"/>
        <w:right w:val="none" w:sz="0" w:space="0" w:color="auto"/>
      </w:divBdr>
    </w:div>
    <w:div w:id="249580293">
      <w:bodyDiv w:val="1"/>
      <w:marLeft w:val="0"/>
      <w:marRight w:val="0"/>
      <w:marTop w:val="0"/>
      <w:marBottom w:val="0"/>
      <w:divBdr>
        <w:top w:val="none" w:sz="0" w:space="0" w:color="auto"/>
        <w:left w:val="none" w:sz="0" w:space="0" w:color="auto"/>
        <w:bottom w:val="none" w:sz="0" w:space="0" w:color="auto"/>
        <w:right w:val="none" w:sz="0" w:space="0" w:color="auto"/>
      </w:divBdr>
    </w:div>
    <w:div w:id="302538878">
      <w:bodyDiv w:val="1"/>
      <w:marLeft w:val="0"/>
      <w:marRight w:val="0"/>
      <w:marTop w:val="0"/>
      <w:marBottom w:val="0"/>
      <w:divBdr>
        <w:top w:val="none" w:sz="0" w:space="0" w:color="auto"/>
        <w:left w:val="none" w:sz="0" w:space="0" w:color="auto"/>
        <w:bottom w:val="none" w:sz="0" w:space="0" w:color="auto"/>
        <w:right w:val="none" w:sz="0" w:space="0" w:color="auto"/>
      </w:divBdr>
    </w:div>
    <w:div w:id="323631331">
      <w:bodyDiv w:val="1"/>
      <w:marLeft w:val="0"/>
      <w:marRight w:val="0"/>
      <w:marTop w:val="0"/>
      <w:marBottom w:val="0"/>
      <w:divBdr>
        <w:top w:val="none" w:sz="0" w:space="0" w:color="auto"/>
        <w:left w:val="none" w:sz="0" w:space="0" w:color="auto"/>
        <w:bottom w:val="none" w:sz="0" w:space="0" w:color="auto"/>
        <w:right w:val="none" w:sz="0" w:space="0" w:color="auto"/>
      </w:divBdr>
    </w:div>
    <w:div w:id="328485268">
      <w:bodyDiv w:val="1"/>
      <w:marLeft w:val="0"/>
      <w:marRight w:val="0"/>
      <w:marTop w:val="0"/>
      <w:marBottom w:val="0"/>
      <w:divBdr>
        <w:top w:val="none" w:sz="0" w:space="0" w:color="auto"/>
        <w:left w:val="none" w:sz="0" w:space="0" w:color="auto"/>
        <w:bottom w:val="none" w:sz="0" w:space="0" w:color="auto"/>
        <w:right w:val="none" w:sz="0" w:space="0" w:color="auto"/>
      </w:divBdr>
    </w:div>
    <w:div w:id="392436905">
      <w:bodyDiv w:val="1"/>
      <w:marLeft w:val="0"/>
      <w:marRight w:val="0"/>
      <w:marTop w:val="0"/>
      <w:marBottom w:val="0"/>
      <w:divBdr>
        <w:top w:val="none" w:sz="0" w:space="0" w:color="auto"/>
        <w:left w:val="none" w:sz="0" w:space="0" w:color="auto"/>
        <w:bottom w:val="none" w:sz="0" w:space="0" w:color="auto"/>
        <w:right w:val="none" w:sz="0" w:space="0" w:color="auto"/>
      </w:divBdr>
    </w:div>
    <w:div w:id="445273126">
      <w:bodyDiv w:val="1"/>
      <w:marLeft w:val="0"/>
      <w:marRight w:val="0"/>
      <w:marTop w:val="0"/>
      <w:marBottom w:val="0"/>
      <w:divBdr>
        <w:top w:val="none" w:sz="0" w:space="0" w:color="auto"/>
        <w:left w:val="none" w:sz="0" w:space="0" w:color="auto"/>
        <w:bottom w:val="none" w:sz="0" w:space="0" w:color="auto"/>
        <w:right w:val="none" w:sz="0" w:space="0" w:color="auto"/>
      </w:divBdr>
    </w:div>
    <w:div w:id="504172880">
      <w:bodyDiv w:val="1"/>
      <w:marLeft w:val="0"/>
      <w:marRight w:val="0"/>
      <w:marTop w:val="0"/>
      <w:marBottom w:val="0"/>
      <w:divBdr>
        <w:top w:val="none" w:sz="0" w:space="0" w:color="auto"/>
        <w:left w:val="none" w:sz="0" w:space="0" w:color="auto"/>
        <w:bottom w:val="none" w:sz="0" w:space="0" w:color="auto"/>
        <w:right w:val="none" w:sz="0" w:space="0" w:color="auto"/>
      </w:divBdr>
    </w:div>
    <w:div w:id="651984421">
      <w:bodyDiv w:val="1"/>
      <w:marLeft w:val="0"/>
      <w:marRight w:val="0"/>
      <w:marTop w:val="0"/>
      <w:marBottom w:val="0"/>
      <w:divBdr>
        <w:top w:val="none" w:sz="0" w:space="0" w:color="auto"/>
        <w:left w:val="none" w:sz="0" w:space="0" w:color="auto"/>
        <w:bottom w:val="none" w:sz="0" w:space="0" w:color="auto"/>
        <w:right w:val="none" w:sz="0" w:space="0" w:color="auto"/>
      </w:divBdr>
    </w:div>
    <w:div w:id="727416565">
      <w:bodyDiv w:val="1"/>
      <w:marLeft w:val="0"/>
      <w:marRight w:val="0"/>
      <w:marTop w:val="0"/>
      <w:marBottom w:val="0"/>
      <w:divBdr>
        <w:top w:val="none" w:sz="0" w:space="0" w:color="auto"/>
        <w:left w:val="none" w:sz="0" w:space="0" w:color="auto"/>
        <w:bottom w:val="none" w:sz="0" w:space="0" w:color="auto"/>
        <w:right w:val="none" w:sz="0" w:space="0" w:color="auto"/>
      </w:divBdr>
    </w:div>
    <w:div w:id="732044218">
      <w:bodyDiv w:val="1"/>
      <w:marLeft w:val="0"/>
      <w:marRight w:val="0"/>
      <w:marTop w:val="0"/>
      <w:marBottom w:val="0"/>
      <w:divBdr>
        <w:top w:val="none" w:sz="0" w:space="0" w:color="auto"/>
        <w:left w:val="none" w:sz="0" w:space="0" w:color="auto"/>
        <w:bottom w:val="none" w:sz="0" w:space="0" w:color="auto"/>
        <w:right w:val="none" w:sz="0" w:space="0" w:color="auto"/>
      </w:divBdr>
    </w:div>
    <w:div w:id="804540256">
      <w:bodyDiv w:val="1"/>
      <w:marLeft w:val="0"/>
      <w:marRight w:val="0"/>
      <w:marTop w:val="0"/>
      <w:marBottom w:val="0"/>
      <w:divBdr>
        <w:top w:val="none" w:sz="0" w:space="0" w:color="auto"/>
        <w:left w:val="none" w:sz="0" w:space="0" w:color="auto"/>
        <w:bottom w:val="none" w:sz="0" w:space="0" w:color="auto"/>
        <w:right w:val="none" w:sz="0" w:space="0" w:color="auto"/>
      </w:divBdr>
    </w:div>
    <w:div w:id="805778039">
      <w:bodyDiv w:val="1"/>
      <w:marLeft w:val="0"/>
      <w:marRight w:val="0"/>
      <w:marTop w:val="0"/>
      <w:marBottom w:val="0"/>
      <w:divBdr>
        <w:top w:val="none" w:sz="0" w:space="0" w:color="auto"/>
        <w:left w:val="none" w:sz="0" w:space="0" w:color="auto"/>
        <w:bottom w:val="none" w:sz="0" w:space="0" w:color="auto"/>
        <w:right w:val="none" w:sz="0" w:space="0" w:color="auto"/>
      </w:divBdr>
    </w:div>
    <w:div w:id="868686120">
      <w:bodyDiv w:val="1"/>
      <w:marLeft w:val="0"/>
      <w:marRight w:val="0"/>
      <w:marTop w:val="0"/>
      <w:marBottom w:val="0"/>
      <w:divBdr>
        <w:top w:val="none" w:sz="0" w:space="0" w:color="auto"/>
        <w:left w:val="none" w:sz="0" w:space="0" w:color="auto"/>
        <w:bottom w:val="none" w:sz="0" w:space="0" w:color="auto"/>
        <w:right w:val="none" w:sz="0" w:space="0" w:color="auto"/>
      </w:divBdr>
    </w:div>
    <w:div w:id="885216558">
      <w:bodyDiv w:val="1"/>
      <w:marLeft w:val="0"/>
      <w:marRight w:val="0"/>
      <w:marTop w:val="0"/>
      <w:marBottom w:val="0"/>
      <w:divBdr>
        <w:top w:val="none" w:sz="0" w:space="0" w:color="auto"/>
        <w:left w:val="none" w:sz="0" w:space="0" w:color="auto"/>
        <w:bottom w:val="none" w:sz="0" w:space="0" w:color="auto"/>
        <w:right w:val="none" w:sz="0" w:space="0" w:color="auto"/>
      </w:divBdr>
    </w:div>
    <w:div w:id="915439032">
      <w:bodyDiv w:val="1"/>
      <w:marLeft w:val="0"/>
      <w:marRight w:val="0"/>
      <w:marTop w:val="0"/>
      <w:marBottom w:val="0"/>
      <w:divBdr>
        <w:top w:val="none" w:sz="0" w:space="0" w:color="auto"/>
        <w:left w:val="none" w:sz="0" w:space="0" w:color="auto"/>
        <w:bottom w:val="none" w:sz="0" w:space="0" w:color="auto"/>
        <w:right w:val="none" w:sz="0" w:space="0" w:color="auto"/>
      </w:divBdr>
    </w:div>
    <w:div w:id="1008368222">
      <w:bodyDiv w:val="1"/>
      <w:marLeft w:val="0"/>
      <w:marRight w:val="0"/>
      <w:marTop w:val="0"/>
      <w:marBottom w:val="0"/>
      <w:divBdr>
        <w:top w:val="none" w:sz="0" w:space="0" w:color="auto"/>
        <w:left w:val="none" w:sz="0" w:space="0" w:color="auto"/>
        <w:bottom w:val="none" w:sz="0" w:space="0" w:color="auto"/>
        <w:right w:val="none" w:sz="0" w:space="0" w:color="auto"/>
      </w:divBdr>
    </w:div>
    <w:div w:id="1109933165">
      <w:bodyDiv w:val="1"/>
      <w:marLeft w:val="0"/>
      <w:marRight w:val="0"/>
      <w:marTop w:val="0"/>
      <w:marBottom w:val="0"/>
      <w:divBdr>
        <w:top w:val="none" w:sz="0" w:space="0" w:color="auto"/>
        <w:left w:val="none" w:sz="0" w:space="0" w:color="auto"/>
        <w:bottom w:val="none" w:sz="0" w:space="0" w:color="auto"/>
        <w:right w:val="none" w:sz="0" w:space="0" w:color="auto"/>
      </w:divBdr>
    </w:div>
    <w:div w:id="1120804087">
      <w:bodyDiv w:val="1"/>
      <w:marLeft w:val="0"/>
      <w:marRight w:val="0"/>
      <w:marTop w:val="0"/>
      <w:marBottom w:val="0"/>
      <w:divBdr>
        <w:top w:val="none" w:sz="0" w:space="0" w:color="auto"/>
        <w:left w:val="none" w:sz="0" w:space="0" w:color="auto"/>
        <w:bottom w:val="none" w:sz="0" w:space="0" w:color="auto"/>
        <w:right w:val="none" w:sz="0" w:space="0" w:color="auto"/>
      </w:divBdr>
    </w:div>
    <w:div w:id="1157265026">
      <w:bodyDiv w:val="1"/>
      <w:marLeft w:val="0"/>
      <w:marRight w:val="0"/>
      <w:marTop w:val="0"/>
      <w:marBottom w:val="0"/>
      <w:divBdr>
        <w:top w:val="none" w:sz="0" w:space="0" w:color="auto"/>
        <w:left w:val="none" w:sz="0" w:space="0" w:color="auto"/>
        <w:bottom w:val="none" w:sz="0" w:space="0" w:color="auto"/>
        <w:right w:val="none" w:sz="0" w:space="0" w:color="auto"/>
      </w:divBdr>
    </w:div>
    <w:div w:id="1157694552">
      <w:bodyDiv w:val="1"/>
      <w:marLeft w:val="0"/>
      <w:marRight w:val="0"/>
      <w:marTop w:val="0"/>
      <w:marBottom w:val="0"/>
      <w:divBdr>
        <w:top w:val="none" w:sz="0" w:space="0" w:color="auto"/>
        <w:left w:val="none" w:sz="0" w:space="0" w:color="auto"/>
        <w:bottom w:val="none" w:sz="0" w:space="0" w:color="auto"/>
        <w:right w:val="none" w:sz="0" w:space="0" w:color="auto"/>
      </w:divBdr>
    </w:div>
    <w:div w:id="1181159022">
      <w:bodyDiv w:val="1"/>
      <w:marLeft w:val="0"/>
      <w:marRight w:val="0"/>
      <w:marTop w:val="0"/>
      <w:marBottom w:val="0"/>
      <w:divBdr>
        <w:top w:val="none" w:sz="0" w:space="0" w:color="auto"/>
        <w:left w:val="none" w:sz="0" w:space="0" w:color="auto"/>
        <w:bottom w:val="none" w:sz="0" w:space="0" w:color="auto"/>
        <w:right w:val="none" w:sz="0" w:space="0" w:color="auto"/>
      </w:divBdr>
    </w:div>
    <w:div w:id="1251934633">
      <w:bodyDiv w:val="1"/>
      <w:marLeft w:val="0"/>
      <w:marRight w:val="0"/>
      <w:marTop w:val="0"/>
      <w:marBottom w:val="0"/>
      <w:divBdr>
        <w:top w:val="none" w:sz="0" w:space="0" w:color="auto"/>
        <w:left w:val="none" w:sz="0" w:space="0" w:color="auto"/>
        <w:bottom w:val="none" w:sz="0" w:space="0" w:color="auto"/>
        <w:right w:val="none" w:sz="0" w:space="0" w:color="auto"/>
      </w:divBdr>
    </w:div>
    <w:div w:id="1265846228">
      <w:bodyDiv w:val="1"/>
      <w:marLeft w:val="0"/>
      <w:marRight w:val="0"/>
      <w:marTop w:val="0"/>
      <w:marBottom w:val="0"/>
      <w:divBdr>
        <w:top w:val="none" w:sz="0" w:space="0" w:color="auto"/>
        <w:left w:val="none" w:sz="0" w:space="0" w:color="auto"/>
        <w:bottom w:val="none" w:sz="0" w:space="0" w:color="auto"/>
        <w:right w:val="none" w:sz="0" w:space="0" w:color="auto"/>
      </w:divBdr>
    </w:div>
    <w:div w:id="1347102262">
      <w:bodyDiv w:val="1"/>
      <w:marLeft w:val="0"/>
      <w:marRight w:val="0"/>
      <w:marTop w:val="0"/>
      <w:marBottom w:val="0"/>
      <w:divBdr>
        <w:top w:val="none" w:sz="0" w:space="0" w:color="auto"/>
        <w:left w:val="none" w:sz="0" w:space="0" w:color="auto"/>
        <w:bottom w:val="none" w:sz="0" w:space="0" w:color="auto"/>
        <w:right w:val="none" w:sz="0" w:space="0" w:color="auto"/>
      </w:divBdr>
    </w:div>
    <w:div w:id="1410082900">
      <w:bodyDiv w:val="1"/>
      <w:marLeft w:val="0"/>
      <w:marRight w:val="0"/>
      <w:marTop w:val="0"/>
      <w:marBottom w:val="0"/>
      <w:divBdr>
        <w:top w:val="none" w:sz="0" w:space="0" w:color="auto"/>
        <w:left w:val="none" w:sz="0" w:space="0" w:color="auto"/>
        <w:bottom w:val="none" w:sz="0" w:space="0" w:color="auto"/>
        <w:right w:val="none" w:sz="0" w:space="0" w:color="auto"/>
      </w:divBdr>
    </w:div>
    <w:div w:id="1427799754">
      <w:bodyDiv w:val="1"/>
      <w:marLeft w:val="0"/>
      <w:marRight w:val="0"/>
      <w:marTop w:val="0"/>
      <w:marBottom w:val="0"/>
      <w:divBdr>
        <w:top w:val="none" w:sz="0" w:space="0" w:color="auto"/>
        <w:left w:val="none" w:sz="0" w:space="0" w:color="auto"/>
        <w:bottom w:val="none" w:sz="0" w:space="0" w:color="auto"/>
        <w:right w:val="none" w:sz="0" w:space="0" w:color="auto"/>
      </w:divBdr>
    </w:div>
    <w:div w:id="1461916786">
      <w:bodyDiv w:val="1"/>
      <w:marLeft w:val="0"/>
      <w:marRight w:val="0"/>
      <w:marTop w:val="0"/>
      <w:marBottom w:val="0"/>
      <w:divBdr>
        <w:top w:val="none" w:sz="0" w:space="0" w:color="auto"/>
        <w:left w:val="none" w:sz="0" w:space="0" w:color="auto"/>
        <w:bottom w:val="none" w:sz="0" w:space="0" w:color="auto"/>
        <w:right w:val="none" w:sz="0" w:space="0" w:color="auto"/>
      </w:divBdr>
    </w:div>
    <w:div w:id="1523930411">
      <w:bodyDiv w:val="1"/>
      <w:marLeft w:val="0"/>
      <w:marRight w:val="0"/>
      <w:marTop w:val="0"/>
      <w:marBottom w:val="0"/>
      <w:divBdr>
        <w:top w:val="none" w:sz="0" w:space="0" w:color="auto"/>
        <w:left w:val="none" w:sz="0" w:space="0" w:color="auto"/>
        <w:bottom w:val="none" w:sz="0" w:space="0" w:color="auto"/>
        <w:right w:val="none" w:sz="0" w:space="0" w:color="auto"/>
      </w:divBdr>
    </w:div>
    <w:div w:id="1613129130">
      <w:bodyDiv w:val="1"/>
      <w:marLeft w:val="0"/>
      <w:marRight w:val="0"/>
      <w:marTop w:val="0"/>
      <w:marBottom w:val="0"/>
      <w:divBdr>
        <w:top w:val="none" w:sz="0" w:space="0" w:color="auto"/>
        <w:left w:val="none" w:sz="0" w:space="0" w:color="auto"/>
        <w:bottom w:val="none" w:sz="0" w:space="0" w:color="auto"/>
        <w:right w:val="none" w:sz="0" w:space="0" w:color="auto"/>
      </w:divBdr>
    </w:div>
    <w:div w:id="1638102033">
      <w:bodyDiv w:val="1"/>
      <w:marLeft w:val="0"/>
      <w:marRight w:val="0"/>
      <w:marTop w:val="0"/>
      <w:marBottom w:val="0"/>
      <w:divBdr>
        <w:top w:val="none" w:sz="0" w:space="0" w:color="auto"/>
        <w:left w:val="none" w:sz="0" w:space="0" w:color="auto"/>
        <w:bottom w:val="none" w:sz="0" w:space="0" w:color="auto"/>
        <w:right w:val="none" w:sz="0" w:space="0" w:color="auto"/>
      </w:divBdr>
    </w:div>
    <w:div w:id="1665427574">
      <w:bodyDiv w:val="1"/>
      <w:marLeft w:val="0"/>
      <w:marRight w:val="0"/>
      <w:marTop w:val="0"/>
      <w:marBottom w:val="0"/>
      <w:divBdr>
        <w:top w:val="none" w:sz="0" w:space="0" w:color="auto"/>
        <w:left w:val="none" w:sz="0" w:space="0" w:color="auto"/>
        <w:bottom w:val="none" w:sz="0" w:space="0" w:color="auto"/>
        <w:right w:val="none" w:sz="0" w:space="0" w:color="auto"/>
      </w:divBdr>
    </w:div>
    <w:div w:id="1700163550">
      <w:bodyDiv w:val="1"/>
      <w:marLeft w:val="0"/>
      <w:marRight w:val="0"/>
      <w:marTop w:val="0"/>
      <w:marBottom w:val="0"/>
      <w:divBdr>
        <w:top w:val="none" w:sz="0" w:space="0" w:color="auto"/>
        <w:left w:val="none" w:sz="0" w:space="0" w:color="auto"/>
        <w:bottom w:val="none" w:sz="0" w:space="0" w:color="auto"/>
        <w:right w:val="none" w:sz="0" w:space="0" w:color="auto"/>
      </w:divBdr>
    </w:div>
    <w:div w:id="1701931940">
      <w:bodyDiv w:val="1"/>
      <w:marLeft w:val="0"/>
      <w:marRight w:val="0"/>
      <w:marTop w:val="0"/>
      <w:marBottom w:val="0"/>
      <w:divBdr>
        <w:top w:val="none" w:sz="0" w:space="0" w:color="auto"/>
        <w:left w:val="none" w:sz="0" w:space="0" w:color="auto"/>
        <w:bottom w:val="none" w:sz="0" w:space="0" w:color="auto"/>
        <w:right w:val="none" w:sz="0" w:space="0" w:color="auto"/>
      </w:divBdr>
    </w:div>
    <w:div w:id="1710957093">
      <w:bodyDiv w:val="1"/>
      <w:marLeft w:val="0"/>
      <w:marRight w:val="0"/>
      <w:marTop w:val="0"/>
      <w:marBottom w:val="0"/>
      <w:divBdr>
        <w:top w:val="none" w:sz="0" w:space="0" w:color="auto"/>
        <w:left w:val="none" w:sz="0" w:space="0" w:color="auto"/>
        <w:bottom w:val="none" w:sz="0" w:space="0" w:color="auto"/>
        <w:right w:val="none" w:sz="0" w:space="0" w:color="auto"/>
      </w:divBdr>
    </w:div>
    <w:div w:id="1740976629">
      <w:bodyDiv w:val="1"/>
      <w:marLeft w:val="0"/>
      <w:marRight w:val="0"/>
      <w:marTop w:val="0"/>
      <w:marBottom w:val="0"/>
      <w:divBdr>
        <w:top w:val="none" w:sz="0" w:space="0" w:color="auto"/>
        <w:left w:val="none" w:sz="0" w:space="0" w:color="auto"/>
        <w:bottom w:val="none" w:sz="0" w:space="0" w:color="auto"/>
        <w:right w:val="none" w:sz="0" w:space="0" w:color="auto"/>
      </w:divBdr>
    </w:div>
    <w:div w:id="1790902584">
      <w:bodyDiv w:val="1"/>
      <w:marLeft w:val="0"/>
      <w:marRight w:val="0"/>
      <w:marTop w:val="0"/>
      <w:marBottom w:val="0"/>
      <w:divBdr>
        <w:top w:val="none" w:sz="0" w:space="0" w:color="auto"/>
        <w:left w:val="none" w:sz="0" w:space="0" w:color="auto"/>
        <w:bottom w:val="none" w:sz="0" w:space="0" w:color="auto"/>
        <w:right w:val="none" w:sz="0" w:space="0" w:color="auto"/>
      </w:divBdr>
    </w:div>
    <w:div w:id="1794055343">
      <w:bodyDiv w:val="1"/>
      <w:marLeft w:val="0"/>
      <w:marRight w:val="0"/>
      <w:marTop w:val="0"/>
      <w:marBottom w:val="0"/>
      <w:divBdr>
        <w:top w:val="none" w:sz="0" w:space="0" w:color="auto"/>
        <w:left w:val="none" w:sz="0" w:space="0" w:color="auto"/>
        <w:bottom w:val="none" w:sz="0" w:space="0" w:color="auto"/>
        <w:right w:val="none" w:sz="0" w:space="0" w:color="auto"/>
      </w:divBdr>
    </w:div>
    <w:div w:id="1821455241">
      <w:bodyDiv w:val="1"/>
      <w:marLeft w:val="0"/>
      <w:marRight w:val="0"/>
      <w:marTop w:val="0"/>
      <w:marBottom w:val="0"/>
      <w:divBdr>
        <w:top w:val="none" w:sz="0" w:space="0" w:color="auto"/>
        <w:left w:val="none" w:sz="0" w:space="0" w:color="auto"/>
        <w:bottom w:val="none" w:sz="0" w:space="0" w:color="auto"/>
        <w:right w:val="none" w:sz="0" w:space="0" w:color="auto"/>
      </w:divBdr>
    </w:div>
    <w:div w:id="1845127916">
      <w:bodyDiv w:val="1"/>
      <w:marLeft w:val="0"/>
      <w:marRight w:val="0"/>
      <w:marTop w:val="0"/>
      <w:marBottom w:val="0"/>
      <w:divBdr>
        <w:top w:val="none" w:sz="0" w:space="0" w:color="auto"/>
        <w:left w:val="none" w:sz="0" w:space="0" w:color="auto"/>
        <w:bottom w:val="none" w:sz="0" w:space="0" w:color="auto"/>
        <w:right w:val="none" w:sz="0" w:space="0" w:color="auto"/>
      </w:divBdr>
    </w:div>
    <w:div w:id="1870289113">
      <w:bodyDiv w:val="1"/>
      <w:marLeft w:val="0"/>
      <w:marRight w:val="0"/>
      <w:marTop w:val="0"/>
      <w:marBottom w:val="0"/>
      <w:divBdr>
        <w:top w:val="none" w:sz="0" w:space="0" w:color="auto"/>
        <w:left w:val="none" w:sz="0" w:space="0" w:color="auto"/>
        <w:bottom w:val="none" w:sz="0" w:space="0" w:color="auto"/>
        <w:right w:val="none" w:sz="0" w:space="0" w:color="auto"/>
      </w:divBdr>
    </w:div>
    <w:div w:id="1891571658">
      <w:bodyDiv w:val="1"/>
      <w:marLeft w:val="0"/>
      <w:marRight w:val="0"/>
      <w:marTop w:val="0"/>
      <w:marBottom w:val="0"/>
      <w:divBdr>
        <w:top w:val="none" w:sz="0" w:space="0" w:color="auto"/>
        <w:left w:val="none" w:sz="0" w:space="0" w:color="auto"/>
        <w:bottom w:val="none" w:sz="0" w:space="0" w:color="auto"/>
        <w:right w:val="none" w:sz="0" w:space="0" w:color="auto"/>
      </w:divBdr>
    </w:div>
    <w:div w:id="1902516940">
      <w:bodyDiv w:val="1"/>
      <w:marLeft w:val="0"/>
      <w:marRight w:val="0"/>
      <w:marTop w:val="0"/>
      <w:marBottom w:val="0"/>
      <w:divBdr>
        <w:top w:val="none" w:sz="0" w:space="0" w:color="auto"/>
        <w:left w:val="none" w:sz="0" w:space="0" w:color="auto"/>
        <w:bottom w:val="none" w:sz="0" w:space="0" w:color="auto"/>
        <w:right w:val="none" w:sz="0" w:space="0" w:color="auto"/>
      </w:divBdr>
    </w:div>
    <w:div w:id="1925067766">
      <w:bodyDiv w:val="1"/>
      <w:marLeft w:val="0"/>
      <w:marRight w:val="0"/>
      <w:marTop w:val="0"/>
      <w:marBottom w:val="0"/>
      <w:divBdr>
        <w:top w:val="none" w:sz="0" w:space="0" w:color="auto"/>
        <w:left w:val="none" w:sz="0" w:space="0" w:color="auto"/>
        <w:bottom w:val="none" w:sz="0" w:space="0" w:color="auto"/>
        <w:right w:val="none" w:sz="0" w:space="0" w:color="auto"/>
      </w:divBdr>
    </w:div>
    <w:div w:id="1925601168">
      <w:bodyDiv w:val="1"/>
      <w:marLeft w:val="0"/>
      <w:marRight w:val="0"/>
      <w:marTop w:val="0"/>
      <w:marBottom w:val="0"/>
      <w:divBdr>
        <w:top w:val="none" w:sz="0" w:space="0" w:color="auto"/>
        <w:left w:val="none" w:sz="0" w:space="0" w:color="auto"/>
        <w:bottom w:val="none" w:sz="0" w:space="0" w:color="auto"/>
        <w:right w:val="none" w:sz="0" w:space="0" w:color="auto"/>
      </w:divBdr>
    </w:div>
    <w:div w:id="1991711953">
      <w:bodyDiv w:val="1"/>
      <w:marLeft w:val="0"/>
      <w:marRight w:val="0"/>
      <w:marTop w:val="0"/>
      <w:marBottom w:val="0"/>
      <w:divBdr>
        <w:top w:val="none" w:sz="0" w:space="0" w:color="auto"/>
        <w:left w:val="none" w:sz="0" w:space="0" w:color="auto"/>
        <w:bottom w:val="none" w:sz="0" w:space="0" w:color="auto"/>
        <w:right w:val="none" w:sz="0" w:space="0" w:color="auto"/>
      </w:divBdr>
    </w:div>
    <w:div w:id="2007703977">
      <w:bodyDiv w:val="1"/>
      <w:marLeft w:val="0"/>
      <w:marRight w:val="0"/>
      <w:marTop w:val="0"/>
      <w:marBottom w:val="0"/>
      <w:divBdr>
        <w:top w:val="none" w:sz="0" w:space="0" w:color="auto"/>
        <w:left w:val="none" w:sz="0" w:space="0" w:color="auto"/>
        <w:bottom w:val="none" w:sz="0" w:space="0" w:color="auto"/>
        <w:right w:val="none" w:sz="0" w:space="0" w:color="auto"/>
      </w:divBdr>
    </w:div>
    <w:div w:id="2070225679">
      <w:bodyDiv w:val="1"/>
      <w:marLeft w:val="0"/>
      <w:marRight w:val="0"/>
      <w:marTop w:val="0"/>
      <w:marBottom w:val="0"/>
      <w:divBdr>
        <w:top w:val="none" w:sz="0" w:space="0" w:color="auto"/>
        <w:left w:val="none" w:sz="0" w:space="0" w:color="auto"/>
        <w:bottom w:val="none" w:sz="0" w:space="0" w:color="auto"/>
        <w:right w:val="none" w:sz="0" w:space="0" w:color="auto"/>
      </w:divBdr>
    </w:div>
    <w:div w:id="211235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6641A-0B0D-4502-A37D-3050DDAA3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107</Pages>
  <Words>21466</Words>
  <Characters>118063</Characters>
  <Application>Microsoft Office Word</Application>
  <DocSecurity>0</DocSecurity>
  <Lines>983</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Lenovo</cp:lastModifiedBy>
  <cp:revision>9</cp:revision>
  <cp:lastPrinted>2019-11-15T18:22:00Z</cp:lastPrinted>
  <dcterms:created xsi:type="dcterms:W3CDTF">2019-11-12T23:44:00Z</dcterms:created>
  <dcterms:modified xsi:type="dcterms:W3CDTF">2019-11-15T18:23:00Z</dcterms:modified>
</cp:coreProperties>
</file>