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57584" w:rsidRPr="00A440FD" w:rsidRDefault="00057584" w:rsidP="00057584">
      <w:pPr>
        <w:spacing w:after="100" w:afterAutospacing="1" w:line="360" w:lineRule="auto"/>
        <w:ind w:left="4678"/>
        <w:contextualSpacing/>
        <w:jc w:val="both"/>
        <w:rPr>
          <w:rFonts w:eastAsia="Calibri"/>
          <w:b/>
          <w:sz w:val="20"/>
          <w:szCs w:val="20"/>
        </w:rPr>
      </w:pPr>
      <w:r w:rsidRPr="00A440FD">
        <w:rPr>
          <w:rFonts w:eastAsia="Calibri"/>
          <w:b/>
          <w:sz w:val="20"/>
          <w:szCs w:val="20"/>
        </w:rPr>
        <w:t>Iniciativa con Proyecto de Decreto de Presupuesto de Egresos del Estado de Tlaxcala para el Ejercicio Fiscal 202</w:t>
      </w:r>
      <w:r w:rsidR="00220E9C">
        <w:rPr>
          <w:rFonts w:eastAsia="Calibri"/>
          <w:b/>
          <w:sz w:val="20"/>
          <w:szCs w:val="20"/>
        </w:rPr>
        <w:t>4</w:t>
      </w:r>
      <w:r w:rsidRPr="00A440FD">
        <w:rPr>
          <w:rFonts w:eastAsia="Calibri"/>
          <w:b/>
          <w:sz w:val="20"/>
          <w:szCs w:val="20"/>
        </w:rPr>
        <w:t>.</w:t>
      </w:r>
    </w:p>
    <w:p w:rsidR="00057584" w:rsidRPr="00A440FD" w:rsidRDefault="00057584" w:rsidP="00057584">
      <w:pPr>
        <w:spacing w:line="360" w:lineRule="auto"/>
        <w:ind w:right="927"/>
        <w:jc w:val="both"/>
        <w:rPr>
          <w:b/>
          <w:bCs/>
          <w:sz w:val="20"/>
          <w:szCs w:val="20"/>
          <w:lang w:val="es-MX"/>
        </w:rPr>
      </w:pPr>
    </w:p>
    <w:p w:rsidR="00057584" w:rsidRPr="00A440FD" w:rsidRDefault="00057584" w:rsidP="00057584">
      <w:pPr>
        <w:spacing w:line="360" w:lineRule="auto"/>
        <w:ind w:right="927"/>
        <w:jc w:val="both"/>
        <w:rPr>
          <w:b/>
          <w:bCs/>
          <w:sz w:val="20"/>
          <w:szCs w:val="20"/>
          <w:lang w:val="es-MX"/>
        </w:rPr>
      </w:pPr>
    </w:p>
    <w:p w:rsidR="00CB2519" w:rsidRPr="00CB2519" w:rsidRDefault="00CB2519" w:rsidP="00CB2519">
      <w:pPr>
        <w:spacing w:line="360" w:lineRule="auto"/>
        <w:jc w:val="both"/>
        <w:rPr>
          <w:b/>
          <w:bCs/>
          <w:sz w:val="20"/>
          <w:szCs w:val="20"/>
          <w:lang w:val="es-MX"/>
        </w:rPr>
      </w:pPr>
      <w:r w:rsidRPr="00CB2519">
        <w:rPr>
          <w:b/>
          <w:bCs/>
          <w:sz w:val="20"/>
          <w:szCs w:val="20"/>
          <w:lang w:val="es-MX"/>
        </w:rPr>
        <w:t>DIP. MÓNICA SÁNCHEZ ANGULO</w:t>
      </w:r>
    </w:p>
    <w:p w:rsidR="00CB2519" w:rsidRPr="00CB2519" w:rsidRDefault="00CB2519" w:rsidP="00CB2519">
      <w:pPr>
        <w:spacing w:line="360" w:lineRule="auto"/>
        <w:jc w:val="both"/>
        <w:rPr>
          <w:b/>
          <w:bCs/>
          <w:sz w:val="20"/>
          <w:szCs w:val="20"/>
          <w:lang w:val="es-MX"/>
        </w:rPr>
      </w:pPr>
      <w:r w:rsidRPr="00CB2519">
        <w:rPr>
          <w:b/>
          <w:bCs/>
          <w:sz w:val="20"/>
          <w:szCs w:val="20"/>
          <w:lang w:val="es-MX"/>
        </w:rPr>
        <w:t>PRESIDENTA DE LA MESA DIRECTIVA</w:t>
      </w:r>
    </w:p>
    <w:p w:rsidR="00CB2519" w:rsidRPr="00CB2519" w:rsidRDefault="00CB2519" w:rsidP="00CB2519">
      <w:pPr>
        <w:spacing w:line="360" w:lineRule="auto"/>
        <w:jc w:val="both"/>
        <w:rPr>
          <w:b/>
          <w:bCs/>
          <w:sz w:val="20"/>
          <w:szCs w:val="20"/>
          <w:lang w:val="es-MX"/>
        </w:rPr>
      </w:pPr>
      <w:r w:rsidRPr="00CB2519">
        <w:rPr>
          <w:b/>
          <w:bCs/>
          <w:sz w:val="20"/>
          <w:szCs w:val="20"/>
          <w:lang w:val="es-MX"/>
        </w:rPr>
        <w:t xml:space="preserve">DE LA LXIV LEGISLATURA DEL CONGRESO </w:t>
      </w:r>
    </w:p>
    <w:p w:rsidR="00CB2519" w:rsidRPr="00CB2519" w:rsidRDefault="00CB2519" w:rsidP="00CB2519">
      <w:pPr>
        <w:spacing w:line="360" w:lineRule="auto"/>
        <w:jc w:val="both"/>
        <w:rPr>
          <w:b/>
          <w:bCs/>
          <w:sz w:val="20"/>
          <w:szCs w:val="20"/>
          <w:lang w:val="es-MX"/>
        </w:rPr>
      </w:pPr>
      <w:r w:rsidRPr="00CB2519">
        <w:rPr>
          <w:b/>
          <w:bCs/>
          <w:sz w:val="20"/>
          <w:szCs w:val="20"/>
          <w:lang w:val="es-MX"/>
        </w:rPr>
        <w:t>DEL ESTADO DE TLAXCALA</w:t>
      </w:r>
    </w:p>
    <w:p w:rsidR="00057584" w:rsidRPr="00CB2519" w:rsidRDefault="00CB2519" w:rsidP="00CB2519">
      <w:pPr>
        <w:spacing w:line="360" w:lineRule="auto"/>
        <w:jc w:val="both"/>
        <w:rPr>
          <w:b/>
          <w:bCs/>
          <w:sz w:val="20"/>
          <w:szCs w:val="20"/>
          <w:lang w:val="es-MX"/>
        </w:rPr>
      </w:pPr>
      <w:r w:rsidRPr="00CB2519">
        <w:rPr>
          <w:b/>
          <w:bCs/>
          <w:sz w:val="20"/>
          <w:szCs w:val="20"/>
          <w:lang w:val="es-MX"/>
        </w:rPr>
        <w:t>P R E S E N T E</w:t>
      </w:r>
      <w:r w:rsidR="00057584" w:rsidRPr="00CB2519">
        <w:rPr>
          <w:b/>
          <w:bCs/>
          <w:sz w:val="20"/>
          <w:szCs w:val="20"/>
          <w:lang w:val="es-MX"/>
        </w:rPr>
        <w:t>.</w:t>
      </w:r>
    </w:p>
    <w:p w:rsidR="00057584" w:rsidRPr="00220E9C" w:rsidRDefault="00057584" w:rsidP="00057584">
      <w:pPr>
        <w:spacing w:line="360" w:lineRule="auto"/>
        <w:jc w:val="both"/>
        <w:rPr>
          <w:color w:val="FF0000"/>
          <w:sz w:val="20"/>
          <w:szCs w:val="20"/>
          <w:lang w:val="es-MX"/>
        </w:rPr>
      </w:pPr>
    </w:p>
    <w:p w:rsidR="00057584" w:rsidRPr="00CB2519" w:rsidRDefault="00CB2519" w:rsidP="00057584">
      <w:pPr>
        <w:spacing w:after="100" w:afterAutospacing="1" w:line="360" w:lineRule="auto"/>
        <w:jc w:val="both"/>
        <w:rPr>
          <w:rFonts w:eastAsia="Calibri"/>
          <w:b/>
          <w:sz w:val="20"/>
          <w:szCs w:val="20"/>
        </w:rPr>
      </w:pPr>
      <w:r w:rsidRPr="00CB2519">
        <w:rPr>
          <w:rFonts w:eastAsia="Calibri"/>
          <w:sz w:val="20"/>
          <w:szCs w:val="20"/>
        </w:rPr>
        <w:t>Lorena Cuéllar Cisneros, Gobernadora del Estado, en uso de las facultades que me confieren los artículos 46 fracción II y 70, fracciones IV y VIII, de la Constitución Política del Estado Libre y Soberano de Tlaxcala, y en cumplimiento a lo dispuesto por el artículo 86 del Código Financiero para el Estado de Tlaxcala y sus Municipios, me permito someter al análisis, discusión y aprobación de ese Congreso</w:t>
      </w:r>
      <w:r w:rsidR="00057584" w:rsidRPr="00CB2519">
        <w:rPr>
          <w:rFonts w:eastAsia="Calibri"/>
          <w:sz w:val="20"/>
          <w:szCs w:val="20"/>
        </w:rPr>
        <w:t xml:space="preserve">, la </w:t>
      </w:r>
      <w:r w:rsidR="00057584" w:rsidRPr="00CB2519">
        <w:rPr>
          <w:rFonts w:eastAsia="Calibri"/>
          <w:b/>
          <w:sz w:val="20"/>
          <w:szCs w:val="20"/>
        </w:rPr>
        <w:t>INICIATIVA CON PROYECTO DE DECRETO DE PRESUPUESTO DE EGRESOS DEL ESTADO DE TLAXCALA PARA EL EJERCICIO FISCAL 202</w:t>
      </w:r>
      <w:r w:rsidR="00220E9C" w:rsidRPr="00CB2519">
        <w:rPr>
          <w:rFonts w:eastAsia="Calibri"/>
          <w:b/>
          <w:sz w:val="20"/>
          <w:szCs w:val="20"/>
        </w:rPr>
        <w:t>4</w:t>
      </w:r>
      <w:r w:rsidR="00057584" w:rsidRPr="00CB2519">
        <w:rPr>
          <w:rFonts w:eastAsia="Calibri"/>
          <w:sz w:val="20"/>
          <w:szCs w:val="20"/>
        </w:rPr>
        <w:t xml:space="preserve">, al tenor de la siguiente:  </w:t>
      </w:r>
    </w:p>
    <w:p w:rsidR="00057584" w:rsidRPr="00A440FD" w:rsidRDefault="00057584" w:rsidP="00057584">
      <w:pPr>
        <w:spacing w:line="360" w:lineRule="auto"/>
        <w:jc w:val="center"/>
        <w:rPr>
          <w:b/>
          <w:sz w:val="20"/>
          <w:szCs w:val="20"/>
        </w:rPr>
      </w:pPr>
    </w:p>
    <w:p w:rsidR="00057584" w:rsidRDefault="00057584" w:rsidP="00057584">
      <w:pPr>
        <w:spacing w:line="360" w:lineRule="auto"/>
        <w:jc w:val="center"/>
        <w:rPr>
          <w:b/>
          <w:sz w:val="20"/>
          <w:szCs w:val="20"/>
        </w:rPr>
      </w:pPr>
      <w:r w:rsidRPr="00A440FD">
        <w:rPr>
          <w:b/>
          <w:sz w:val="20"/>
          <w:szCs w:val="20"/>
        </w:rPr>
        <w:t>EXPOSICIÓN DE MOTIVOS</w:t>
      </w:r>
    </w:p>
    <w:p w:rsidR="0051405D" w:rsidRPr="00A440FD" w:rsidRDefault="0051405D" w:rsidP="00057584">
      <w:pPr>
        <w:spacing w:line="360" w:lineRule="auto"/>
        <w:jc w:val="center"/>
        <w:rPr>
          <w:b/>
          <w:sz w:val="20"/>
          <w:szCs w:val="20"/>
        </w:rPr>
      </w:pPr>
    </w:p>
    <w:p w:rsidR="00057584" w:rsidRPr="000F04B5" w:rsidRDefault="00057584" w:rsidP="00057584">
      <w:pPr>
        <w:spacing w:line="360" w:lineRule="auto"/>
        <w:jc w:val="both"/>
        <w:rPr>
          <w:rFonts w:eastAsia="Calibri"/>
          <w:sz w:val="10"/>
          <w:szCs w:val="10"/>
        </w:rPr>
      </w:pPr>
    </w:p>
    <w:p w:rsidR="00057584" w:rsidRPr="00A440FD" w:rsidRDefault="00057584" w:rsidP="00057584">
      <w:pPr>
        <w:pStyle w:val="Prrafodelista"/>
        <w:numPr>
          <w:ilvl w:val="0"/>
          <w:numId w:val="14"/>
        </w:numPr>
        <w:spacing w:line="360" w:lineRule="auto"/>
        <w:rPr>
          <w:rFonts w:eastAsia="Calibri"/>
          <w:b/>
          <w:sz w:val="20"/>
          <w:szCs w:val="20"/>
        </w:rPr>
      </w:pPr>
      <w:r w:rsidRPr="00A440FD">
        <w:rPr>
          <w:rFonts w:eastAsia="Calibri"/>
          <w:b/>
          <w:sz w:val="20"/>
          <w:szCs w:val="20"/>
        </w:rPr>
        <w:t>CONSIDERACIONES GENERALES</w:t>
      </w:r>
    </w:p>
    <w:p w:rsidR="000F04B5" w:rsidRPr="000F04B5" w:rsidRDefault="000F04B5" w:rsidP="00057584">
      <w:pPr>
        <w:spacing w:line="360" w:lineRule="auto"/>
        <w:jc w:val="both"/>
        <w:rPr>
          <w:rFonts w:eastAsia="Calibri"/>
          <w:sz w:val="10"/>
          <w:szCs w:val="10"/>
        </w:rPr>
      </w:pPr>
    </w:p>
    <w:p w:rsidR="00CB2519" w:rsidRPr="00A440FD" w:rsidRDefault="00CB2519" w:rsidP="00CB2519">
      <w:pPr>
        <w:spacing w:line="360" w:lineRule="auto"/>
        <w:jc w:val="both"/>
        <w:rPr>
          <w:rFonts w:eastAsia="Calibri"/>
          <w:sz w:val="20"/>
          <w:szCs w:val="20"/>
        </w:rPr>
      </w:pPr>
      <w:r w:rsidRPr="00A440FD">
        <w:rPr>
          <w:rFonts w:eastAsia="Calibri"/>
          <w:sz w:val="20"/>
          <w:szCs w:val="20"/>
        </w:rPr>
        <w:t>El paquete económico para el ejercicio fiscal 202</w:t>
      </w:r>
      <w:r>
        <w:rPr>
          <w:rFonts w:eastAsia="Calibri"/>
          <w:sz w:val="20"/>
          <w:szCs w:val="20"/>
        </w:rPr>
        <w:t>4</w:t>
      </w:r>
      <w:r w:rsidRPr="00A440FD">
        <w:rPr>
          <w:rFonts w:eastAsia="Calibri"/>
          <w:sz w:val="20"/>
          <w:szCs w:val="20"/>
        </w:rPr>
        <w:t xml:space="preserve">, se elaboró en apego a los principios de austeridad, disciplina financiera, honestidad y combate a la corrupción, los cuales son la base fundamental que caracterizan a los compromisos, proyectos, metas y políticas del Gobierno del Estado de Tlaxcala, con el firme propósito de lograr el desarrollo económico, social, educativo, cultural y de seguridad a favor de los habitantes de la Entidad bajo un presupuesto balanceado y sostenible, a través del mejoramiento de procesos tendentes a la recaudación de ingresos y de gestión de recursos federales que fortalezcan las finanzas públicas e implementación de acciones efectivas para la recuperación de la economía, en una estrecha colaboración con el Gobierno Federal y los Municipios, es momento de impulsar, </w:t>
      </w:r>
      <w:r w:rsidRPr="00A440FD">
        <w:rPr>
          <w:rFonts w:eastAsia="Calibri"/>
          <w:sz w:val="20"/>
          <w:szCs w:val="20"/>
        </w:rPr>
        <w:lastRenderedPageBreak/>
        <w:t>potencializar y posicionar al Estado de Tlaxcala en todos los sectores, es objetivo prioritario de la actual administración atender los aspectos de mayor demanda ciudadana como lo es elevar la calidad de vida y de servicios de las familias tlaxcaltecas, para garantizar a los individuos una vida plena, en paz y armonía, así como atacar las causas de la inseguridad de manera que incentive la participación y seguridad ciudadana, genere cohesión, prevenga los delitos y combata la violencia y la ilegalidad.</w:t>
      </w:r>
    </w:p>
    <w:p w:rsidR="00CB2519" w:rsidRPr="00A440FD" w:rsidRDefault="00CB2519" w:rsidP="00CB2519">
      <w:pPr>
        <w:spacing w:line="360" w:lineRule="auto"/>
        <w:jc w:val="both"/>
        <w:rPr>
          <w:rFonts w:eastAsia="Calibri"/>
          <w:sz w:val="20"/>
          <w:szCs w:val="20"/>
        </w:rPr>
      </w:pPr>
    </w:p>
    <w:p w:rsidR="00CB2519" w:rsidRDefault="00CB2519" w:rsidP="00CB2519">
      <w:pPr>
        <w:spacing w:line="360" w:lineRule="auto"/>
        <w:jc w:val="both"/>
        <w:rPr>
          <w:rFonts w:eastAsia="Calibri"/>
          <w:sz w:val="20"/>
          <w:szCs w:val="20"/>
        </w:rPr>
      </w:pPr>
      <w:r w:rsidRPr="00A440FD">
        <w:rPr>
          <w:rFonts w:eastAsia="Calibri"/>
          <w:sz w:val="20"/>
          <w:szCs w:val="20"/>
        </w:rPr>
        <w:t xml:space="preserve">En congruencia con las acciones implementadas por el Gobierno Federal se busca </w:t>
      </w:r>
      <w:r>
        <w:rPr>
          <w:rFonts w:eastAsia="Calibri"/>
          <w:sz w:val="20"/>
          <w:szCs w:val="20"/>
        </w:rPr>
        <w:t>mitigar</w:t>
      </w:r>
      <w:r w:rsidRPr="00A440FD">
        <w:rPr>
          <w:rFonts w:eastAsia="Calibri"/>
          <w:sz w:val="20"/>
          <w:szCs w:val="20"/>
        </w:rPr>
        <w:t xml:space="preserve"> las desigualdades y gestionar la lucha en contra de las inequidades mediante una política social incluyente, bajo el principio de la transformación en la unidad, atacar la pobreza salarial y contribuir a la creación de empleo, vía la modernización de los sectores económicos, que promueva una mayor productividad, competitividad e innovación, en el contexto de un medio ambiente sano y limpio. </w:t>
      </w:r>
    </w:p>
    <w:p w:rsidR="00CB2519" w:rsidRDefault="00CB2519" w:rsidP="00CB2519">
      <w:pPr>
        <w:spacing w:line="360" w:lineRule="auto"/>
        <w:jc w:val="both"/>
        <w:rPr>
          <w:rFonts w:eastAsia="Calibri"/>
          <w:sz w:val="20"/>
          <w:szCs w:val="20"/>
        </w:rPr>
      </w:pPr>
    </w:p>
    <w:p w:rsidR="00CB2519" w:rsidRPr="00A440FD" w:rsidRDefault="00CB2519" w:rsidP="00CB2519">
      <w:pPr>
        <w:spacing w:line="360" w:lineRule="auto"/>
        <w:jc w:val="both"/>
        <w:rPr>
          <w:rFonts w:eastAsia="Calibri"/>
          <w:sz w:val="20"/>
          <w:szCs w:val="20"/>
        </w:rPr>
      </w:pPr>
      <w:r w:rsidRPr="00A440FD">
        <w:rPr>
          <w:rFonts w:eastAsia="Calibri"/>
          <w:sz w:val="20"/>
          <w:szCs w:val="20"/>
        </w:rPr>
        <w:t>Así mismo, construir un gobierno al servicio del pueblo, que diseñe y dirija una transformación en la unidad, impulsando el cambio profundo, a través de la participación y las inversiones en áreas estratégicas y prioritarias, que impliquen beneficios para las personas, que transformen las estructuras económicas, sociales, culturales e institucionales desiguales, en estructuras iguales y justas para los hombres y las mujeres, con garantía de derechos y ejercicio libre de la ciudadanía en todas sus formas y de esta manera se generen las condiciones que permitan mejorar el bienestar integral de las personas, a partir de esquemas orientados a disminuir las brechas de desigualdad e inequidad espacial y territorial, en las regiones de la entidad.</w:t>
      </w:r>
    </w:p>
    <w:p w:rsidR="00CB2519" w:rsidRPr="00A440FD" w:rsidRDefault="00CB2519" w:rsidP="00CB2519">
      <w:pPr>
        <w:spacing w:line="360" w:lineRule="auto"/>
        <w:jc w:val="both"/>
        <w:rPr>
          <w:rFonts w:eastAsia="Calibri"/>
          <w:sz w:val="20"/>
          <w:szCs w:val="20"/>
        </w:rPr>
      </w:pPr>
    </w:p>
    <w:p w:rsidR="00CB2519" w:rsidRPr="00A440FD" w:rsidRDefault="00CB2519" w:rsidP="00CB2519">
      <w:pPr>
        <w:spacing w:line="360" w:lineRule="auto"/>
        <w:jc w:val="both"/>
        <w:rPr>
          <w:rFonts w:eastAsia="Calibri"/>
          <w:sz w:val="20"/>
          <w:szCs w:val="20"/>
        </w:rPr>
      </w:pPr>
      <w:r w:rsidRPr="00A440FD">
        <w:rPr>
          <w:rFonts w:eastAsia="Calibri"/>
          <w:sz w:val="20"/>
          <w:szCs w:val="20"/>
        </w:rPr>
        <w:t>Mediante programas sociales efectivos para la atención de grupos vulnerables, entre ellos, mujeres, personas con discapacidad, adultos mayores y pueblos originarios; una mayor y mejor seguridad pública a través del equipamiento, capacitación y profesionalización de los elementos de los diversos cuerpos de seguridad</w:t>
      </w:r>
      <w:r>
        <w:rPr>
          <w:rFonts w:eastAsia="Calibri"/>
          <w:sz w:val="20"/>
          <w:szCs w:val="20"/>
        </w:rPr>
        <w:t>.</w:t>
      </w:r>
    </w:p>
    <w:p w:rsidR="00CB2519" w:rsidRPr="00A440FD" w:rsidRDefault="00CB2519" w:rsidP="00CB2519">
      <w:pPr>
        <w:spacing w:line="360" w:lineRule="auto"/>
        <w:jc w:val="both"/>
        <w:rPr>
          <w:rFonts w:eastAsia="Calibri"/>
          <w:sz w:val="20"/>
          <w:szCs w:val="20"/>
        </w:rPr>
      </w:pPr>
    </w:p>
    <w:p w:rsidR="00CB2519" w:rsidRPr="00A440FD" w:rsidRDefault="00CB2519" w:rsidP="00CB2519">
      <w:pPr>
        <w:spacing w:line="360" w:lineRule="auto"/>
        <w:jc w:val="both"/>
        <w:rPr>
          <w:rFonts w:eastAsia="Calibri"/>
          <w:sz w:val="20"/>
          <w:szCs w:val="20"/>
        </w:rPr>
      </w:pPr>
      <w:r w:rsidRPr="00A440FD">
        <w:rPr>
          <w:rFonts w:eastAsia="Calibri"/>
          <w:sz w:val="20"/>
          <w:szCs w:val="20"/>
        </w:rPr>
        <w:t>Por su parte, el Gobierno Federal ha tomado accio</w:t>
      </w:r>
      <w:r w:rsidR="00BC7D85">
        <w:rPr>
          <w:rFonts w:eastAsia="Calibri"/>
          <w:sz w:val="20"/>
          <w:szCs w:val="20"/>
        </w:rPr>
        <w:t>nes para enfrentar los impactos</w:t>
      </w:r>
      <w:r w:rsidRPr="00A440FD">
        <w:rPr>
          <w:rFonts w:eastAsia="Calibri"/>
          <w:sz w:val="20"/>
          <w:szCs w:val="20"/>
        </w:rPr>
        <w:t xml:space="preserve"> económicos y financieros ocasionados por </w:t>
      </w:r>
      <w:r w:rsidRPr="00265743">
        <w:rPr>
          <w:rFonts w:eastAsia="Calibri"/>
          <w:sz w:val="20"/>
          <w:szCs w:val="20"/>
        </w:rPr>
        <w:t xml:space="preserve">el complejo entorno global </w:t>
      </w:r>
      <w:r w:rsidRPr="00A440FD">
        <w:rPr>
          <w:rFonts w:eastAsia="Calibri"/>
          <w:sz w:val="20"/>
          <w:szCs w:val="20"/>
        </w:rPr>
        <w:t>y la profundización de los riesgos geopolíticos y en apego al enfoque federal se consideran tres pilares fundamentales: 1. Los ap</w:t>
      </w:r>
      <w:r>
        <w:rPr>
          <w:rFonts w:eastAsia="Calibri"/>
          <w:sz w:val="20"/>
          <w:szCs w:val="20"/>
        </w:rPr>
        <w:t>oyos sociales para el bienestar</w:t>
      </w:r>
      <w:r w:rsidR="00BC7D85">
        <w:rPr>
          <w:rFonts w:eastAsia="Calibri"/>
          <w:sz w:val="20"/>
          <w:szCs w:val="20"/>
        </w:rPr>
        <w:t>,</w:t>
      </w:r>
      <w:r w:rsidRPr="00A440FD">
        <w:rPr>
          <w:rFonts w:eastAsia="Calibri"/>
          <w:sz w:val="20"/>
          <w:szCs w:val="20"/>
        </w:rPr>
        <w:t xml:space="preserve"> 2. La estabilidad y solidez de las finanzas públicas y 3. El apoyo a proyectos regionales.</w:t>
      </w:r>
    </w:p>
    <w:p w:rsidR="00CB2519" w:rsidRPr="00A440FD" w:rsidRDefault="00CB2519" w:rsidP="00CB2519">
      <w:pPr>
        <w:spacing w:line="360" w:lineRule="auto"/>
        <w:jc w:val="both"/>
        <w:rPr>
          <w:rFonts w:eastAsia="Calibri"/>
          <w:sz w:val="20"/>
          <w:szCs w:val="20"/>
        </w:rPr>
      </w:pPr>
    </w:p>
    <w:p w:rsidR="00CB2519" w:rsidRPr="00A440FD" w:rsidRDefault="00CB2519" w:rsidP="00CB2519">
      <w:pPr>
        <w:spacing w:line="360" w:lineRule="auto"/>
        <w:jc w:val="both"/>
        <w:rPr>
          <w:rFonts w:eastAsia="Calibri"/>
          <w:sz w:val="20"/>
          <w:szCs w:val="20"/>
        </w:rPr>
      </w:pPr>
      <w:r w:rsidRPr="00A440FD">
        <w:rPr>
          <w:rFonts w:eastAsia="Calibri"/>
          <w:sz w:val="20"/>
          <w:szCs w:val="20"/>
        </w:rPr>
        <w:lastRenderedPageBreak/>
        <w:t>En razón a lo anterior</w:t>
      </w:r>
      <w:r>
        <w:rPr>
          <w:rFonts w:eastAsia="Calibri"/>
          <w:sz w:val="20"/>
          <w:szCs w:val="20"/>
        </w:rPr>
        <w:t xml:space="preserve">, </w:t>
      </w:r>
      <w:r w:rsidRPr="00A440FD">
        <w:rPr>
          <w:rFonts w:eastAsia="Calibri"/>
          <w:sz w:val="20"/>
          <w:szCs w:val="20"/>
        </w:rPr>
        <w:t>con base al Plan Nacional de Desarrollo 2019-2024 (PND), el Paquete Económico 202</w:t>
      </w:r>
      <w:r>
        <w:rPr>
          <w:rFonts w:eastAsia="Calibri"/>
          <w:sz w:val="20"/>
          <w:szCs w:val="20"/>
        </w:rPr>
        <w:t>4</w:t>
      </w:r>
      <w:r w:rsidRPr="00A440FD">
        <w:rPr>
          <w:rFonts w:eastAsia="Calibri"/>
          <w:sz w:val="20"/>
          <w:szCs w:val="20"/>
        </w:rPr>
        <w:t>, tiene como objetivo principal generar bienestar para la población, dirigiéndose al camino del crecimiento, con una disciplina fiscal para el fortalecimiento a la salud y a la educación.</w:t>
      </w:r>
    </w:p>
    <w:p w:rsidR="00CB2519" w:rsidRPr="00A440FD" w:rsidRDefault="00CB2519" w:rsidP="00CB2519">
      <w:pPr>
        <w:spacing w:line="360" w:lineRule="auto"/>
        <w:jc w:val="both"/>
        <w:rPr>
          <w:rFonts w:eastAsia="Calibri"/>
          <w:sz w:val="20"/>
          <w:szCs w:val="20"/>
        </w:rPr>
      </w:pPr>
    </w:p>
    <w:p w:rsidR="00CB2519" w:rsidRPr="00A440FD" w:rsidRDefault="00CB2519" w:rsidP="00CB2519">
      <w:pPr>
        <w:spacing w:line="360" w:lineRule="auto"/>
        <w:jc w:val="both"/>
        <w:rPr>
          <w:rFonts w:eastAsia="Calibri"/>
          <w:sz w:val="20"/>
          <w:szCs w:val="20"/>
        </w:rPr>
      </w:pPr>
      <w:r w:rsidRPr="00A440FD">
        <w:rPr>
          <w:rFonts w:eastAsia="Calibri"/>
          <w:sz w:val="20"/>
          <w:szCs w:val="20"/>
        </w:rPr>
        <w:t>Así mismo, los Criterios Generales de Política Económica para la Iniciativa de la Ley de Ingresos y el Proyecto de Presupuesto de Egresos de la Federación correspondientes al ejercicio fiscal 202</w:t>
      </w:r>
      <w:r>
        <w:rPr>
          <w:rFonts w:eastAsia="Calibri"/>
          <w:sz w:val="20"/>
          <w:szCs w:val="20"/>
        </w:rPr>
        <w:t>4</w:t>
      </w:r>
      <w:r w:rsidRPr="00A440FD">
        <w:rPr>
          <w:rFonts w:eastAsia="Calibri"/>
          <w:sz w:val="20"/>
          <w:szCs w:val="20"/>
        </w:rPr>
        <w:t xml:space="preserve"> (CGPE) contienen un análisis de los resultados de las políticas implementadas, los retos que quedan por superar y sobre las medidas de política que se proponen para lograrlo.</w:t>
      </w:r>
    </w:p>
    <w:p w:rsidR="00CB2519" w:rsidRPr="00A440FD" w:rsidRDefault="00CB2519" w:rsidP="00CB2519">
      <w:pPr>
        <w:spacing w:line="360" w:lineRule="auto"/>
        <w:jc w:val="both"/>
        <w:rPr>
          <w:rFonts w:eastAsia="Calibri"/>
          <w:sz w:val="20"/>
          <w:szCs w:val="20"/>
        </w:rPr>
      </w:pPr>
    </w:p>
    <w:p w:rsidR="00CB2519" w:rsidRPr="00A440FD" w:rsidRDefault="00CB2519" w:rsidP="00CB2519">
      <w:pPr>
        <w:spacing w:line="360" w:lineRule="auto"/>
        <w:jc w:val="both"/>
        <w:rPr>
          <w:rFonts w:eastAsia="Calibri"/>
          <w:sz w:val="20"/>
          <w:szCs w:val="20"/>
        </w:rPr>
      </w:pPr>
      <w:r w:rsidRPr="00A440FD">
        <w:rPr>
          <w:rFonts w:eastAsia="Calibri"/>
          <w:sz w:val="20"/>
          <w:szCs w:val="20"/>
        </w:rPr>
        <w:t>Por ello</w:t>
      </w:r>
      <w:r>
        <w:rPr>
          <w:rFonts w:eastAsia="Calibri"/>
          <w:sz w:val="20"/>
          <w:szCs w:val="20"/>
        </w:rPr>
        <w:t>,</w:t>
      </w:r>
      <w:r w:rsidRPr="00A440FD">
        <w:rPr>
          <w:rFonts w:eastAsia="Calibri"/>
          <w:sz w:val="20"/>
          <w:szCs w:val="20"/>
        </w:rPr>
        <w:t xml:space="preserve"> el Proyecto de Presupuesto de Egresos de la Federación 202</w:t>
      </w:r>
      <w:r>
        <w:rPr>
          <w:rFonts w:eastAsia="Calibri"/>
          <w:sz w:val="20"/>
          <w:szCs w:val="20"/>
        </w:rPr>
        <w:t>4</w:t>
      </w:r>
      <w:r w:rsidRPr="00A440FD">
        <w:rPr>
          <w:rFonts w:eastAsia="Calibri"/>
          <w:sz w:val="20"/>
          <w:szCs w:val="20"/>
        </w:rPr>
        <w:t xml:space="preserve"> (PPEF) plantea un aumento real respecto al Presupuesto de Egresos de la Federación 202</w:t>
      </w:r>
      <w:r>
        <w:rPr>
          <w:rFonts w:eastAsia="Calibri"/>
          <w:sz w:val="20"/>
          <w:szCs w:val="20"/>
        </w:rPr>
        <w:t>3 del</w:t>
      </w:r>
      <w:r w:rsidRPr="00A440FD">
        <w:rPr>
          <w:rFonts w:eastAsia="Calibri"/>
          <w:sz w:val="20"/>
          <w:szCs w:val="20"/>
        </w:rPr>
        <w:t xml:space="preserve"> </w:t>
      </w:r>
      <w:r>
        <w:rPr>
          <w:rFonts w:eastAsia="Calibri"/>
          <w:sz w:val="20"/>
          <w:szCs w:val="20"/>
        </w:rPr>
        <w:t>2.4</w:t>
      </w:r>
      <w:r w:rsidRPr="00A440FD">
        <w:rPr>
          <w:rFonts w:eastAsia="Calibri"/>
          <w:sz w:val="20"/>
          <w:szCs w:val="20"/>
        </w:rPr>
        <w:t xml:space="preserve">% en el gasto propuesto en salud, así como un aumento anual de </w:t>
      </w:r>
      <w:r>
        <w:rPr>
          <w:rFonts w:eastAsia="Calibri"/>
          <w:sz w:val="20"/>
          <w:szCs w:val="20"/>
        </w:rPr>
        <w:t>5.5</w:t>
      </w:r>
      <w:r w:rsidRPr="00A440FD">
        <w:rPr>
          <w:rFonts w:eastAsia="Calibri"/>
          <w:sz w:val="20"/>
          <w:szCs w:val="20"/>
        </w:rPr>
        <w:t>% en el gasto en protección social, con lo cual este rubro seguirá alcanzando máximos históricos en beneficio de las mayorías.</w:t>
      </w:r>
    </w:p>
    <w:p w:rsidR="00CB2519" w:rsidRPr="00A440FD" w:rsidRDefault="00CB2519" w:rsidP="00CB2519">
      <w:pPr>
        <w:spacing w:line="360" w:lineRule="auto"/>
        <w:jc w:val="both"/>
        <w:rPr>
          <w:rFonts w:eastAsia="Calibri"/>
          <w:sz w:val="20"/>
          <w:szCs w:val="20"/>
        </w:rPr>
      </w:pPr>
    </w:p>
    <w:p w:rsidR="00CB2519" w:rsidRPr="00A440FD" w:rsidRDefault="00CB2519" w:rsidP="00CB2519">
      <w:pPr>
        <w:spacing w:line="360" w:lineRule="auto"/>
        <w:ind w:left="-11"/>
        <w:jc w:val="both"/>
        <w:rPr>
          <w:sz w:val="20"/>
          <w:szCs w:val="20"/>
        </w:rPr>
      </w:pPr>
      <w:r w:rsidRPr="00A440FD">
        <w:rPr>
          <w:sz w:val="20"/>
          <w:szCs w:val="20"/>
        </w:rPr>
        <w:t xml:space="preserve">La integración del </w:t>
      </w:r>
      <w:r w:rsidRPr="00A440FD">
        <w:rPr>
          <w:rFonts w:eastAsia="Calibri"/>
          <w:sz w:val="20"/>
          <w:szCs w:val="20"/>
        </w:rPr>
        <w:t>Proyecto de Decreto de Presupuesto de Egresos del Estado de Tlaxcala para el Ejercicio Fiscal 202</w:t>
      </w:r>
      <w:r>
        <w:rPr>
          <w:rFonts w:eastAsia="Calibri"/>
          <w:sz w:val="20"/>
          <w:szCs w:val="20"/>
        </w:rPr>
        <w:t>4</w:t>
      </w:r>
      <w:r w:rsidRPr="00A440FD">
        <w:rPr>
          <w:rFonts w:eastAsia="Calibri"/>
          <w:sz w:val="20"/>
          <w:szCs w:val="20"/>
        </w:rPr>
        <w:t xml:space="preserve">, </w:t>
      </w:r>
      <w:r w:rsidRPr="00A440FD">
        <w:rPr>
          <w:sz w:val="20"/>
          <w:szCs w:val="20"/>
        </w:rPr>
        <w:t xml:space="preserve">atiende el principio de equilibrio presupuestal entre los ingresos y egresos, tomando en cuenta los </w:t>
      </w:r>
      <w:r w:rsidRPr="00A440FD">
        <w:rPr>
          <w:rFonts w:eastAsia="Calibri"/>
          <w:sz w:val="20"/>
          <w:szCs w:val="20"/>
        </w:rPr>
        <w:t>CGPE 202</w:t>
      </w:r>
      <w:r>
        <w:rPr>
          <w:rFonts w:eastAsia="Calibri"/>
          <w:sz w:val="20"/>
          <w:szCs w:val="20"/>
        </w:rPr>
        <w:t>4</w:t>
      </w:r>
      <w:r w:rsidRPr="00A440FD">
        <w:rPr>
          <w:sz w:val="20"/>
          <w:szCs w:val="20"/>
        </w:rPr>
        <w:t xml:space="preserve"> presentados por el Gobierno Federal, los cuales prevén un crecimiento real </w:t>
      </w:r>
      <w:r w:rsidRPr="00A440FD">
        <w:rPr>
          <w:rFonts w:eastAsia="Calibri"/>
          <w:sz w:val="20"/>
          <w:szCs w:val="20"/>
        </w:rPr>
        <w:t>anual del PIB en 202</w:t>
      </w:r>
      <w:r>
        <w:rPr>
          <w:rFonts w:eastAsia="Calibri"/>
          <w:sz w:val="20"/>
          <w:szCs w:val="20"/>
        </w:rPr>
        <w:t>4</w:t>
      </w:r>
      <w:r w:rsidRPr="00A440FD">
        <w:rPr>
          <w:rFonts w:eastAsia="Calibri"/>
          <w:sz w:val="20"/>
          <w:szCs w:val="20"/>
        </w:rPr>
        <w:t xml:space="preserve"> </w:t>
      </w:r>
      <w:r>
        <w:rPr>
          <w:rFonts w:eastAsia="Calibri"/>
          <w:sz w:val="20"/>
          <w:szCs w:val="20"/>
        </w:rPr>
        <w:t>en un rango de 2.5 a 3.5</w:t>
      </w:r>
      <w:r w:rsidRPr="00A440FD">
        <w:rPr>
          <w:rFonts w:eastAsia="Calibri"/>
          <w:sz w:val="20"/>
          <w:szCs w:val="20"/>
        </w:rPr>
        <w:t>%.</w:t>
      </w:r>
    </w:p>
    <w:p w:rsidR="00CB2519" w:rsidRPr="00A440FD" w:rsidRDefault="00CB2519" w:rsidP="00CB2519">
      <w:pPr>
        <w:spacing w:line="360" w:lineRule="auto"/>
        <w:ind w:left="-11"/>
        <w:jc w:val="both"/>
        <w:rPr>
          <w:sz w:val="20"/>
          <w:szCs w:val="20"/>
        </w:rPr>
      </w:pPr>
    </w:p>
    <w:p w:rsidR="00CB2519" w:rsidRPr="00A440FD" w:rsidRDefault="00CB2519" w:rsidP="00CB2519">
      <w:pPr>
        <w:spacing w:line="360" w:lineRule="auto"/>
        <w:ind w:left="-11"/>
        <w:jc w:val="both"/>
        <w:rPr>
          <w:sz w:val="20"/>
          <w:szCs w:val="20"/>
        </w:rPr>
      </w:pPr>
      <w:r w:rsidRPr="00A440FD">
        <w:rPr>
          <w:sz w:val="20"/>
          <w:szCs w:val="20"/>
        </w:rPr>
        <w:t>En apego a lo que establece la Ley General de Contabilidad Gubernamental, la Ley Federal de Presupuesto y Responsabilidad Hacendaria, la Ley de Coordinación Fiscal, la Ley Federal de Transparencia y Acceso a la Información Pública, la Ley de Disciplina Financiera de las Entidades Federativas y los Municipios, así como a las políticas públicas establecidas, se elaboró el Proyecto de</w:t>
      </w:r>
      <w:r w:rsidR="00BC7D85">
        <w:rPr>
          <w:sz w:val="20"/>
          <w:szCs w:val="20"/>
        </w:rPr>
        <w:t xml:space="preserve"> Decreto de</w:t>
      </w:r>
      <w:r w:rsidRPr="00A440FD">
        <w:rPr>
          <w:sz w:val="20"/>
          <w:szCs w:val="20"/>
        </w:rPr>
        <w:t xml:space="preserve"> Presupuesto de Egresos del Estado de Tlaxcala para el Ejercicio Fiscal 202</w:t>
      </w:r>
      <w:r>
        <w:rPr>
          <w:sz w:val="20"/>
          <w:szCs w:val="20"/>
        </w:rPr>
        <w:t>4</w:t>
      </w:r>
      <w:r w:rsidRPr="00A440FD">
        <w:rPr>
          <w:sz w:val="20"/>
          <w:szCs w:val="20"/>
        </w:rPr>
        <w:t>, mediante el modelo de Presupuesto basado en Resultados (PbR) y el Sistema de Evaluación del Desempeño (SED), que permitirá en el corto y mediano plazo la ejecución de los programas y proyectos, a fin de mejorar los productos y servicios públicos en beneficio de la población.</w:t>
      </w:r>
    </w:p>
    <w:p w:rsidR="00CB2519" w:rsidRPr="00A440FD" w:rsidRDefault="00CB2519" w:rsidP="00CB2519">
      <w:pPr>
        <w:spacing w:line="360" w:lineRule="auto"/>
        <w:ind w:left="-11"/>
        <w:jc w:val="both"/>
        <w:rPr>
          <w:sz w:val="20"/>
          <w:szCs w:val="20"/>
        </w:rPr>
      </w:pPr>
    </w:p>
    <w:p w:rsidR="00CB2519" w:rsidRPr="00A440FD" w:rsidRDefault="00CB2519" w:rsidP="00CB2519">
      <w:pPr>
        <w:spacing w:line="360" w:lineRule="auto"/>
        <w:ind w:left="-11"/>
        <w:jc w:val="both"/>
        <w:rPr>
          <w:sz w:val="20"/>
          <w:szCs w:val="20"/>
        </w:rPr>
      </w:pPr>
      <w:r w:rsidRPr="00A440FD">
        <w:rPr>
          <w:sz w:val="20"/>
          <w:szCs w:val="20"/>
        </w:rPr>
        <w:t xml:space="preserve">El Proyecto de </w:t>
      </w:r>
      <w:r>
        <w:rPr>
          <w:sz w:val="20"/>
          <w:szCs w:val="20"/>
        </w:rPr>
        <w:t xml:space="preserve">Decreto de </w:t>
      </w:r>
      <w:r w:rsidRPr="00A440FD">
        <w:rPr>
          <w:sz w:val="20"/>
          <w:szCs w:val="20"/>
        </w:rPr>
        <w:t>Presupuesto de Egresos del Estado de Tlaxcala para el Ejercicio Fiscal 202</w:t>
      </w:r>
      <w:r>
        <w:rPr>
          <w:sz w:val="20"/>
          <w:szCs w:val="20"/>
        </w:rPr>
        <w:t>4</w:t>
      </w:r>
      <w:r w:rsidRPr="00A440FD">
        <w:rPr>
          <w:sz w:val="20"/>
          <w:szCs w:val="20"/>
        </w:rPr>
        <w:t xml:space="preserve"> que se somete a la consideración de esta Legislatura, se estructura de acuerdo </w:t>
      </w:r>
      <w:r>
        <w:rPr>
          <w:sz w:val="20"/>
          <w:szCs w:val="20"/>
        </w:rPr>
        <w:t>con</w:t>
      </w:r>
      <w:r w:rsidRPr="00A440FD">
        <w:rPr>
          <w:sz w:val="20"/>
          <w:szCs w:val="20"/>
        </w:rPr>
        <w:t xml:space="preserve"> la Clasificación Administrativa, Clasificación Funcional del Gasto, Clasificación Programática, Clasificador por Tipo de Gasto, Clasificador por Objeto del Gasto y Clasificador por Fuentes de Financiamiento, y en la </w:t>
      </w:r>
      <w:r w:rsidRPr="00A440FD">
        <w:rPr>
          <w:sz w:val="20"/>
          <w:szCs w:val="20"/>
        </w:rPr>
        <w:lastRenderedPageBreak/>
        <w:t xml:space="preserve">norma para armonizar la presentación de la información adicional del Proyecto de </w:t>
      </w:r>
      <w:r>
        <w:rPr>
          <w:sz w:val="20"/>
          <w:szCs w:val="20"/>
        </w:rPr>
        <w:t xml:space="preserve">Decreto de </w:t>
      </w:r>
      <w:r w:rsidRPr="00A440FD">
        <w:rPr>
          <w:sz w:val="20"/>
          <w:szCs w:val="20"/>
        </w:rPr>
        <w:t>Presupuesto de Egresos, aprobados por el Consejo Nacional de Armonización Contable (CONAC); por otra parte, y a efecto de dar cumplimiento a lo preceptuado en la Ley de Disciplina Financiera de las Entidades Federativas y los Municipios, se incluyen como anexos los formatos de información presupuestal, pensiones y de personal establecidos en el artículo 5 de esa Ley.</w:t>
      </w:r>
    </w:p>
    <w:p w:rsidR="00CB2519" w:rsidRPr="00A440FD" w:rsidRDefault="00CB2519" w:rsidP="00CB2519">
      <w:pPr>
        <w:spacing w:line="360" w:lineRule="auto"/>
        <w:ind w:left="-11"/>
        <w:jc w:val="both"/>
        <w:rPr>
          <w:sz w:val="20"/>
          <w:szCs w:val="20"/>
        </w:rPr>
      </w:pPr>
    </w:p>
    <w:p w:rsidR="00CB2519" w:rsidRPr="00A440FD" w:rsidRDefault="00CB2519" w:rsidP="00CB2519">
      <w:pPr>
        <w:spacing w:line="360" w:lineRule="auto"/>
        <w:ind w:left="-11"/>
        <w:jc w:val="both"/>
        <w:rPr>
          <w:sz w:val="20"/>
          <w:szCs w:val="20"/>
        </w:rPr>
      </w:pPr>
      <w:r w:rsidRPr="00A440FD">
        <w:rPr>
          <w:sz w:val="20"/>
          <w:szCs w:val="20"/>
        </w:rPr>
        <w:t xml:space="preserve">Ahora bien, en este Proyecto de </w:t>
      </w:r>
      <w:r>
        <w:rPr>
          <w:sz w:val="20"/>
          <w:szCs w:val="20"/>
        </w:rPr>
        <w:t xml:space="preserve">Decreto de </w:t>
      </w:r>
      <w:r w:rsidRPr="00A440FD">
        <w:rPr>
          <w:sz w:val="20"/>
          <w:szCs w:val="20"/>
        </w:rPr>
        <w:t>Presupuesto de Egresos del Estado de Tlaxcala para el Ejercicio Fiscal 202</w:t>
      </w:r>
      <w:r>
        <w:rPr>
          <w:sz w:val="20"/>
          <w:szCs w:val="20"/>
        </w:rPr>
        <w:t>4,</w:t>
      </w:r>
      <w:r w:rsidRPr="00A440FD">
        <w:rPr>
          <w:sz w:val="20"/>
          <w:szCs w:val="20"/>
        </w:rPr>
        <w:t xml:space="preserve"> destacan los objetivos </w:t>
      </w:r>
      <w:r>
        <w:rPr>
          <w:sz w:val="20"/>
          <w:szCs w:val="20"/>
        </w:rPr>
        <w:t>de atender la seguridad pública;</w:t>
      </w:r>
      <w:r w:rsidRPr="00A440FD">
        <w:rPr>
          <w:sz w:val="20"/>
          <w:szCs w:val="20"/>
        </w:rPr>
        <w:t xml:space="preserve"> fortalecer las capacidades del sistema de salud orientados a la atención de los grupos más vulnerables</w:t>
      </w:r>
      <w:r>
        <w:rPr>
          <w:sz w:val="20"/>
          <w:szCs w:val="20"/>
        </w:rPr>
        <w:t>;</w:t>
      </w:r>
      <w:r w:rsidRPr="00A440FD">
        <w:rPr>
          <w:sz w:val="20"/>
          <w:szCs w:val="20"/>
        </w:rPr>
        <w:t xml:space="preserve"> la lucha en contra de la violencia y la impunidad </w:t>
      </w:r>
      <w:r>
        <w:rPr>
          <w:sz w:val="20"/>
          <w:szCs w:val="20"/>
        </w:rPr>
        <w:t>o</w:t>
      </w:r>
      <w:r w:rsidRPr="00A440FD">
        <w:rPr>
          <w:sz w:val="20"/>
          <w:szCs w:val="20"/>
        </w:rPr>
        <w:t xml:space="preserve"> cualquier forma de corrupción</w:t>
      </w:r>
      <w:r>
        <w:rPr>
          <w:sz w:val="20"/>
          <w:szCs w:val="20"/>
        </w:rPr>
        <w:t>;</w:t>
      </w:r>
      <w:r w:rsidRPr="00A440FD">
        <w:rPr>
          <w:sz w:val="20"/>
          <w:szCs w:val="20"/>
        </w:rPr>
        <w:t xml:space="preserve"> fortalecer las bases del crecimiento y capacidad productiva</w:t>
      </w:r>
      <w:r>
        <w:rPr>
          <w:sz w:val="20"/>
          <w:szCs w:val="20"/>
        </w:rPr>
        <w:t>;</w:t>
      </w:r>
      <w:r w:rsidRPr="00A440FD">
        <w:rPr>
          <w:sz w:val="20"/>
          <w:szCs w:val="20"/>
        </w:rPr>
        <w:t xml:space="preserve"> promover la generación de empleo digno</w:t>
      </w:r>
      <w:r>
        <w:rPr>
          <w:sz w:val="20"/>
          <w:szCs w:val="20"/>
        </w:rPr>
        <w:t>;</w:t>
      </w:r>
      <w:r w:rsidRPr="00A440FD">
        <w:rPr>
          <w:sz w:val="20"/>
          <w:szCs w:val="20"/>
        </w:rPr>
        <w:t xml:space="preserve"> elevar la calidad </w:t>
      </w:r>
      <w:r>
        <w:rPr>
          <w:sz w:val="20"/>
          <w:szCs w:val="20"/>
        </w:rPr>
        <w:t xml:space="preserve">y </w:t>
      </w:r>
      <w:r w:rsidRPr="00A440FD">
        <w:rPr>
          <w:sz w:val="20"/>
          <w:szCs w:val="20"/>
        </w:rPr>
        <w:t>fortaleci</w:t>
      </w:r>
      <w:r>
        <w:rPr>
          <w:sz w:val="20"/>
          <w:szCs w:val="20"/>
        </w:rPr>
        <w:t>miento</w:t>
      </w:r>
      <w:r w:rsidRPr="00A440FD">
        <w:rPr>
          <w:sz w:val="20"/>
          <w:szCs w:val="20"/>
        </w:rPr>
        <w:t xml:space="preserve"> </w:t>
      </w:r>
      <w:r>
        <w:rPr>
          <w:sz w:val="20"/>
          <w:szCs w:val="20"/>
        </w:rPr>
        <w:t>d</w:t>
      </w:r>
      <w:r w:rsidRPr="00A440FD">
        <w:rPr>
          <w:sz w:val="20"/>
          <w:szCs w:val="20"/>
        </w:rPr>
        <w:t>el sistema educa</w:t>
      </w:r>
      <w:r>
        <w:rPr>
          <w:sz w:val="20"/>
          <w:szCs w:val="20"/>
        </w:rPr>
        <w:t>tivo</w:t>
      </w:r>
      <w:r w:rsidRPr="00A440FD">
        <w:rPr>
          <w:sz w:val="20"/>
          <w:szCs w:val="20"/>
        </w:rPr>
        <w:t xml:space="preserve"> y aumenta</w:t>
      </w:r>
      <w:r>
        <w:rPr>
          <w:sz w:val="20"/>
          <w:szCs w:val="20"/>
        </w:rPr>
        <w:t>ndo</w:t>
      </w:r>
      <w:r w:rsidRPr="00A440FD">
        <w:rPr>
          <w:sz w:val="20"/>
          <w:szCs w:val="20"/>
        </w:rPr>
        <w:t xml:space="preserve"> la eficiencia de su administración; proteger nuestro medio ambiente, particularmente nuestros recursos hídricos y forestales, en un contexto de sustentabilidad y sostenibilidad</w:t>
      </w:r>
      <w:r>
        <w:rPr>
          <w:sz w:val="20"/>
          <w:szCs w:val="20"/>
        </w:rPr>
        <w:t>; todo ello</w:t>
      </w:r>
      <w:r w:rsidRPr="00A440FD">
        <w:rPr>
          <w:sz w:val="20"/>
          <w:szCs w:val="20"/>
        </w:rPr>
        <w:t xml:space="preserve"> con la aplicación de políticas de género</w:t>
      </w:r>
      <w:r>
        <w:rPr>
          <w:sz w:val="20"/>
          <w:szCs w:val="20"/>
        </w:rPr>
        <w:t>,</w:t>
      </w:r>
      <w:r w:rsidRPr="00A440FD">
        <w:rPr>
          <w:sz w:val="20"/>
          <w:szCs w:val="20"/>
        </w:rPr>
        <w:t xml:space="preserve"> en el marco de nuestra identidad histórica, la recuperación y la difusión de la cultura de nuestros pueblos indígenas y originarios.</w:t>
      </w:r>
    </w:p>
    <w:p w:rsidR="00CB2519" w:rsidRPr="00A440FD" w:rsidRDefault="00CB2519" w:rsidP="00CB2519">
      <w:pPr>
        <w:spacing w:line="360" w:lineRule="auto"/>
        <w:ind w:left="-11"/>
        <w:jc w:val="both"/>
        <w:rPr>
          <w:sz w:val="20"/>
          <w:szCs w:val="20"/>
        </w:rPr>
      </w:pPr>
    </w:p>
    <w:p w:rsidR="00CB2519" w:rsidRDefault="00CB2519" w:rsidP="00CB2519">
      <w:pPr>
        <w:spacing w:line="360" w:lineRule="auto"/>
        <w:ind w:left="-11"/>
        <w:jc w:val="both"/>
        <w:rPr>
          <w:sz w:val="20"/>
          <w:szCs w:val="20"/>
        </w:rPr>
      </w:pPr>
      <w:r w:rsidRPr="00A440FD">
        <w:rPr>
          <w:sz w:val="20"/>
          <w:szCs w:val="20"/>
        </w:rPr>
        <w:t>Las bases de las estrategias de la Administración Pública Estatal</w:t>
      </w:r>
      <w:r>
        <w:rPr>
          <w:sz w:val="20"/>
          <w:szCs w:val="20"/>
        </w:rPr>
        <w:t>,</w:t>
      </w:r>
      <w:r w:rsidRPr="00A440FD">
        <w:rPr>
          <w:sz w:val="20"/>
          <w:szCs w:val="20"/>
        </w:rPr>
        <w:t xml:space="preserve"> están basadas en un gasto racional y austero en las dependencias y entidades, que deberá propiciar en sus estructuras la eficiente y eficaz prestación de los servic</w:t>
      </w:r>
      <w:r>
        <w:rPr>
          <w:sz w:val="20"/>
          <w:szCs w:val="20"/>
        </w:rPr>
        <w:t>ios proporcionados a la sociedad.</w:t>
      </w:r>
    </w:p>
    <w:p w:rsidR="00CB2519" w:rsidRDefault="00CB2519" w:rsidP="00CB2519">
      <w:pPr>
        <w:spacing w:line="360" w:lineRule="auto"/>
        <w:ind w:left="-11"/>
        <w:jc w:val="both"/>
        <w:rPr>
          <w:color w:val="FF0000"/>
          <w:sz w:val="20"/>
          <w:szCs w:val="20"/>
        </w:rPr>
      </w:pPr>
    </w:p>
    <w:p w:rsidR="00CB2519" w:rsidRDefault="00CB2519" w:rsidP="00CB2519">
      <w:pPr>
        <w:pStyle w:val="Prrafodelista"/>
        <w:numPr>
          <w:ilvl w:val="0"/>
          <w:numId w:val="14"/>
        </w:numPr>
        <w:spacing w:line="360" w:lineRule="auto"/>
        <w:jc w:val="both"/>
        <w:rPr>
          <w:rFonts w:eastAsia="Calibri"/>
          <w:b/>
          <w:color w:val="000000" w:themeColor="text1"/>
          <w:sz w:val="20"/>
          <w:szCs w:val="20"/>
        </w:rPr>
      </w:pPr>
      <w:r>
        <w:rPr>
          <w:rFonts w:eastAsia="Calibri"/>
          <w:b/>
          <w:color w:val="000000" w:themeColor="text1"/>
          <w:sz w:val="20"/>
          <w:szCs w:val="20"/>
        </w:rPr>
        <w:t>ENTORNO INTERNACIONAL</w:t>
      </w:r>
    </w:p>
    <w:p w:rsidR="00CB2519" w:rsidRDefault="00CB2519" w:rsidP="00CB2519">
      <w:pPr>
        <w:spacing w:line="360" w:lineRule="auto"/>
        <w:jc w:val="both"/>
        <w:rPr>
          <w:iCs/>
          <w:color w:val="FF0000"/>
          <w:sz w:val="20"/>
          <w:szCs w:val="20"/>
        </w:rPr>
      </w:pPr>
    </w:p>
    <w:p w:rsidR="00CB2519" w:rsidRPr="005F7C1B" w:rsidRDefault="00CB2519" w:rsidP="00CB2519">
      <w:pPr>
        <w:spacing w:line="360" w:lineRule="auto"/>
        <w:jc w:val="both"/>
        <w:rPr>
          <w:iCs/>
          <w:color w:val="000000" w:themeColor="text1"/>
          <w:sz w:val="20"/>
          <w:szCs w:val="20"/>
        </w:rPr>
      </w:pPr>
      <w:r>
        <w:rPr>
          <w:iCs/>
          <w:color w:val="000000" w:themeColor="text1"/>
          <w:sz w:val="20"/>
          <w:szCs w:val="20"/>
        </w:rPr>
        <w:t>C</w:t>
      </w:r>
      <w:r w:rsidRPr="005A2DF4">
        <w:rPr>
          <w:iCs/>
          <w:color w:val="000000" w:themeColor="text1"/>
          <w:sz w:val="20"/>
          <w:szCs w:val="20"/>
        </w:rPr>
        <w:t>ada vez son más las economías en las que el crecimiento está desacelerándose o está sufriendo una contracción propiamente dicha. La salud futura de la economía mundial depende fundamentalmente de la adecuada calibración de la política monetaria</w:t>
      </w:r>
      <w:r>
        <w:rPr>
          <w:iCs/>
          <w:color w:val="000000" w:themeColor="text1"/>
          <w:sz w:val="20"/>
          <w:szCs w:val="20"/>
        </w:rPr>
        <w:t xml:space="preserve">. </w:t>
      </w:r>
      <w:r w:rsidRPr="00955A4C">
        <w:rPr>
          <w:iCs/>
          <w:color w:val="000000" w:themeColor="text1"/>
          <w:sz w:val="20"/>
          <w:szCs w:val="20"/>
        </w:rPr>
        <w:t xml:space="preserve">De acuerdo con el Fondo Monetario Internacional (FMI), </w:t>
      </w:r>
      <w:r w:rsidR="00BC7D85">
        <w:rPr>
          <w:iCs/>
          <w:color w:val="000000" w:themeColor="text1"/>
          <w:sz w:val="20"/>
          <w:szCs w:val="20"/>
        </w:rPr>
        <w:t>e</w:t>
      </w:r>
      <w:r w:rsidRPr="005F7C1B">
        <w:rPr>
          <w:iCs/>
          <w:color w:val="000000" w:themeColor="text1"/>
          <w:sz w:val="20"/>
          <w:szCs w:val="20"/>
        </w:rPr>
        <w:t>l crecimiento económico mundial se desacelerará de 3</w:t>
      </w:r>
      <w:r>
        <w:rPr>
          <w:iCs/>
          <w:color w:val="000000" w:themeColor="text1"/>
          <w:sz w:val="20"/>
          <w:szCs w:val="20"/>
        </w:rPr>
        <w:t>.</w:t>
      </w:r>
      <w:r w:rsidRPr="005F7C1B">
        <w:rPr>
          <w:iCs/>
          <w:color w:val="000000" w:themeColor="text1"/>
          <w:sz w:val="20"/>
          <w:szCs w:val="20"/>
        </w:rPr>
        <w:t>5% en 2022 a 3% este año y 2</w:t>
      </w:r>
      <w:r>
        <w:rPr>
          <w:iCs/>
          <w:color w:val="000000" w:themeColor="text1"/>
          <w:sz w:val="20"/>
          <w:szCs w:val="20"/>
        </w:rPr>
        <w:t>.</w:t>
      </w:r>
      <w:r w:rsidRPr="005F7C1B">
        <w:rPr>
          <w:iCs/>
          <w:color w:val="000000" w:themeColor="text1"/>
          <w:sz w:val="20"/>
          <w:szCs w:val="20"/>
        </w:rPr>
        <w:t>9% el próximo, una revisión a la baja de 0</w:t>
      </w:r>
      <w:r>
        <w:rPr>
          <w:iCs/>
          <w:color w:val="000000" w:themeColor="text1"/>
          <w:sz w:val="20"/>
          <w:szCs w:val="20"/>
        </w:rPr>
        <w:t>.</w:t>
      </w:r>
      <w:r w:rsidRPr="005F7C1B">
        <w:rPr>
          <w:iCs/>
          <w:color w:val="000000" w:themeColor="text1"/>
          <w:sz w:val="20"/>
          <w:szCs w:val="20"/>
        </w:rPr>
        <w:t>1 puntos porcentuales para 2024 con respecto a julio. Estas cifras están muy por debajo del promedio histórico.</w:t>
      </w:r>
    </w:p>
    <w:p w:rsidR="00CB2519" w:rsidRPr="005F7C1B" w:rsidRDefault="00CB2519" w:rsidP="00CB2519">
      <w:pPr>
        <w:spacing w:line="360" w:lineRule="auto"/>
        <w:jc w:val="both"/>
        <w:rPr>
          <w:iCs/>
          <w:color w:val="000000" w:themeColor="text1"/>
          <w:sz w:val="20"/>
          <w:szCs w:val="20"/>
        </w:rPr>
      </w:pPr>
    </w:p>
    <w:p w:rsidR="00CB2519" w:rsidRDefault="00CB2519" w:rsidP="00CB2519">
      <w:pPr>
        <w:spacing w:line="360" w:lineRule="auto"/>
        <w:jc w:val="both"/>
        <w:rPr>
          <w:iCs/>
          <w:color w:val="000000" w:themeColor="text1"/>
          <w:sz w:val="20"/>
          <w:szCs w:val="20"/>
        </w:rPr>
      </w:pPr>
      <w:r w:rsidRPr="005F7C1B">
        <w:rPr>
          <w:iCs/>
          <w:color w:val="000000" w:themeColor="text1"/>
          <w:sz w:val="20"/>
          <w:szCs w:val="20"/>
        </w:rPr>
        <w:t>La inflación general continúa su desaceleración, de 9</w:t>
      </w:r>
      <w:r>
        <w:rPr>
          <w:iCs/>
          <w:color w:val="000000" w:themeColor="text1"/>
          <w:sz w:val="20"/>
          <w:szCs w:val="20"/>
        </w:rPr>
        <w:t>.</w:t>
      </w:r>
      <w:r w:rsidRPr="005F7C1B">
        <w:rPr>
          <w:iCs/>
          <w:color w:val="000000" w:themeColor="text1"/>
          <w:sz w:val="20"/>
          <w:szCs w:val="20"/>
        </w:rPr>
        <w:t>2% en 2022, en términos interanuales, a 5</w:t>
      </w:r>
      <w:r>
        <w:rPr>
          <w:iCs/>
          <w:color w:val="000000" w:themeColor="text1"/>
          <w:sz w:val="20"/>
          <w:szCs w:val="20"/>
        </w:rPr>
        <w:t>.</w:t>
      </w:r>
      <w:r w:rsidRPr="005F7C1B">
        <w:rPr>
          <w:iCs/>
          <w:color w:val="000000" w:themeColor="text1"/>
          <w:sz w:val="20"/>
          <w:szCs w:val="20"/>
        </w:rPr>
        <w:t>9% este año y 4</w:t>
      </w:r>
      <w:r>
        <w:rPr>
          <w:iCs/>
          <w:color w:val="000000" w:themeColor="text1"/>
          <w:sz w:val="20"/>
          <w:szCs w:val="20"/>
        </w:rPr>
        <w:t>.</w:t>
      </w:r>
      <w:r w:rsidRPr="005F7C1B">
        <w:rPr>
          <w:iCs/>
          <w:color w:val="000000" w:themeColor="text1"/>
          <w:sz w:val="20"/>
          <w:szCs w:val="20"/>
        </w:rPr>
        <w:t xml:space="preserve">8% en 2024. También se proyecta que la inflación subyacente, que excluye los precios de </w:t>
      </w:r>
      <w:r w:rsidRPr="005F7C1B">
        <w:rPr>
          <w:iCs/>
          <w:color w:val="000000" w:themeColor="text1"/>
          <w:sz w:val="20"/>
          <w:szCs w:val="20"/>
        </w:rPr>
        <w:lastRenderedPageBreak/>
        <w:t>los alimentos y la energía, disminuya, aunque de forma más gradual, hasta 4</w:t>
      </w:r>
      <w:r>
        <w:rPr>
          <w:iCs/>
          <w:color w:val="000000" w:themeColor="text1"/>
          <w:sz w:val="20"/>
          <w:szCs w:val="20"/>
        </w:rPr>
        <w:t>.</w:t>
      </w:r>
      <w:r w:rsidRPr="005F7C1B">
        <w:rPr>
          <w:iCs/>
          <w:color w:val="000000" w:themeColor="text1"/>
          <w:sz w:val="20"/>
          <w:szCs w:val="20"/>
        </w:rPr>
        <w:t>5% el año próximo. En la mayoría de los países, es probable que la inflación no retorne al nivel fijado como meta hasta 2025.</w:t>
      </w:r>
    </w:p>
    <w:p w:rsidR="00CB2519" w:rsidRDefault="00CB2519" w:rsidP="00CB2519">
      <w:pPr>
        <w:spacing w:line="360" w:lineRule="auto"/>
        <w:jc w:val="both"/>
        <w:rPr>
          <w:iCs/>
          <w:color w:val="000000" w:themeColor="text1"/>
          <w:sz w:val="20"/>
          <w:szCs w:val="20"/>
        </w:rPr>
      </w:pPr>
    </w:p>
    <w:p w:rsidR="00CB2519" w:rsidRDefault="00CB2519" w:rsidP="00CB2519">
      <w:pPr>
        <w:spacing w:line="360" w:lineRule="auto"/>
        <w:jc w:val="both"/>
        <w:rPr>
          <w:iCs/>
          <w:color w:val="000000" w:themeColor="text1"/>
          <w:sz w:val="20"/>
          <w:szCs w:val="20"/>
        </w:rPr>
      </w:pPr>
      <w:r w:rsidRPr="00BF2333">
        <w:rPr>
          <w:iCs/>
          <w:color w:val="000000" w:themeColor="text1"/>
          <w:sz w:val="20"/>
          <w:szCs w:val="20"/>
        </w:rPr>
        <w:t>Los riesgos a la baja para las perspectivas siguen</w:t>
      </w:r>
      <w:r>
        <w:rPr>
          <w:iCs/>
          <w:color w:val="000000" w:themeColor="text1"/>
          <w:sz w:val="20"/>
          <w:szCs w:val="20"/>
        </w:rPr>
        <w:t xml:space="preserve"> </w:t>
      </w:r>
      <w:r w:rsidRPr="00BF2333">
        <w:rPr>
          <w:iCs/>
          <w:color w:val="000000" w:themeColor="text1"/>
          <w:sz w:val="20"/>
          <w:szCs w:val="20"/>
        </w:rPr>
        <w:t>siendo elevados, en tanto que las disyuntivas que presentan las políticas para hacer frente a la crisis del costo</w:t>
      </w:r>
      <w:r>
        <w:rPr>
          <w:iCs/>
          <w:color w:val="000000" w:themeColor="text1"/>
          <w:sz w:val="20"/>
          <w:szCs w:val="20"/>
        </w:rPr>
        <w:t xml:space="preserve"> </w:t>
      </w:r>
      <w:r w:rsidRPr="00BF2333">
        <w:rPr>
          <w:iCs/>
          <w:color w:val="000000" w:themeColor="text1"/>
          <w:sz w:val="20"/>
          <w:szCs w:val="20"/>
        </w:rPr>
        <w:t>de la vida se han tornado sumamente complicadas. El</w:t>
      </w:r>
      <w:r>
        <w:rPr>
          <w:iCs/>
          <w:color w:val="000000" w:themeColor="text1"/>
          <w:sz w:val="20"/>
          <w:szCs w:val="20"/>
        </w:rPr>
        <w:t xml:space="preserve"> </w:t>
      </w:r>
      <w:r w:rsidRPr="00BF2333">
        <w:rPr>
          <w:iCs/>
          <w:color w:val="000000" w:themeColor="text1"/>
          <w:sz w:val="20"/>
          <w:szCs w:val="20"/>
        </w:rPr>
        <w:t>riesgo de una calibración errada de la política monetaria, fiscal o financiera ha aumentado drásticamente en</w:t>
      </w:r>
      <w:r>
        <w:rPr>
          <w:iCs/>
          <w:color w:val="000000" w:themeColor="text1"/>
          <w:sz w:val="20"/>
          <w:szCs w:val="20"/>
        </w:rPr>
        <w:t xml:space="preserve"> </w:t>
      </w:r>
      <w:r w:rsidRPr="00BF2333">
        <w:rPr>
          <w:iCs/>
          <w:color w:val="000000" w:themeColor="text1"/>
          <w:sz w:val="20"/>
          <w:szCs w:val="20"/>
        </w:rPr>
        <w:t>un momento en que la economía mundial permanece</w:t>
      </w:r>
      <w:r>
        <w:rPr>
          <w:iCs/>
          <w:color w:val="000000" w:themeColor="text1"/>
          <w:sz w:val="20"/>
          <w:szCs w:val="20"/>
        </w:rPr>
        <w:t xml:space="preserve"> </w:t>
      </w:r>
      <w:r w:rsidRPr="00BF2333">
        <w:rPr>
          <w:iCs/>
          <w:color w:val="000000" w:themeColor="text1"/>
          <w:sz w:val="20"/>
          <w:szCs w:val="20"/>
        </w:rPr>
        <w:t>en un estado históricamente frágil y en que los mercados financieros están dando señales de tensión.</w:t>
      </w:r>
    </w:p>
    <w:p w:rsidR="00CB2519" w:rsidRDefault="00CB2519" w:rsidP="00CB2519">
      <w:pPr>
        <w:spacing w:line="360" w:lineRule="auto"/>
        <w:jc w:val="both"/>
        <w:rPr>
          <w:iCs/>
          <w:color w:val="000000" w:themeColor="text1"/>
          <w:sz w:val="20"/>
          <w:szCs w:val="20"/>
        </w:rPr>
      </w:pPr>
    </w:p>
    <w:p w:rsidR="00CB2519" w:rsidRDefault="00CB2519" w:rsidP="00CB2519">
      <w:pPr>
        <w:spacing w:line="360" w:lineRule="auto"/>
        <w:jc w:val="both"/>
        <w:rPr>
          <w:iCs/>
          <w:color w:val="000000" w:themeColor="text1"/>
          <w:sz w:val="20"/>
          <w:szCs w:val="20"/>
        </w:rPr>
      </w:pPr>
      <w:r w:rsidRPr="005F7C1B">
        <w:rPr>
          <w:iCs/>
          <w:color w:val="000000" w:themeColor="text1"/>
          <w:sz w:val="20"/>
          <w:szCs w:val="20"/>
        </w:rPr>
        <w:t>Se pronostica que la inflación mundial se reduzca a un ritmo constante, de 8</w:t>
      </w:r>
      <w:r>
        <w:rPr>
          <w:iCs/>
          <w:color w:val="000000" w:themeColor="text1"/>
          <w:sz w:val="20"/>
          <w:szCs w:val="20"/>
        </w:rPr>
        <w:t>.</w:t>
      </w:r>
      <w:r w:rsidRPr="005F7C1B">
        <w:rPr>
          <w:iCs/>
          <w:color w:val="000000" w:themeColor="text1"/>
          <w:sz w:val="20"/>
          <w:szCs w:val="20"/>
        </w:rPr>
        <w:t>7% en 2022 a 6</w:t>
      </w:r>
      <w:r>
        <w:rPr>
          <w:iCs/>
          <w:color w:val="000000" w:themeColor="text1"/>
          <w:sz w:val="20"/>
          <w:szCs w:val="20"/>
        </w:rPr>
        <w:t>.</w:t>
      </w:r>
      <w:r w:rsidRPr="005F7C1B">
        <w:rPr>
          <w:iCs/>
          <w:color w:val="000000" w:themeColor="text1"/>
          <w:sz w:val="20"/>
          <w:szCs w:val="20"/>
        </w:rPr>
        <w:t>9% en 2023 y 5</w:t>
      </w:r>
      <w:r>
        <w:rPr>
          <w:iCs/>
          <w:color w:val="000000" w:themeColor="text1"/>
          <w:sz w:val="20"/>
          <w:szCs w:val="20"/>
        </w:rPr>
        <w:t>.</w:t>
      </w:r>
      <w:r w:rsidRPr="005F7C1B">
        <w:rPr>
          <w:iCs/>
          <w:color w:val="000000" w:themeColor="text1"/>
          <w:sz w:val="20"/>
          <w:szCs w:val="20"/>
        </w:rPr>
        <w:t>8% en 2024, debido al endurecimiento de la política monetaria y con la ayuda de los menores precios internacionales de las materias primas. Se proyecta que, en general, la inflación subyacente descienda más gradualmente, mientras que, en la mayoría de los casos, no se prevé que la inflación retorne al nivel fijado como meta</w:t>
      </w:r>
      <w:r>
        <w:rPr>
          <w:iCs/>
          <w:color w:val="000000" w:themeColor="text1"/>
          <w:sz w:val="20"/>
          <w:szCs w:val="20"/>
        </w:rPr>
        <w:t>.</w:t>
      </w:r>
    </w:p>
    <w:p w:rsidR="00505BAF" w:rsidRDefault="00505BAF" w:rsidP="00CB2519">
      <w:pPr>
        <w:spacing w:line="360" w:lineRule="auto"/>
        <w:jc w:val="center"/>
        <w:rPr>
          <w:b/>
          <w:iCs/>
          <w:color w:val="000000" w:themeColor="text1"/>
          <w:sz w:val="20"/>
          <w:szCs w:val="20"/>
        </w:rPr>
      </w:pPr>
    </w:p>
    <w:p w:rsidR="00CB2519" w:rsidRDefault="00CB2519" w:rsidP="00CB2519">
      <w:pPr>
        <w:spacing w:line="360" w:lineRule="auto"/>
        <w:jc w:val="center"/>
        <w:rPr>
          <w:b/>
          <w:iCs/>
          <w:color w:val="000000" w:themeColor="text1"/>
          <w:sz w:val="20"/>
          <w:szCs w:val="20"/>
        </w:rPr>
      </w:pPr>
      <w:r>
        <w:rPr>
          <w:b/>
          <w:iCs/>
          <w:color w:val="000000" w:themeColor="text1"/>
          <w:sz w:val="20"/>
          <w:szCs w:val="20"/>
        </w:rPr>
        <w:t>Últimas Proyecciones de Crecimiento de Perspectivas de la Economía Mundial</w:t>
      </w:r>
    </w:p>
    <w:p w:rsidR="00CB2519" w:rsidRDefault="00CB2519" w:rsidP="00CB2519">
      <w:pPr>
        <w:spacing w:line="360" w:lineRule="auto"/>
        <w:jc w:val="center"/>
        <w:rPr>
          <w:b/>
          <w:iCs/>
          <w:color w:val="000000" w:themeColor="text1"/>
          <w:sz w:val="20"/>
          <w:szCs w:val="20"/>
        </w:rPr>
      </w:pPr>
      <w:r>
        <w:rPr>
          <w:b/>
          <w:iCs/>
          <w:color w:val="000000" w:themeColor="text1"/>
          <w:sz w:val="20"/>
          <w:szCs w:val="20"/>
        </w:rPr>
        <w:t>Octubre 2023</w:t>
      </w:r>
    </w:p>
    <w:p w:rsidR="00CB2519" w:rsidRDefault="00CB2519" w:rsidP="00CB2519">
      <w:pPr>
        <w:spacing w:line="360" w:lineRule="auto"/>
        <w:jc w:val="center"/>
        <w:rPr>
          <w:iCs/>
          <w:color w:val="000000" w:themeColor="text1"/>
          <w:sz w:val="20"/>
          <w:szCs w:val="20"/>
        </w:rPr>
      </w:pPr>
      <w:r>
        <w:rPr>
          <w:noProof/>
          <w:lang w:val="es-MX" w:eastAsia="es-MX"/>
        </w:rPr>
        <w:drawing>
          <wp:inline distT="0" distB="0" distL="0" distR="0" wp14:anchorId="710D62E7" wp14:editId="2998386C">
            <wp:extent cx="2315716" cy="3126836"/>
            <wp:effectExtent l="0" t="0" r="8890" b="0"/>
            <wp:docPr id="1065171239" name="Imagen 1065171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rotWithShape="1">
                    <a:blip r:embed="rId8">
                      <a:extLst>
                        <a:ext uri="{28A0092B-C50C-407E-A947-70E740481C1C}">
                          <a14:useLocalDpi xmlns:a14="http://schemas.microsoft.com/office/drawing/2010/main" val="0"/>
                        </a:ext>
                      </a:extLst>
                    </a:blip>
                    <a:srcRect l="36728" t="10421" r="37859" b="7850"/>
                    <a:stretch/>
                  </pic:blipFill>
                  <pic:spPr bwMode="auto">
                    <a:xfrm>
                      <a:off x="0" y="0"/>
                      <a:ext cx="2353436" cy="3177768"/>
                    </a:xfrm>
                    <a:prstGeom prst="rect">
                      <a:avLst/>
                    </a:prstGeom>
                    <a:noFill/>
                    <a:ln>
                      <a:noFill/>
                    </a:ln>
                    <a:extLst>
                      <a:ext uri="{53640926-AAD7-44D8-BBD7-CCE9431645EC}">
                        <a14:shadowObscured xmlns:a14="http://schemas.microsoft.com/office/drawing/2010/main"/>
                      </a:ext>
                    </a:extLst>
                  </pic:spPr>
                </pic:pic>
              </a:graphicData>
            </a:graphic>
          </wp:inline>
        </w:drawing>
      </w:r>
    </w:p>
    <w:p w:rsidR="00CB2519" w:rsidRPr="00A84003" w:rsidRDefault="00CB2519" w:rsidP="00CB2519">
      <w:pPr>
        <w:spacing w:line="360" w:lineRule="auto"/>
        <w:jc w:val="both"/>
        <w:rPr>
          <w:sz w:val="20"/>
          <w:szCs w:val="20"/>
        </w:rPr>
      </w:pPr>
      <w:r w:rsidRPr="00A84003">
        <w:rPr>
          <w:sz w:val="20"/>
          <w:szCs w:val="20"/>
        </w:rPr>
        <w:lastRenderedPageBreak/>
        <w:t>La política monetaria podría errar al determinar la orientación precisa para reducir la inflación. En las principales economías, las políticas podrían seguir avanzando por trayectorias divergentes, lo que provocaría una mayor apreciación del dólar de EE.UU. y tensiones transfronterizas. Nuevos shocks de los precios de la energía y los alimentos podrían prolongar la inflación persistente. En 2022, la inflación en el mundo tocó máximos no registrados en varias décadas. Desde entonces, la inflación general ha disminuido, pero los indicadores de la inflación básica han sido más rígidos. La fuerte inflación experimentada en los últimos dos años podría dar lugar a expectativas de una inflación persistentemente alta, lo que obstruiría las trayectorias que los bancos centrales habrían de seguir para lograr que la inflación retorne a los niveles fijados como meta. </w:t>
      </w:r>
    </w:p>
    <w:p w:rsidR="00CB2519" w:rsidRDefault="00CB2519" w:rsidP="00CB2519">
      <w:pPr>
        <w:spacing w:line="360" w:lineRule="auto"/>
        <w:jc w:val="both"/>
        <w:rPr>
          <w:sz w:val="20"/>
          <w:szCs w:val="20"/>
        </w:rPr>
      </w:pPr>
    </w:p>
    <w:p w:rsidR="00CB2519" w:rsidRPr="00A84003" w:rsidRDefault="00CB2519" w:rsidP="00CB2519">
      <w:pPr>
        <w:spacing w:line="360" w:lineRule="auto"/>
        <w:jc w:val="both"/>
        <w:rPr>
          <w:sz w:val="20"/>
          <w:szCs w:val="20"/>
        </w:rPr>
      </w:pPr>
      <w:r w:rsidRPr="00A84003">
        <w:rPr>
          <w:sz w:val="20"/>
          <w:szCs w:val="20"/>
        </w:rPr>
        <w:t>Las perspectivas divergentes de crecimiento en las distintas regiones son un obstáculo que entorpece el retorno a las tendencias del producto observadas antes de la pandemia. Pese a las señales de resiliencia a comienzos de 2023, es de prever que el efecto del endurecimiento de las políticas para reducir la inflación enfríe la actividad económica de ahora en adelante. Aunque están más equilibrados que antes gracias a que las autoridades suizas y estadounidenses actuaron con decisión para contener la turbulencia financiera, los riesgos para las perspectivas no dejan de inclinarse hacia un deterioro de la situación, lo que implica que las políticas tienen un margen de error reducido. La política monetaria debe mantener su curso para lograr que la inflación descienda a los niveles fijados como meta, en tanto la consolidación fiscal es necesaria para abordar la escalada de los niveles de deuda. Las reformas estructurales son cruciales para reactivar el crecimiento a mediano plazo en un contexto de escasos márgenes de maniobra para la aplicación de las políticas.</w:t>
      </w:r>
    </w:p>
    <w:p w:rsidR="00CB2519" w:rsidRPr="00A84003" w:rsidRDefault="00CB2519" w:rsidP="00CB2519">
      <w:pPr>
        <w:spacing w:line="360" w:lineRule="auto"/>
        <w:jc w:val="both"/>
        <w:rPr>
          <w:sz w:val="20"/>
          <w:szCs w:val="20"/>
        </w:rPr>
      </w:pPr>
    </w:p>
    <w:p w:rsidR="00CB2519" w:rsidRDefault="00CB2519" w:rsidP="00CB2519">
      <w:pPr>
        <w:spacing w:line="360" w:lineRule="auto"/>
        <w:jc w:val="both"/>
        <w:rPr>
          <w:sz w:val="20"/>
          <w:szCs w:val="20"/>
        </w:rPr>
      </w:pPr>
      <w:r w:rsidRPr="00A84003">
        <w:rPr>
          <w:sz w:val="20"/>
          <w:szCs w:val="20"/>
        </w:rPr>
        <w:t xml:space="preserve">La invasión rusa de Ucrania provocó la fragmentación de los principales mercados de materias primas y las tensiones geopolíticas podrían agravar aún más la situación; dado que las materias primas son especialmente vulnerables a la fragmentación debido a la concentración de la producción, el consumo que es difícil de sustituir y su crucial importancia para las tecnologías; </w:t>
      </w:r>
      <w:r w:rsidR="00AE72DA">
        <w:rPr>
          <w:sz w:val="20"/>
          <w:szCs w:val="20"/>
        </w:rPr>
        <w:t>u</w:t>
      </w:r>
      <w:r w:rsidRPr="00A84003">
        <w:rPr>
          <w:sz w:val="20"/>
          <w:szCs w:val="20"/>
        </w:rPr>
        <w:t xml:space="preserve">na mayor fragmentación causaría fuertes vaivenes de los precios de las materias primas y más volatilidad; las perturbaciones en el comercio de materias primas tendrían repercusiones muy desiguales en los diferentes países, aunque a escala mundial las pérdidas parecen ser moderadas gracias a efectos compensatorios en los distintos países. Como dependen mucho de las importaciones agrícolas, los países de ingreso bajo tendrían que asumir una proporción excesiva del costo económico, finalmente la fragmentación de los </w:t>
      </w:r>
      <w:r w:rsidRPr="00A84003">
        <w:rPr>
          <w:sz w:val="20"/>
          <w:szCs w:val="20"/>
        </w:rPr>
        <w:lastRenderedPageBreak/>
        <w:t>mercados de minerales elevaría el costo de la transición energética, algo que, en un escenario ilustrativo, reduciría en un tercio la inversión en energías renovables de aquí a 2030.</w:t>
      </w:r>
    </w:p>
    <w:p w:rsidR="00CB2519" w:rsidRDefault="00CB2519" w:rsidP="00CB2519">
      <w:pPr>
        <w:spacing w:line="360" w:lineRule="auto"/>
        <w:jc w:val="both"/>
        <w:rPr>
          <w:rFonts w:eastAsia="Calibri"/>
          <w:b/>
          <w:color w:val="000000" w:themeColor="text1"/>
          <w:sz w:val="20"/>
          <w:szCs w:val="20"/>
        </w:rPr>
      </w:pPr>
    </w:p>
    <w:p w:rsidR="00CB2519" w:rsidRDefault="00CB2519" w:rsidP="00CB2519">
      <w:pPr>
        <w:pStyle w:val="Prrafodelista"/>
        <w:numPr>
          <w:ilvl w:val="0"/>
          <w:numId w:val="14"/>
        </w:numPr>
        <w:spacing w:line="360" w:lineRule="auto"/>
        <w:jc w:val="both"/>
        <w:rPr>
          <w:rFonts w:eastAsia="Calibri"/>
          <w:b/>
          <w:color w:val="000000" w:themeColor="text1"/>
          <w:sz w:val="20"/>
          <w:szCs w:val="20"/>
        </w:rPr>
      </w:pPr>
      <w:r>
        <w:rPr>
          <w:rFonts w:eastAsia="Calibri"/>
          <w:b/>
          <w:color w:val="000000" w:themeColor="text1"/>
          <w:sz w:val="20"/>
          <w:szCs w:val="20"/>
        </w:rPr>
        <w:t>PANORAMA NACIONAL</w:t>
      </w:r>
    </w:p>
    <w:p w:rsidR="00CB2519" w:rsidRDefault="00CB2519" w:rsidP="00CB2519">
      <w:pPr>
        <w:spacing w:line="360" w:lineRule="auto"/>
        <w:jc w:val="both"/>
        <w:rPr>
          <w:color w:val="000000" w:themeColor="text1"/>
          <w:sz w:val="20"/>
          <w:szCs w:val="20"/>
        </w:rPr>
      </w:pPr>
    </w:p>
    <w:p w:rsidR="00CB2519" w:rsidRDefault="00CB2519" w:rsidP="00CB2519">
      <w:pPr>
        <w:spacing w:line="360" w:lineRule="auto"/>
        <w:jc w:val="both"/>
        <w:rPr>
          <w:sz w:val="20"/>
          <w:szCs w:val="20"/>
        </w:rPr>
      </w:pPr>
      <w:r>
        <w:rPr>
          <w:sz w:val="20"/>
          <w:szCs w:val="20"/>
        </w:rPr>
        <w:t>En el primer semestre de 2023, la economía de nuestro país presentó un crecimiento de 3.7% respecto al mismo periodo del año anterior. Esto fue resultado principalmente de factores domésticos como el sólido desempeño del consumo y los fondos de inversión privados, así como por el dinamismo del mercado laboral, resultado de las reformas ya descritas. Igualmente, a este crecimiento contribuyó el gasto público desplegado en los programas sociales y la inversión pública a través de los proyectos emblemáticos.</w:t>
      </w:r>
    </w:p>
    <w:p w:rsidR="00CB2519" w:rsidRDefault="00CB2519" w:rsidP="00CB2519">
      <w:pPr>
        <w:spacing w:line="360" w:lineRule="auto"/>
        <w:jc w:val="both"/>
        <w:rPr>
          <w:sz w:val="20"/>
          <w:szCs w:val="20"/>
        </w:rPr>
      </w:pPr>
    </w:p>
    <w:p w:rsidR="00CB2519" w:rsidRDefault="00CB2519" w:rsidP="00CB2519">
      <w:pPr>
        <w:spacing w:line="360" w:lineRule="auto"/>
        <w:jc w:val="both"/>
        <w:rPr>
          <w:sz w:val="20"/>
          <w:szCs w:val="20"/>
        </w:rPr>
      </w:pPr>
      <w:r>
        <w:rPr>
          <w:sz w:val="20"/>
          <w:szCs w:val="20"/>
        </w:rPr>
        <w:t>En este contexto, se prevé que, en 2023 y 2024, la economía mexicana alcance crecimientos reales anuales en rangos de entre 2.5 y 3.5% en ambos años, lo cual es superior a las estimaciones planteadas en el Paquete Económico 2023. Para el cierre de la administración, se espera que, por tercer año consecutivo, la economía mexicana crezca por arriba de la economía estadounidense, pero sobre todo con estabilidad macroeconómica y finanzas públicas sanas.</w:t>
      </w:r>
    </w:p>
    <w:p w:rsidR="00CB2519" w:rsidRDefault="00CB2519" w:rsidP="00CB2519">
      <w:pPr>
        <w:spacing w:line="360" w:lineRule="auto"/>
        <w:jc w:val="both"/>
        <w:rPr>
          <w:sz w:val="20"/>
          <w:szCs w:val="20"/>
        </w:rPr>
      </w:pPr>
    </w:p>
    <w:p w:rsidR="00CB2519" w:rsidRDefault="00CB2519" w:rsidP="00CB2519">
      <w:pPr>
        <w:spacing w:line="360" w:lineRule="auto"/>
        <w:jc w:val="both"/>
        <w:rPr>
          <w:sz w:val="20"/>
          <w:szCs w:val="20"/>
        </w:rPr>
      </w:pPr>
      <w:r>
        <w:rPr>
          <w:sz w:val="20"/>
          <w:szCs w:val="20"/>
        </w:rPr>
        <w:t>Según datos del Fondo Monetario  Internacional (FMI), la economía mexicana se encuentra en plena expansión. Se espera que el crecimiento sea del 3.2% en 2023, impulsado por la solidez del consumo del sector privado y la inversión, así como por un notable vigor de los sectores de servicios, la construcción y la producción de automóviles. Esto se ha traducido en unas tasas de desempleo históricamente bajas y unas tasas de utilización de la capacidad productiva históricamente altas. Las autoridades han mantenido la deuda pública bajo control. La política monetaria se centra acertadamente en reducir la inflación.</w:t>
      </w:r>
    </w:p>
    <w:p w:rsidR="00CB2519" w:rsidRDefault="00CB2519" w:rsidP="00CB2519">
      <w:pPr>
        <w:spacing w:line="360" w:lineRule="auto"/>
        <w:jc w:val="both"/>
        <w:rPr>
          <w:sz w:val="20"/>
          <w:szCs w:val="20"/>
        </w:rPr>
      </w:pPr>
    </w:p>
    <w:p w:rsidR="00CB2519" w:rsidRDefault="00CB2519" w:rsidP="00CB2519">
      <w:pPr>
        <w:spacing w:line="360" w:lineRule="auto"/>
        <w:jc w:val="both"/>
        <w:rPr>
          <w:sz w:val="20"/>
          <w:szCs w:val="20"/>
        </w:rPr>
      </w:pPr>
      <w:r>
        <w:rPr>
          <w:sz w:val="20"/>
          <w:szCs w:val="20"/>
        </w:rPr>
        <w:t>En el periodo enero a agosto, la inflación en México continuó con la tendencia a la baja iniciada desde finales de 2022 aunque, al igual que lo sucedido a nivel global, todavía no se situó dentro del rango objetivo determinado por el Banco de México. En particular, la inflación general se ubicó en promedio en 6.10%, y el componente subyacente y no subyacente en 7.42 y 2.22%, respectivamente.</w:t>
      </w:r>
    </w:p>
    <w:p w:rsidR="00CB2519" w:rsidRDefault="00CB2519" w:rsidP="00CB2519">
      <w:pPr>
        <w:spacing w:line="360" w:lineRule="auto"/>
        <w:jc w:val="both"/>
        <w:rPr>
          <w:sz w:val="20"/>
          <w:szCs w:val="20"/>
        </w:rPr>
      </w:pPr>
    </w:p>
    <w:p w:rsidR="00CB2519" w:rsidRDefault="00CB2519" w:rsidP="00CB2519">
      <w:pPr>
        <w:spacing w:line="360" w:lineRule="auto"/>
        <w:jc w:val="both"/>
        <w:rPr>
          <w:sz w:val="20"/>
          <w:szCs w:val="20"/>
        </w:rPr>
      </w:pPr>
      <w:r>
        <w:rPr>
          <w:sz w:val="20"/>
          <w:szCs w:val="20"/>
        </w:rPr>
        <w:lastRenderedPageBreak/>
        <w:t>En lo que resta de 2023, se prevé que la inflación general continúe aproximándose al intervalo superior del objetivo del Banco de México, apoyada por la apreciación del peso respecto del dólar y factores de oferta que se irán atenuando y que permitirá reducir presiones en bienes importados. Además, debido a una alta base de comparación respecto a 2022 principalmente de bienes alimenticios y, a la continuidad de los estímulos al IEPS de gasolinas que mitigará posibles aumentos en el precio de los hidrocarburos.</w:t>
      </w:r>
    </w:p>
    <w:p w:rsidR="00CB2519" w:rsidRDefault="00CB2519" w:rsidP="00CB2519">
      <w:pPr>
        <w:spacing w:line="360" w:lineRule="auto"/>
        <w:jc w:val="both"/>
        <w:rPr>
          <w:sz w:val="20"/>
          <w:szCs w:val="20"/>
        </w:rPr>
      </w:pPr>
    </w:p>
    <w:p w:rsidR="00CB2519" w:rsidRDefault="00CB2519" w:rsidP="00CB2519">
      <w:pPr>
        <w:spacing w:line="360" w:lineRule="auto"/>
        <w:jc w:val="both"/>
        <w:rPr>
          <w:sz w:val="20"/>
          <w:szCs w:val="20"/>
        </w:rPr>
      </w:pPr>
      <w:r>
        <w:rPr>
          <w:sz w:val="20"/>
          <w:szCs w:val="20"/>
        </w:rPr>
        <w:t>En el mercado laboral, en los primeros siete meses de 2023, continuaron los resultados positivos al registrarse aumentos continuos de la población ocupada y de las plazas registradas en el IMSS, niveles mínimos en la tasa de desempleo, así como crecimientos históricos de los salarios reales, entre otros. Con datos de la Encuesta Nacional de Ocupación y Empleo (ENOE), en el promedio de enero a julio de 2023, la población ocupada creció en 1.9 millones de personas respecto al mismo periodo del año anterior, lo cual superó el promedio de 916 mil personas registrado entre 2011 a 2019.</w:t>
      </w:r>
    </w:p>
    <w:p w:rsidR="00CB2519" w:rsidRDefault="00CB2519" w:rsidP="00CB2519">
      <w:pPr>
        <w:spacing w:line="360" w:lineRule="auto"/>
        <w:jc w:val="both"/>
        <w:rPr>
          <w:color w:val="FF0000"/>
          <w:sz w:val="20"/>
          <w:szCs w:val="20"/>
        </w:rPr>
      </w:pPr>
    </w:p>
    <w:p w:rsidR="00CB2519" w:rsidRDefault="00CB2519" w:rsidP="00CB2519">
      <w:pPr>
        <w:spacing w:line="360" w:lineRule="auto"/>
        <w:jc w:val="both"/>
        <w:rPr>
          <w:sz w:val="20"/>
          <w:szCs w:val="20"/>
        </w:rPr>
      </w:pPr>
      <w:r>
        <w:rPr>
          <w:sz w:val="20"/>
          <w:szCs w:val="20"/>
        </w:rPr>
        <w:t>Adicionalmente, se ha registrado un aumento del optimismo hacia los beneficios que trae la relocalización de los procesos productivos en México a través de flujos de inversión extranjera directa en sectores y regiones del país donde existe una alta ventaja comparativa, así como de las mayores facilidades logísticas que han favorecido el comercio global. En este contexto, en el primer semestre del año, el sector externo aportó al crecimiento económico cerca del 40% del total mediante el flujo de remesas y exportaciones manufactureras y agropecuarias, siendo que éstas últimas registraron niveles récord. Asimismo, los ingresos por turismo acumularon en el primer semestre del año un crecimiento de 12.8% anual con el respectivo beneficio para las actividades económicas nacionales relacionadas.</w:t>
      </w:r>
    </w:p>
    <w:p w:rsidR="00CB2519" w:rsidRDefault="00CB2519" w:rsidP="00CB2519">
      <w:pPr>
        <w:spacing w:line="360" w:lineRule="auto"/>
        <w:jc w:val="both"/>
        <w:rPr>
          <w:color w:val="FF0000"/>
          <w:sz w:val="20"/>
          <w:szCs w:val="20"/>
        </w:rPr>
      </w:pPr>
    </w:p>
    <w:p w:rsidR="00CB2519" w:rsidRDefault="00CB2519" w:rsidP="00CB2519">
      <w:pPr>
        <w:pStyle w:val="Prrafodelista"/>
        <w:numPr>
          <w:ilvl w:val="0"/>
          <w:numId w:val="14"/>
        </w:numPr>
        <w:spacing w:line="360" w:lineRule="auto"/>
        <w:jc w:val="both"/>
        <w:rPr>
          <w:rFonts w:eastAsia="Calibri"/>
          <w:b/>
          <w:color w:val="000000" w:themeColor="text1"/>
          <w:sz w:val="20"/>
          <w:szCs w:val="20"/>
        </w:rPr>
      </w:pPr>
      <w:r>
        <w:rPr>
          <w:rFonts w:eastAsia="Calibri"/>
          <w:b/>
          <w:color w:val="000000" w:themeColor="text1"/>
          <w:sz w:val="20"/>
          <w:szCs w:val="20"/>
        </w:rPr>
        <w:t>DISCIPLINA FINANCIERA</w:t>
      </w:r>
    </w:p>
    <w:p w:rsidR="00CB2519" w:rsidRDefault="00CB2519" w:rsidP="00CB2519">
      <w:pPr>
        <w:spacing w:line="360" w:lineRule="auto"/>
        <w:jc w:val="both"/>
        <w:rPr>
          <w:rFonts w:eastAsia="Calibri"/>
          <w:b/>
          <w:color w:val="000000" w:themeColor="text1"/>
          <w:sz w:val="20"/>
          <w:szCs w:val="20"/>
        </w:rPr>
      </w:pPr>
    </w:p>
    <w:p w:rsidR="00CB2519" w:rsidRDefault="00CB2519" w:rsidP="00CB2519">
      <w:pPr>
        <w:spacing w:line="360" w:lineRule="auto"/>
        <w:jc w:val="both"/>
        <w:rPr>
          <w:rFonts w:eastAsia="Calibri"/>
          <w:color w:val="000000" w:themeColor="text1"/>
          <w:sz w:val="20"/>
          <w:szCs w:val="20"/>
        </w:rPr>
      </w:pPr>
      <w:r>
        <w:rPr>
          <w:rFonts w:eastAsia="Calibri"/>
          <w:color w:val="000000" w:themeColor="text1"/>
          <w:sz w:val="20"/>
          <w:szCs w:val="20"/>
        </w:rPr>
        <w:t>El objetivo de la Ley de Disciplina Financiera de las Entidades Federativas y los Municipios, es promover finanzas públicas locales sostenibles, a través de reglas de disciplina financiera, el uso responsable de la deuda pública, así como el fortalecimiento de la transparencia y rendición de cuentas, entre otras medidas.</w:t>
      </w:r>
    </w:p>
    <w:p w:rsidR="00CB2519" w:rsidRDefault="00CB2519" w:rsidP="00CB2519">
      <w:pPr>
        <w:spacing w:line="360" w:lineRule="auto"/>
        <w:jc w:val="both"/>
        <w:rPr>
          <w:rFonts w:eastAsia="Calibri"/>
          <w:color w:val="000000" w:themeColor="text1"/>
          <w:sz w:val="20"/>
          <w:szCs w:val="20"/>
        </w:rPr>
      </w:pPr>
    </w:p>
    <w:p w:rsidR="00CB2519" w:rsidRDefault="00CB2519" w:rsidP="00CB2519">
      <w:pPr>
        <w:spacing w:line="360" w:lineRule="auto"/>
        <w:jc w:val="both"/>
        <w:rPr>
          <w:rFonts w:eastAsia="Calibri"/>
          <w:color w:val="000000" w:themeColor="text1"/>
          <w:sz w:val="20"/>
          <w:szCs w:val="20"/>
        </w:rPr>
      </w:pPr>
      <w:r>
        <w:rPr>
          <w:rFonts w:eastAsia="Calibri"/>
          <w:color w:val="000000" w:themeColor="text1"/>
          <w:sz w:val="20"/>
          <w:szCs w:val="20"/>
        </w:rPr>
        <w:lastRenderedPageBreak/>
        <w:t xml:space="preserve">El </w:t>
      </w:r>
      <w:r>
        <w:rPr>
          <w:rFonts w:eastAsia="Calibri"/>
          <w:sz w:val="20"/>
          <w:szCs w:val="20"/>
        </w:rPr>
        <w:t xml:space="preserve">Proyecto de Decreto de Presupuesto de Egresos del Estado de Tlaxcala para el Ejercicio Fiscal 2024 </w:t>
      </w:r>
      <w:r>
        <w:rPr>
          <w:rFonts w:eastAsia="Calibri"/>
          <w:color w:val="000000" w:themeColor="text1"/>
          <w:sz w:val="20"/>
          <w:szCs w:val="20"/>
        </w:rPr>
        <w:t>contiene en su estructura las diversas disposiciones establecidas en dicha Ley de Disciplina Financiera de las Entidades Federativas y los Municipios.</w:t>
      </w:r>
    </w:p>
    <w:p w:rsidR="00CB2519" w:rsidRDefault="00CB2519" w:rsidP="00CB2519">
      <w:pPr>
        <w:spacing w:line="360" w:lineRule="auto"/>
        <w:jc w:val="both"/>
        <w:rPr>
          <w:rFonts w:eastAsia="Calibri"/>
          <w:color w:val="000000" w:themeColor="text1"/>
          <w:sz w:val="20"/>
          <w:szCs w:val="20"/>
        </w:rPr>
      </w:pPr>
    </w:p>
    <w:p w:rsidR="00CB2519" w:rsidRDefault="00CB2519" w:rsidP="00CB2519">
      <w:pPr>
        <w:spacing w:line="360" w:lineRule="auto"/>
        <w:jc w:val="both"/>
        <w:rPr>
          <w:rFonts w:eastAsia="Calibri"/>
          <w:color w:val="000000" w:themeColor="text1"/>
          <w:sz w:val="20"/>
          <w:szCs w:val="20"/>
        </w:rPr>
      </w:pPr>
      <w:r>
        <w:rPr>
          <w:rFonts w:eastAsia="Calibri"/>
          <w:color w:val="000000" w:themeColor="text1"/>
          <w:sz w:val="20"/>
          <w:szCs w:val="20"/>
        </w:rPr>
        <w:t>En primer lugar, tiene sustento en el Plan Estatal de Desarrollo 2021-2027 y en las políticas estatales fijando objetivos, estrategias e indicadores de desempeño cuantificables y observando en su elaboración los Criterios Generales de Política Económica para la Iniciativa de Ley de Ingresos y el Proyecto de Presupuesto de Egresos de la Federación (CGPE) que presentó la SHCP para el ejercicio fiscal 2024.</w:t>
      </w:r>
    </w:p>
    <w:p w:rsidR="00CB2519" w:rsidRDefault="00CB2519" w:rsidP="00CB2519">
      <w:pPr>
        <w:spacing w:line="360" w:lineRule="auto"/>
        <w:jc w:val="both"/>
        <w:rPr>
          <w:rFonts w:eastAsia="Calibri"/>
          <w:color w:val="000000" w:themeColor="text1"/>
          <w:sz w:val="20"/>
          <w:szCs w:val="20"/>
        </w:rPr>
      </w:pPr>
    </w:p>
    <w:p w:rsidR="00CB2519" w:rsidRDefault="00CB2519" w:rsidP="00CB2519">
      <w:pPr>
        <w:spacing w:line="360" w:lineRule="auto"/>
        <w:jc w:val="both"/>
        <w:rPr>
          <w:rFonts w:eastAsia="Calibri"/>
          <w:color w:val="000000" w:themeColor="text1"/>
          <w:sz w:val="20"/>
          <w:szCs w:val="20"/>
        </w:rPr>
      </w:pPr>
      <w:r>
        <w:rPr>
          <w:rFonts w:eastAsia="Calibri"/>
          <w:color w:val="000000" w:themeColor="text1"/>
          <w:sz w:val="20"/>
          <w:szCs w:val="20"/>
        </w:rPr>
        <w:t>En concordancia con el proyecto nacional, en esta iniciativa se consideraron:</w:t>
      </w:r>
    </w:p>
    <w:p w:rsidR="00CB2519" w:rsidRDefault="00CB2519" w:rsidP="00CB2519">
      <w:pPr>
        <w:spacing w:line="360" w:lineRule="auto"/>
        <w:jc w:val="both"/>
        <w:rPr>
          <w:rFonts w:eastAsia="Calibri"/>
          <w:color w:val="000000" w:themeColor="text1"/>
          <w:sz w:val="20"/>
          <w:szCs w:val="20"/>
        </w:rPr>
      </w:pPr>
    </w:p>
    <w:p w:rsidR="00CB2519" w:rsidRDefault="00CB2519" w:rsidP="00CB2519">
      <w:pPr>
        <w:pStyle w:val="Prrafodelista"/>
        <w:numPr>
          <w:ilvl w:val="0"/>
          <w:numId w:val="42"/>
        </w:numPr>
        <w:spacing w:line="360" w:lineRule="auto"/>
        <w:jc w:val="both"/>
        <w:rPr>
          <w:rFonts w:eastAsia="Calibri"/>
          <w:color w:val="000000" w:themeColor="text1"/>
          <w:sz w:val="20"/>
          <w:szCs w:val="20"/>
        </w:rPr>
      </w:pPr>
      <w:r>
        <w:rPr>
          <w:rFonts w:eastAsia="Calibri"/>
          <w:color w:val="000000" w:themeColor="text1"/>
          <w:sz w:val="20"/>
          <w:szCs w:val="20"/>
        </w:rPr>
        <w:t>Objetivos anuales, estrategias y metas.</w:t>
      </w:r>
    </w:p>
    <w:p w:rsidR="00CB2519" w:rsidRDefault="00CB2519" w:rsidP="00CB2519">
      <w:pPr>
        <w:pStyle w:val="Prrafodelista"/>
        <w:numPr>
          <w:ilvl w:val="0"/>
          <w:numId w:val="42"/>
        </w:numPr>
        <w:spacing w:line="360" w:lineRule="auto"/>
        <w:jc w:val="both"/>
        <w:rPr>
          <w:rFonts w:eastAsia="Calibri"/>
          <w:color w:val="000000" w:themeColor="text1"/>
          <w:sz w:val="20"/>
          <w:szCs w:val="20"/>
        </w:rPr>
      </w:pPr>
      <w:r>
        <w:rPr>
          <w:rFonts w:eastAsia="Calibri"/>
          <w:color w:val="000000" w:themeColor="text1"/>
          <w:sz w:val="20"/>
          <w:szCs w:val="20"/>
        </w:rPr>
        <w:t>Las proyecciones de egresos en materia presupuestal.</w:t>
      </w:r>
    </w:p>
    <w:p w:rsidR="00CB2519" w:rsidRDefault="00CB2519" w:rsidP="00CB2519">
      <w:pPr>
        <w:pStyle w:val="Prrafodelista"/>
        <w:numPr>
          <w:ilvl w:val="0"/>
          <w:numId w:val="42"/>
        </w:numPr>
        <w:spacing w:line="360" w:lineRule="auto"/>
        <w:jc w:val="both"/>
        <w:rPr>
          <w:rFonts w:eastAsia="Calibri"/>
          <w:color w:val="000000" w:themeColor="text1"/>
          <w:sz w:val="20"/>
          <w:szCs w:val="20"/>
        </w:rPr>
      </w:pPr>
      <w:r>
        <w:rPr>
          <w:rFonts w:eastAsia="Calibri"/>
          <w:color w:val="000000" w:themeColor="text1"/>
          <w:sz w:val="20"/>
          <w:szCs w:val="20"/>
        </w:rPr>
        <w:t>Los riesgos para las finanzas públicas estatales.</w:t>
      </w:r>
    </w:p>
    <w:p w:rsidR="00CB2519" w:rsidRDefault="00CB2519" w:rsidP="00CB2519">
      <w:pPr>
        <w:pStyle w:val="Prrafodelista"/>
        <w:numPr>
          <w:ilvl w:val="0"/>
          <w:numId w:val="42"/>
        </w:numPr>
        <w:spacing w:line="360" w:lineRule="auto"/>
        <w:jc w:val="both"/>
        <w:rPr>
          <w:rFonts w:eastAsia="Calibri"/>
          <w:color w:val="000000" w:themeColor="text1"/>
          <w:sz w:val="20"/>
          <w:szCs w:val="20"/>
        </w:rPr>
      </w:pPr>
      <w:r>
        <w:rPr>
          <w:rFonts w:eastAsia="Calibri"/>
          <w:color w:val="000000" w:themeColor="text1"/>
          <w:sz w:val="20"/>
          <w:szCs w:val="20"/>
        </w:rPr>
        <w:t>Los resultados presupuestarios de los últimos cinco años.</w:t>
      </w:r>
    </w:p>
    <w:p w:rsidR="00CB2519" w:rsidRDefault="00CB2519" w:rsidP="00CB2519">
      <w:pPr>
        <w:pStyle w:val="Prrafodelista"/>
        <w:numPr>
          <w:ilvl w:val="0"/>
          <w:numId w:val="42"/>
        </w:numPr>
        <w:spacing w:line="360" w:lineRule="auto"/>
        <w:jc w:val="both"/>
        <w:rPr>
          <w:rFonts w:eastAsia="Calibri"/>
          <w:color w:val="000000" w:themeColor="text1"/>
          <w:sz w:val="20"/>
          <w:szCs w:val="20"/>
        </w:rPr>
      </w:pPr>
      <w:r>
        <w:rPr>
          <w:rFonts w:eastAsia="Calibri"/>
          <w:color w:val="000000" w:themeColor="text1"/>
          <w:sz w:val="20"/>
          <w:szCs w:val="20"/>
        </w:rPr>
        <w:t>Un estudio Actuarial de Pensiones de sus trabajadores.</w:t>
      </w:r>
    </w:p>
    <w:p w:rsidR="00CB2519" w:rsidRDefault="00CB2519" w:rsidP="00CB2519">
      <w:pPr>
        <w:pStyle w:val="Prrafodelista"/>
        <w:spacing w:line="360" w:lineRule="auto"/>
        <w:ind w:left="720"/>
        <w:jc w:val="both"/>
        <w:rPr>
          <w:rFonts w:eastAsia="Calibri"/>
          <w:color w:val="000000" w:themeColor="text1"/>
          <w:sz w:val="20"/>
          <w:szCs w:val="20"/>
        </w:rPr>
      </w:pPr>
    </w:p>
    <w:p w:rsidR="00CB2519" w:rsidRDefault="00CB2519" w:rsidP="00CB2519">
      <w:pPr>
        <w:spacing w:line="360" w:lineRule="auto"/>
        <w:jc w:val="both"/>
        <w:rPr>
          <w:rFonts w:eastAsia="Calibri"/>
          <w:color w:val="000000" w:themeColor="text1"/>
          <w:sz w:val="20"/>
          <w:szCs w:val="20"/>
        </w:rPr>
      </w:pPr>
      <w:r>
        <w:rPr>
          <w:rFonts w:eastAsia="Calibri"/>
          <w:color w:val="000000" w:themeColor="text1"/>
          <w:sz w:val="20"/>
          <w:szCs w:val="20"/>
        </w:rPr>
        <w:t xml:space="preserve">Asimismo, en el presente </w:t>
      </w:r>
      <w:r>
        <w:rPr>
          <w:rFonts w:eastAsia="Calibri"/>
          <w:sz w:val="20"/>
          <w:szCs w:val="20"/>
        </w:rPr>
        <w:t xml:space="preserve">Proyecto de Decreto de Presupuesto de Egresos del Estado de Tlaxcala para el Ejercicio Fiscal 2024, </w:t>
      </w:r>
      <w:r>
        <w:rPr>
          <w:rFonts w:eastAsia="Calibri"/>
          <w:color w:val="000000" w:themeColor="text1"/>
          <w:sz w:val="20"/>
          <w:szCs w:val="20"/>
        </w:rPr>
        <w:t>se prevén medidas y recursos para atender diversas situaciones que pudieran afectar las finanzas públicas, destacando las siguientes:</w:t>
      </w:r>
    </w:p>
    <w:p w:rsidR="00CB2519" w:rsidRDefault="00CB2519" w:rsidP="00CB2519">
      <w:pPr>
        <w:spacing w:line="360" w:lineRule="auto"/>
        <w:jc w:val="both"/>
        <w:rPr>
          <w:rFonts w:eastAsia="Calibri"/>
          <w:color w:val="000000" w:themeColor="text1"/>
          <w:sz w:val="20"/>
          <w:szCs w:val="20"/>
        </w:rPr>
      </w:pPr>
    </w:p>
    <w:p w:rsidR="00CB2519" w:rsidRDefault="00CB2519" w:rsidP="00CB2519">
      <w:pPr>
        <w:pStyle w:val="Prrafodelista"/>
        <w:numPr>
          <w:ilvl w:val="1"/>
          <w:numId w:val="43"/>
        </w:numPr>
        <w:spacing w:line="360" w:lineRule="auto"/>
        <w:jc w:val="both"/>
        <w:rPr>
          <w:rFonts w:eastAsia="Calibri"/>
          <w:color w:val="000000" w:themeColor="text1"/>
          <w:sz w:val="20"/>
          <w:szCs w:val="20"/>
        </w:rPr>
      </w:pPr>
      <w:r>
        <w:rPr>
          <w:rFonts w:eastAsia="Calibri"/>
          <w:b/>
          <w:color w:val="000000" w:themeColor="text1"/>
          <w:sz w:val="20"/>
          <w:szCs w:val="20"/>
        </w:rPr>
        <w:t>Pensiones</w:t>
      </w:r>
      <w:r>
        <w:rPr>
          <w:rFonts w:eastAsia="Calibri"/>
          <w:color w:val="000000" w:themeColor="text1"/>
          <w:sz w:val="20"/>
          <w:szCs w:val="20"/>
        </w:rPr>
        <w:t>.- Tema financiero que se desarrolla en el apartado de Riesgos Fiscales.</w:t>
      </w:r>
    </w:p>
    <w:p w:rsidR="00CB2519" w:rsidRDefault="00CB2519" w:rsidP="00CB2519">
      <w:pPr>
        <w:pStyle w:val="Prrafodelista"/>
        <w:numPr>
          <w:ilvl w:val="1"/>
          <w:numId w:val="43"/>
        </w:numPr>
        <w:spacing w:line="360" w:lineRule="auto"/>
        <w:jc w:val="both"/>
        <w:rPr>
          <w:rFonts w:eastAsia="Calibri"/>
          <w:color w:val="000000" w:themeColor="text1"/>
          <w:sz w:val="20"/>
          <w:szCs w:val="20"/>
        </w:rPr>
      </w:pPr>
      <w:r>
        <w:rPr>
          <w:rFonts w:eastAsia="Calibri"/>
          <w:b/>
          <w:color w:val="000000" w:themeColor="text1"/>
          <w:sz w:val="20"/>
          <w:szCs w:val="20"/>
        </w:rPr>
        <w:t>Desastres naturales</w:t>
      </w:r>
      <w:r>
        <w:rPr>
          <w:rFonts w:eastAsia="Calibri"/>
          <w:color w:val="000000" w:themeColor="text1"/>
          <w:sz w:val="20"/>
          <w:szCs w:val="20"/>
        </w:rPr>
        <w:t>.- Los recursos para la aportación al fondo específico para desastres naturales, se realizarán durante el ejercicio con recursos excedentes como lo establece el Código Financiero para el Estado de Tlaxcala y sus Municipios, para cubrir el costo de daños en infraestructura pública y atender a la población afectada. Los recursos se deberán depositar en el fideicomiso de administración y pago correspondiente.</w:t>
      </w:r>
    </w:p>
    <w:p w:rsidR="00CB2519" w:rsidRDefault="00CB2519" w:rsidP="00CB2519">
      <w:pPr>
        <w:pStyle w:val="Prrafodelista"/>
        <w:numPr>
          <w:ilvl w:val="1"/>
          <w:numId w:val="43"/>
        </w:numPr>
        <w:spacing w:line="360" w:lineRule="auto"/>
        <w:jc w:val="both"/>
        <w:rPr>
          <w:rFonts w:eastAsia="Calibri"/>
          <w:sz w:val="20"/>
          <w:szCs w:val="20"/>
        </w:rPr>
      </w:pPr>
      <w:r>
        <w:rPr>
          <w:rFonts w:eastAsia="Calibri"/>
          <w:b/>
          <w:sz w:val="20"/>
          <w:szCs w:val="20"/>
        </w:rPr>
        <w:t>Servicios personales</w:t>
      </w:r>
      <w:r>
        <w:rPr>
          <w:rFonts w:eastAsia="Calibri"/>
          <w:sz w:val="20"/>
          <w:szCs w:val="20"/>
        </w:rPr>
        <w:t xml:space="preserve">.- Se incluye una sección específica correspondiente al gasto en servicios personales, el cual comprende las remuneraciones de los servidores públicos, desglosando las percepciones ordinarias y extraordinarias, e incluyendo </w:t>
      </w:r>
      <w:r>
        <w:rPr>
          <w:rFonts w:eastAsia="Calibri"/>
          <w:sz w:val="20"/>
          <w:szCs w:val="20"/>
        </w:rPr>
        <w:lastRenderedPageBreak/>
        <w:t xml:space="preserve">las erogaciones por concepto de obligaciones de carácter fiscal y de seguridad social inherentes a las mismas. </w:t>
      </w:r>
    </w:p>
    <w:p w:rsidR="00CB2519" w:rsidRDefault="00CB2519" w:rsidP="00CB2519">
      <w:pPr>
        <w:pStyle w:val="Prrafodelista"/>
        <w:numPr>
          <w:ilvl w:val="1"/>
          <w:numId w:val="43"/>
        </w:numPr>
        <w:spacing w:line="360" w:lineRule="auto"/>
        <w:jc w:val="both"/>
        <w:rPr>
          <w:rFonts w:eastAsia="Calibri"/>
          <w:color w:val="000000" w:themeColor="text1"/>
          <w:sz w:val="20"/>
          <w:szCs w:val="20"/>
        </w:rPr>
      </w:pPr>
      <w:r>
        <w:rPr>
          <w:rFonts w:eastAsia="Calibri"/>
          <w:b/>
          <w:color w:val="000000" w:themeColor="text1"/>
          <w:sz w:val="20"/>
          <w:szCs w:val="20"/>
        </w:rPr>
        <w:t>Excedentes presupuestarios</w:t>
      </w:r>
      <w:r>
        <w:rPr>
          <w:rFonts w:eastAsia="Calibri"/>
          <w:color w:val="000000" w:themeColor="text1"/>
          <w:sz w:val="20"/>
          <w:szCs w:val="20"/>
        </w:rPr>
        <w:t>.- Por otro lado, en el proyecto se establece que, en caso de cumplirse o rebasarse las expectativas económicas previstas, los excedentes presupuestarios que se determinen, deberán aplicarse, de conformidad con lo establecido en el Código Financiero para el Estado de Tlaxcala y sus Municipios como sigue:</w:t>
      </w:r>
    </w:p>
    <w:p w:rsidR="00CB2519" w:rsidRDefault="00CB2519" w:rsidP="00CB2519">
      <w:pPr>
        <w:spacing w:line="360" w:lineRule="auto"/>
        <w:jc w:val="both"/>
        <w:rPr>
          <w:rFonts w:eastAsia="Calibri"/>
          <w:color w:val="000000" w:themeColor="text1"/>
          <w:sz w:val="20"/>
          <w:szCs w:val="20"/>
        </w:rPr>
      </w:pPr>
    </w:p>
    <w:p w:rsidR="00CB2519" w:rsidRDefault="00CB2519" w:rsidP="00CB2519">
      <w:pPr>
        <w:pStyle w:val="Prrafodelista"/>
        <w:numPr>
          <w:ilvl w:val="2"/>
          <w:numId w:val="44"/>
        </w:numPr>
        <w:spacing w:line="360" w:lineRule="auto"/>
        <w:jc w:val="both"/>
        <w:rPr>
          <w:rFonts w:eastAsia="Calibri"/>
          <w:color w:val="000000" w:themeColor="text1"/>
          <w:sz w:val="20"/>
          <w:szCs w:val="20"/>
        </w:rPr>
      </w:pPr>
      <w:r>
        <w:rPr>
          <w:rFonts w:eastAsia="Calibri"/>
          <w:color w:val="000000" w:themeColor="text1"/>
          <w:sz w:val="20"/>
          <w:szCs w:val="20"/>
        </w:rPr>
        <w:t>Por lo menos el 50 por ciento para la amortización anticipada de la Deuda Pública, el pago de adeudos de ejercicios fiscales anteriores, pasivos circulantes y otras obligaciones, en cuyos contratos se haya pactado el pago anticipado sin incurrir en penalidades y representen una disminución del saldo registrado en la cuenta pública del cierre del ejercicio inmediato anterior, así como el pago de sentencias definitivas emitidas por la autoridad competente, la aportación a fondos para la atención de desastres naturales y de pensiones, y</w:t>
      </w:r>
    </w:p>
    <w:p w:rsidR="00CB2519" w:rsidRDefault="00CB2519" w:rsidP="00CB2519">
      <w:pPr>
        <w:pStyle w:val="Prrafodelista"/>
        <w:numPr>
          <w:ilvl w:val="2"/>
          <w:numId w:val="44"/>
        </w:numPr>
        <w:spacing w:line="360" w:lineRule="auto"/>
        <w:jc w:val="both"/>
        <w:rPr>
          <w:rFonts w:eastAsia="Calibri"/>
          <w:color w:val="000000" w:themeColor="text1"/>
          <w:sz w:val="20"/>
          <w:szCs w:val="20"/>
        </w:rPr>
      </w:pPr>
      <w:r>
        <w:rPr>
          <w:rFonts w:eastAsia="Calibri"/>
          <w:color w:val="000000" w:themeColor="text1"/>
          <w:sz w:val="20"/>
          <w:szCs w:val="20"/>
        </w:rPr>
        <w:t>En su caso, el remanente para: Inversión pública productiva, a través del Fondo de Inversión Pública Productiva Estatal o Municipal, según sea el caso, con el fin de que los recursos correspondientes se ejerzan a más tardar en el ejercicio inmediato siguiente y el Fondo de Compensación Estatal o Municipal, según sea el caso, que tiene por objeto compensar la caída de Ingresos de libre disposición de ejercicios subsecuentes.</w:t>
      </w:r>
    </w:p>
    <w:p w:rsidR="00CB2519" w:rsidRDefault="00CB2519" w:rsidP="00CB2519">
      <w:pPr>
        <w:pStyle w:val="Prrafodelista"/>
        <w:spacing w:line="360" w:lineRule="auto"/>
        <w:ind w:left="1440"/>
        <w:jc w:val="both"/>
        <w:rPr>
          <w:rFonts w:eastAsia="Calibri"/>
          <w:color w:val="000000" w:themeColor="text1"/>
          <w:sz w:val="20"/>
          <w:szCs w:val="20"/>
        </w:rPr>
      </w:pPr>
    </w:p>
    <w:p w:rsidR="00CB2519" w:rsidRDefault="00CB2519" w:rsidP="00CB2519">
      <w:pPr>
        <w:spacing w:line="360" w:lineRule="auto"/>
        <w:jc w:val="both"/>
        <w:rPr>
          <w:rFonts w:eastAsia="Calibri"/>
          <w:color w:val="000000" w:themeColor="text1"/>
          <w:sz w:val="20"/>
          <w:szCs w:val="20"/>
        </w:rPr>
      </w:pPr>
      <w:r>
        <w:rPr>
          <w:rFonts w:eastAsia="Calibri"/>
          <w:color w:val="000000" w:themeColor="text1"/>
          <w:sz w:val="20"/>
          <w:szCs w:val="20"/>
        </w:rPr>
        <w:t>Los ingresos excedentes podrán destinarse a los rubros mencionados sin limitación alguna, siempre y cuando el Estado se clasifique en un nivel de endeudamiento sostenible de acuerdo con el Sistema de Alertas.</w:t>
      </w:r>
    </w:p>
    <w:p w:rsidR="00CB2519" w:rsidRDefault="00CB2519" w:rsidP="00CB2519">
      <w:pPr>
        <w:spacing w:line="360" w:lineRule="auto"/>
        <w:jc w:val="both"/>
        <w:rPr>
          <w:rFonts w:eastAsia="Calibri"/>
          <w:color w:val="000000" w:themeColor="text1"/>
          <w:sz w:val="20"/>
          <w:szCs w:val="20"/>
        </w:rPr>
      </w:pPr>
    </w:p>
    <w:p w:rsidR="00CB2519" w:rsidRDefault="00CB2519" w:rsidP="00CB2519">
      <w:pPr>
        <w:spacing w:line="360" w:lineRule="auto"/>
        <w:jc w:val="both"/>
        <w:rPr>
          <w:rFonts w:eastAsia="Calibri"/>
          <w:color w:val="000000" w:themeColor="text1"/>
          <w:sz w:val="20"/>
          <w:szCs w:val="20"/>
        </w:rPr>
      </w:pPr>
      <w:r>
        <w:rPr>
          <w:rFonts w:eastAsia="Calibri"/>
          <w:color w:val="000000" w:themeColor="text1"/>
          <w:sz w:val="20"/>
          <w:szCs w:val="20"/>
        </w:rPr>
        <w:t>Y por la Ley de Disciplina Financiera de las Entidades Federativas y los Municipios que enuncia lo siguiente:</w:t>
      </w:r>
    </w:p>
    <w:p w:rsidR="00CB2519" w:rsidRDefault="00CB2519" w:rsidP="00CB2519">
      <w:pPr>
        <w:pStyle w:val="Prrafodelista"/>
        <w:numPr>
          <w:ilvl w:val="0"/>
          <w:numId w:val="45"/>
        </w:numPr>
        <w:spacing w:line="360" w:lineRule="auto"/>
        <w:jc w:val="both"/>
        <w:rPr>
          <w:rFonts w:eastAsia="Calibri"/>
          <w:color w:val="000000" w:themeColor="text1"/>
          <w:sz w:val="20"/>
          <w:szCs w:val="20"/>
        </w:rPr>
      </w:pPr>
      <w:r>
        <w:rPr>
          <w:sz w:val="20"/>
          <w:szCs w:val="20"/>
        </w:rPr>
        <w:t>Cuando la Entidad Federativa se clasifique en un nivel de endeudamiento sostenible de acuerdo con el Sistema de Alertas, podrá utilizar hasta un 5 por ciento de los recursos a los que se refiere el presente artículo para cubrir Gasto Corriente.</w:t>
      </w:r>
    </w:p>
    <w:p w:rsidR="00CB2519" w:rsidRDefault="00CB2519" w:rsidP="00CB2519">
      <w:pPr>
        <w:spacing w:line="360" w:lineRule="auto"/>
        <w:jc w:val="both"/>
        <w:rPr>
          <w:rFonts w:eastAsia="Calibri"/>
          <w:color w:val="000000" w:themeColor="text1"/>
          <w:sz w:val="10"/>
          <w:szCs w:val="10"/>
        </w:rPr>
      </w:pPr>
    </w:p>
    <w:p w:rsidR="00CB2519" w:rsidRDefault="00CB2519" w:rsidP="00CB2519">
      <w:pPr>
        <w:spacing w:line="360" w:lineRule="auto"/>
        <w:jc w:val="both"/>
        <w:rPr>
          <w:rFonts w:eastAsia="Calibri"/>
          <w:color w:val="000000" w:themeColor="text1"/>
          <w:sz w:val="20"/>
          <w:szCs w:val="20"/>
        </w:rPr>
      </w:pPr>
      <w:r>
        <w:rPr>
          <w:rFonts w:eastAsia="Calibri"/>
          <w:color w:val="000000" w:themeColor="text1"/>
          <w:sz w:val="20"/>
          <w:szCs w:val="20"/>
        </w:rPr>
        <w:t xml:space="preserve">Los Municipios y demás entes públicos se apegarán a la misma regla, conforme lo previsto en el Código Financiero para el Estado </w:t>
      </w:r>
      <w:r w:rsidR="00AE72DA">
        <w:rPr>
          <w:rFonts w:eastAsia="Calibri"/>
          <w:color w:val="000000" w:themeColor="text1"/>
          <w:sz w:val="20"/>
          <w:szCs w:val="20"/>
        </w:rPr>
        <w:t xml:space="preserve">de </w:t>
      </w:r>
      <w:r>
        <w:rPr>
          <w:rFonts w:eastAsia="Calibri"/>
          <w:color w:val="000000" w:themeColor="text1"/>
          <w:sz w:val="20"/>
          <w:szCs w:val="20"/>
        </w:rPr>
        <w:t>Tlaxcala y sus Municipios.</w:t>
      </w:r>
    </w:p>
    <w:p w:rsidR="00CB2519" w:rsidRDefault="00CB2519" w:rsidP="00CB2519">
      <w:pPr>
        <w:spacing w:line="360" w:lineRule="auto"/>
        <w:jc w:val="both"/>
        <w:rPr>
          <w:rFonts w:eastAsia="Calibri"/>
          <w:b/>
          <w:bCs/>
          <w:sz w:val="20"/>
          <w:szCs w:val="20"/>
        </w:rPr>
      </w:pPr>
    </w:p>
    <w:p w:rsidR="00CB2519" w:rsidRDefault="00CB2519" w:rsidP="00CB2519">
      <w:pPr>
        <w:pStyle w:val="Prrafodelista"/>
        <w:numPr>
          <w:ilvl w:val="0"/>
          <w:numId w:val="14"/>
        </w:numPr>
        <w:spacing w:line="360" w:lineRule="auto"/>
        <w:jc w:val="both"/>
        <w:rPr>
          <w:b/>
          <w:sz w:val="20"/>
          <w:szCs w:val="20"/>
        </w:rPr>
      </w:pPr>
      <w:r>
        <w:rPr>
          <w:rFonts w:eastAsia="Calibri"/>
          <w:b/>
          <w:bCs/>
          <w:sz w:val="20"/>
          <w:szCs w:val="20"/>
        </w:rPr>
        <w:t>PERSPECTIVAS ECONÓMICAS Y FISCALES DEL ESTADO DE TLAXCALA 2024-2029.</w:t>
      </w:r>
    </w:p>
    <w:p w:rsidR="00CB2519" w:rsidRDefault="00CB2519" w:rsidP="00CB2519">
      <w:pPr>
        <w:spacing w:line="360" w:lineRule="auto"/>
        <w:jc w:val="both"/>
        <w:rPr>
          <w:sz w:val="10"/>
          <w:szCs w:val="10"/>
        </w:rPr>
      </w:pPr>
    </w:p>
    <w:p w:rsidR="00CB2519" w:rsidRDefault="00CB2519" w:rsidP="00CB2519">
      <w:pPr>
        <w:spacing w:line="360" w:lineRule="auto"/>
        <w:jc w:val="both"/>
        <w:rPr>
          <w:sz w:val="20"/>
          <w:szCs w:val="20"/>
        </w:rPr>
      </w:pPr>
      <w:r>
        <w:rPr>
          <w:sz w:val="20"/>
          <w:szCs w:val="20"/>
        </w:rPr>
        <w:t>La Secretaría de Hacienda y Crédito Público estima que la economía mexicana alcanzará un crecimiento real de entre 2.5 y 3.5% anual en 2023, ligeramente superior a las estimaciones presentadas en el Paquete Económico 2023. No obstante, el desempeño de la inflación continuará siendo afectado por los conflictos geopolíticos y el comportamiento de la economía global. Si bien las presiones de energéticos y alimentos han ido disminuyendo, no se descarta que factores climatológicos pudieran continuar afectando la formación de precios en 2024. En este contexto, se estima que la inflación cierre el año en 3.8%.</w:t>
      </w:r>
    </w:p>
    <w:p w:rsidR="00CB2519" w:rsidRDefault="00CB2519" w:rsidP="00CB2519">
      <w:pPr>
        <w:spacing w:line="360" w:lineRule="auto"/>
        <w:jc w:val="center"/>
        <w:rPr>
          <w:sz w:val="20"/>
          <w:szCs w:val="20"/>
        </w:rPr>
      </w:pPr>
      <w:r>
        <w:rPr>
          <w:noProof/>
          <w:lang w:val="es-MX" w:eastAsia="es-MX"/>
        </w:rPr>
        <w:drawing>
          <wp:inline distT="0" distB="0" distL="0" distR="0" wp14:anchorId="4FB94E7E" wp14:editId="130507A6">
            <wp:extent cx="5010785" cy="2962910"/>
            <wp:effectExtent l="0" t="0" r="0" b="8890"/>
            <wp:docPr id="1065171238" name="Imagen 1065171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a:extLst>
                        <a:ext uri="{28A0092B-C50C-407E-A947-70E740481C1C}">
                          <a14:useLocalDpi xmlns:a14="http://schemas.microsoft.com/office/drawing/2010/main" val="0"/>
                        </a:ext>
                      </a:extLst>
                    </a:blip>
                    <a:srcRect l="22037" t="30357" r="23076" b="11906"/>
                    <a:stretch>
                      <a:fillRect/>
                    </a:stretch>
                  </pic:blipFill>
                  <pic:spPr bwMode="auto">
                    <a:xfrm>
                      <a:off x="0" y="0"/>
                      <a:ext cx="5010785" cy="2962910"/>
                    </a:xfrm>
                    <a:prstGeom prst="rect">
                      <a:avLst/>
                    </a:prstGeom>
                    <a:noFill/>
                    <a:ln>
                      <a:noFill/>
                    </a:ln>
                  </pic:spPr>
                </pic:pic>
              </a:graphicData>
            </a:graphic>
          </wp:inline>
        </w:drawing>
      </w:r>
    </w:p>
    <w:p w:rsidR="00CB2519" w:rsidRDefault="00CB2519" w:rsidP="00CB2519">
      <w:pPr>
        <w:spacing w:line="360" w:lineRule="auto"/>
        <w:jc w:val="both"/>
        <w:rPr>
          <w:sz w:val="20"/>
          <w:szCs w:val="20"/>
        </w:rPr>
      </w:pPr>
      <w:r>
        <w:rPr>
          <w:sz w:val="20"/>
          <w:szCs w:val="20"/>
        </w:rPr>
        <w:t xml:space="preserve">Con base en el cuadro anterior, se puede observar que se estima que en el periodo 2023-2029 el PIB de México registre un crecimiento real anual de entre 2.0% y 3.5%. Específicamente, la estimación real del crecimiento del PIB para 2024 en adelante se ubica en un rango de 2.5% y 3.5%. </w:t>
      </w:r>
    </w:p>
    <w:p w:rsidR="00505BAF" w:rsidRDefault="00505BAF" w:rsidP="00CB2519">
      <w:pPr>
        <w:spacing w:line="360" w:lineRule="auto"/>
        <w:jc w:val="both"/>
        <w:rPr>
          <w:sz w:val="20"/>
          <w:szCs w:val="20"/>
        </w:rPr>
      </w:pPr>
    </w:p>
    <w:p w:rsidR="00CB2519" w:rsidRDefault="00CB2519" w:rsidP="00CB2519">
      <w:pPr>
        <w:spacing w:line="360" w:lineRule="auto"/>
        <w:jc w:val="both"/>
        <w:rPr>
          <w:sz w:val="20"/>
          <w:szCs w:val="20"/>
        </w:rPr>
      </w:pPr>
      <w:r>
        <w:rPr>
          <w:sz w:val="20"/>
          <w:szCs w:val="20"/>
        </w:rPr>
        <w:lastRenderedPageBreak/>
        <w:t>En el siguiente cuadro se presentan las perspectivas de finanzas públicas de mediano plazo para el Estado de Tlaxcala.</w:t>
      </w:r>
    </w:p>
    <w:p w:rsidR="00CB2519" w:rsidRDefault="00AE72DA" w:rsidP="00CB2519">
      <w:pPr>
        <w:spacing w:line="360" w:lineRule="auto"/>
        <w:jc w:val="both"/>
        <w:rPr>
          <w:sz w:val="20"/>
          <w:szCs w:val="20"/>
        </w:rPr>
      </w:pPr>
      <w:r w:rsidRPr="00AE72DA">
        <w:rPr>
          <w:noProof/>
          <w:lang w:val="es-MX" w:eastAsia="es-MX"/>
        </w:rPr>
        <w:drawing>
          <wp:inline distT="0" distB="0" distL="0" distR="0">
            <wp:extent cx="4695825" cy="6549772"/>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99785" cy="6555295"/>
                    </a:xfrm>
                    <a:prstGeom prst="rect">
                      <a:avLst/>
                    </a:prstGeom>
                    <a:noFill/>
                    <a:ln>
                      <a:noFill/>
                    </a:ln>
                  </pic:spPr>
                </pic:pic>
              </a:graphicData>
            </a:graphic>
          </wp:inline>
        </w:drawing>
      </w:r>
    </w:p>
    <w:p w:rsidR="00CB2519" w:rsidRDefault="00CB2519" w:rsidP="00CB2519">
      <w:pPr>
        <w:pStyle w:val="Prrafodelista"/>
        <w:numPr>
          <w:ilvl w:val="0"/>
          <w:numId w:val="14"/>
        </w:numPr>
        <w:spacing w:line="360" w:lineRule="auto"/>
        <w:jc w:val="both"/>
        <w:rPr>
          <w:rFonts w:eastAsia="Calibri"/>
          <w:b/>
          <w:bCs/>
          <w:sz w:val="20"/>
          <w:szCs w:val="20"/>
        </w:rPr>
      </w:pPr>
      <w:r>
        <w:rPr>
          <w:rFonts w:eastAsia="Calibri"/>
          <w:b/>
          <w:bCs/>
          <w:sz w:val="20"/>
          <w:szCs w:val="20"/>
        </w:rPr>
        <w:lastRenderedPageBreak/>
        <w:t>RIESGOS FISCALES</w:t>
      </w:r>
    </w:p>
    <w:p w:rsidR="00CB2519" w:rsidRDefault="00CB2519" w:rsidP="00CB2519">
      <w:pPr>
        <w:spacing w:line="360" w:lineRule="auto"/>
        <w:jc w:val="both"/>
        <w:rPr>
          <w:rFonts w:eastAsia="Calibri"/>
          <w:b/>
          <w:bCs/>
          <w:sz w:val="20"/>
          <w:szCs w:val="20"/>
        </w:rPr>
      </w:pPr>
    </w:p>
    <w:p w:rsidR="00CB2519" w:rsidRDefault="00CB2519" w:rsidP="00CB2519">
      <w:pPr>
        <w:spacing w:line="360" w:lineRule="auto"/>
        <w:jc w:val="both"/>
        <w:rPr>
          <w:sz w:val="20"/>
          <w:szCs w:val="20"/>
        </w:rPr>
      </w:pPr>
      <w:r>
        <w:rPr>
          <w:sz w:val="20"/>
          <w:szCs w:val="20"/>
        </w:rPr>
        <w:t>Los riesgos fiscales de largo plazo para las finanzas públicas del Estado se pueden definir como obligaciones no transitorias, cuya dinámica depende, entre otros, del desempeño de las variables macroeconómicas en el corto plazo.</w:t>
      </w:r>
    </w:p>
    <w:p w:rsidR="00CB2519" w:rsidRDefault="00CB2519" w:rsidP="00CB2519">
      <w:pPr>
        <w:spacing w:line="360" w:lineRule="auto"/>
        <w:jc w:val="both"/>
        <w:rPr>
          <w:sz w:val="20"/>
          <w:szCs w:val="20"/>
        </w:rPr>
      </w:pPr>
    </w:p>
    <w:p w:rsidR="00CB2519" w:rsidRDefault="00CB2519" w:rsidP="00CB2519">
      <w:pPr>
        <w:spacing w:line="360" w:lineRule="auto"/>
        <w:jc w:val="both"/>
        <w:rPr>
          <w:sz w:val="20"/>
          <w:szCs w:val="20"/>
        </w:rPr>
      </w:pPr>
      <w:r>
        <w:rPr>
          <w:sz w:val="20"/>
          <w:szCs w:val="20"/>
        </w:rPr>
        <w:t>Para poder garantizar la estabilidad macroeconómica y la sostenibilidad de las finanzas públicas, incluso en escenarios extremos con poca probabilidad de concurrencia, el Gobierno Estatal diseña e implementa la política económica y fiscal bajo un esquema de prevención de riesgos de corto plazo.</w:t>
      </w:r>
    </w:p>
    <w:p w:rsidR="00CB2519" w:rsidRDefault="00CB2519" w:rsidP="00CB2519">
      <w:pPr>
        <w:spacing w:line="360" w:lineRule="auto"/>
        <w:jc w:val="both"/>
        <w:rPr>
          <w:sz w:val="20"/>
          <w:szCs w:val="20"/>
        </w:rPr>
      </w:pPr>
    </w:p>
    <w:p w:rsidR="00CB2519" w:rsidRDefault="00CB2519" w:rsidP="00CB2519">
      <w:pPr>
        <w:spacing w:line="360" w:lineRule="auto"/>
        <w:jc w:val="both"/>
        <w:rPr>
          <w:sz w:val="20"/>
          <w:szCs w:val="20"/>
        </w:rPr>
      </w:pPr>
      <w:r>
        <w:rPr>
          <w:sz w:val="20"/>
          <w:szCs w:val="20"/>
        </w:rPr>
        <w:t>Las estimaciones de finanzas públicas para 2024 consideran un marco macroeconómico prudente que incorpora las perspectivas de los principales indicadores económicos para el año. No obstante, se debe considerar que durante el ejercicio fiscal se pueden presentar choques macroeconómicos y otros factores inusuales que generen desviaciones con respecto a lo previsto en el Paquete Económico.</w:t>
      </w:r>
    </w:p>
    <w:p w:rsidR="00CB2519" w:rsidRDefault="00CB2519" w:rsidP="00CB2519">
      <w:pPr>
        <w:spacing w:line="360" w:lineRule="auto"/>
        <w:jc w:val="both"/>
        <w:rPr>
          <w:sz w:val="20"/>
          <w:szCs w:val="20"/>
        </w:rPr>
      </w:pPr>
    </w:p>
    <w:p w:rsidR="00CB2519" w:rsidRDefault="00CB2519" w:rsidP="00CB2519">
      <w:pPr>
        <w:spacing w:line="360" w:lineRule="auto"/>
        <w:jc w:val="both"/>
        <w:rPr>
          <w:sz w:val="20"/>
          <w:szCs w:val="20"/>
        </w:rPr>
      </w:pPr>
      <w:r>
        <w:rPr>
          <w:sz w:val="20"/>
          <w:szCs w:val="20"/>
        </w:rPr>
        <w:t>Existen factores que pudieran afectar las finanzas públicas y que, por su naturaleza, podrían ser difíciles de anticipar. Por ello, el Gobierno Federal cuenta con un conjunto de amortiguadores fiscales con la finalidad de disminuir el impacto que pudieran tener éstos sobre las finanzas públicas del país, entre los cuales destacan:</w:t>
      </w:r>
    </w:p>
    <w:p w:rsidR="00CB2519" w:rsidRDefault="00CB2519" w:rsidP="00CB2519">
      <w:pPr>
        <w:spacing w:line="360" w:lineRule="auto"/>
        <w:jc w:val="both"/>
        <w:rPr>
          <w:sz w:val="20"/>
          <w:szCs w:val="20"/>
        </w:rPr>
      </w:pPr>
    </w:p>
    <w:p w:rsidR="00CB2519" w:rsidRDefault="00CB2519" w:rsidP="00CB2519">
      <w:pPr>
        <w:pStyle w:val="Prrafodelista"/>
        <w:numPr>
          <w:ilvl w:val="0"/>
          <w:numId w:val="46"/>
        </w:numPr>
        <w:spacing w:line="360" w:lineRule="auto"/>
        <w:jc w:val="both"/>
        <w:rPr>
          <w:rFonts w:eastAsia="Calibri"/>
          <w:sz w:val="20"/>
          <w:szCs w:val="20"/>
        </w:rPr>
      </w:pPr>
      <w:r>
        <w:rPr>
          <w:rFonts w:eastAsia="Calibri"/>
          <w:sz w:val="20"/>
          <w:szCs w:val="20"/>
        </w:rPr>
        <w:t xml:space="preserve">Una estrategia de coberturas petroleras para cubrir la exposición de los ingresos del Gobierno Federal ante reducciones en los precios del crudo; </w:t>
      </w:r>
    </w:p>
    <w:p w:rsidR="00CB2519" w:rsidRDefault="00CB2519" w:rsidP="00CB2519">
      <w:pPr>
        <w:pStyle w:val="Prrafodelista"/>
        <w:numPr>
          <w:ilvl w:val="0"/>
          <w:numId w:val="46"/>
        </w:numPr>
        <w:spacing w:line="360" w:lineRule="auto"/>
        <w:jc w:val="both"/>
        <w:rPr>
          <w:rFonts w:eastAsia="Calibri"/>
          <w:sz w:val="20"/>
          <w:szCs w:val="20"/>
        </w:rPr>
      </w:pPr>
      <w:r>
        <w:rPr>
          <w:rFonts w:eastAsia="Calibri"/>
          <w:sz w:val="20"/>
          <w:szCs w:val="20"/>
        </w:rPr>
        <w:t xml:space="preserve">La línea de Crédito Flexible con el FMI de 47 mil millones de dólares (equivalente a 35.7 mil de millones de Derechos Especiales de Giro) para enfrentar un posible entorno económico adverso; </w:t>
      </w:r>
    </w:p>
    <w:p w:rsidR="00CB2519" w:rsidRDefault="00CB2519" w:rsidP="00CB2519">
      <w:pPr>
        <w:pStyle w:val="Prrafodelista"/>
        <w:numPr>
          <w:ilvl w:val="0"/>
          <w:numId w:val="46"/>
        </w:numPr>
        <w:spacing w:line="360" w:lineRule="auto"/>
        <w:jc w:val="both"/>
        <w:rPr>
          <w:rFonts w:eastAsia="Calibri"/>
          <w:sz w:val="20"/>
          <w:szCs w:val="20"/>
        </w:rPr>
      </w:pPr>
      <w:r>
        <w:rPr>
          <w:rFonts w:eastAsia="Calibri"/>
          <w:sz w:val="20"/>
          <w:szCs w:val="20"/>
        </w:rPr>
        <w:t xml:space="preserve">La línea swap con el Tesoro de los EE.UU. por 9 mil millones de dólares; </w:t>
      </w:r>
    </w:p>
    <w:p w:rsidR="00CB2519" w:rsidRDefault="00CB2519" w:rsidP="00CB2519">
      <w:pPr>
        <w:pStyle w:val="Prrafodelista"/>
        <w:numPr>
          <w:ilvl w:val="0"/>
          <w:numId w:val="46"/>
        </w:numPr>
        <w:spacing w:line="360" w:lineRule="auto"/>
        <w:jc w:val="both"/>
        <w:rPr>
          <w:rFonts w:eastAsia="Calibri"/>
          <w:sz w:val="20"/>
          <w:szCs w:val="20"/>
        </w:rPr>
      </w:pPr>
      <w:r>
        <w:rPr>
          <w:rFonts w:eastAsia="Calibri"/>
          <w:sz w:val="20"/>
          <w:szCs w:val="20"/>
        </w:rPr>
        <w:t xml:space="preserve">Las reservas internacionales por 204 mil millones de dólares al 1 de septiembre de 2023; </w:t>
      </w:r>
    </w:p>
    <w:p w:rsidR="00CB2519" w:rsidRDefault="00CB2519" w:rsidP="00CB2519">
      <w:pPr>
        <w:pStyle w:val="Prrafodelista"/>
        <w:numPr>
          <w:ilvl w:val="0"/>
          <w:numId w:val="46"/>
        </w:numPr>
        <w:spacing w:line="360" w:lineRule="auto"/>
        <w:jc w:val="both"/>
        <w:rPr>
          <w:rFonts w:eastAsia="Calibri"/>
          <w:sz w:val="20"/>
          <w:szCs w:val="20"/>
        </w:rPr>
      </w:pPr>
      <w:r>
        <w:rPr>
          <w:rFonts w:eastAsia="Calibri"/>
          <w:sz w:val="20"/>
          <w:szCs w:val="20"/>
        </w:rPr>
        <w:t>La flexibilidad cambiaria que permite absorber choques externos;</w:t>
      </w:r>
    </w:p>
    <w:p w:rsidR="00CB2519" w:rsidRDefault="00CB2519" w:rsidP="00CB2519">
      <w:pPr>
        <w:pStyle w:val="Prrafodelista"/>
        <w:numPr>
          <w:ilvl w:val="0"/>
          <w:numId w:val="46"/>
        </w:numPr>
        <w:spacing w:line="360" w:lineRule="auto"/>
        <w:jc w:val="both"/>
        <w:rPr>
          <w:rFonts w:eastAsia="Calibri"/>
          <w:sz w:val="20"/>
          <w:szCs w:val="20"/>
        </w:rPr>
      </w:pPr>
      <w:r>
        <w:rPr>
          <w:rFonts w:eastAsia="Calibri"/>
          <w:sz w:val="20"/>
          <w:szCs w:val="20"/>
        </w:rPr>
        <w:t>Una composición de la deuda pública mayoritariamente en moneda nacional y a tasa fija que permite hacer frente a riesgos de tipo de cambio, tasas de interés y refinanciamiento. De la deuda del Gobierno Federal, al cierre de julio, 83.7% correspondió al componente interno y el 76.8% de los valores gubernamentales se encontraban a tasa fija y a largo plazo.</w:t>
      </w:r>
    </w:p>
    <w:p w:rsidR="00CB2519" w:rsidRDefault="00CB2519" w:rsidP="00CB2519">
      <w:pPr>
        <w:pStyle w:val="Prrafodelista"/>
        <w:numPr>
          <w:ilvl w:val="0"/>
          <w:numId w:val="46"/>
        </w:numPr>
        <w:spacing w:line="360" w:lineRule="auto"/>
        <w:jc w:val="both"/>
        <w:rPr>
          <w:rFonts w:eastAsia="Calibri"/>
          <w:sz w:val="20"/>
          <w:szCs w:val="20"/>
        </w:rPr>
      </w:pPr>
      <w:r>
        <w:rPr>
          <w:rFonts w:eastAsia="Calibri"/>
          <w:sz w:val="20"/>
          <w:szCs w:val="20"/>
        </w:rPr>
        <w:lastRenderedPageBreak/>
        <w:t xml:space="preserve">El seguro para catástrofes con una cobertura de 5 mil millones de pesos, el cual se destina a cubrir los recursos presupuestales necesarios para atender los efectos ocasionados por fenómenos naturales y tiene vigencia hasta el 5 de julio de 2024; </w:t>
      </w:r>
    </w:p>
    <w:p w:rsidR="00CB2519" w:rsidRDefault="00CB2519" w:rsidP="00CB2519">
      <w:pPr>
        <w:pStyle w:val="Prrafodelista"/>
        <w:numPr>
          <w:ilvl w:val="0"/>
          <w:numId w:val="46"/>
        </w:numPr>
        <w:spacing w:line="360" w:lineRule="auto"/>
        <w:jc w:val="both"/>
        <w:rPr>
          <w:rFonts w:eastAsia="Calibri"/>
          <w:sz w:val="20"/>
          <w:szCs w:val="20"/>
        </w:rPr>
      </w:pPr>
      <w:r>
        <w:rPr>
          <w:rFonts w:eastAsia="Calibri"/>
          <w:sz w:val="20"/>
          <w:szCs w:val="20"/>
        </w:rPr>
        <w:t>Un bono catastrófico vigente hasta marzo de 2024 por 485 millones de dólares con cobertura contra pérdidas derivadas de sismos de diferentes magnitudes y ciclones tropicales</w:t>
      </w:r>
    </w:p>
    <w:p w:rsidR="00CB2519" w:rsidRDefault="00CB2519" w:rsidP="00CB2519">
      <w:pPr>
        <w:spacing w:line="360" w:lineRule="auto"/>
        <w:jc w:val="both"/>
        <w:rPr>
          <w:sz w:val="20"/>
          <w:szCs w:val="20"/>
        </w:rPr>
      </w:pPr>
    </w:p>
    <w:p w:rsidR="00CB2519" w:rsidRDefault="00CB2519" w:rsidP="00CB2519">
      <w:pPr>
        <w:spacing w:line="360" w:lineRule="auto"/>
        <w:jc w:val="both"/>
        <w:rPr>
          <w:rFonts w:eastAsia="Calibri"/>
          <w:sz w:val="20"/>
          <w:szCs w:val="20"/>
        </w:rPr>
      </w:pPr>
      <w:r>
        <w:rPr>
          <w:rFonts w:eastAsia="Calibri"/>
          <w:sz w:val="20"/>
          <w:szCs w:val="20"/>
        </w:rPr>
        <w:t>También se deben observar los riesgos fiscales de mediano plazo, entre los que destaca el pago de pensiones, además de otros riesgos con muy baja probabilidad de materialización que deben ser considerados en el marco de una política hacendaria prudente y responsable.</w:t>
      </w:r>
    </w:p>
    <w:p w:rsidR="00CB2519" w:rsidRDefault="00CB2519" w:rsidP="00CB2519">
      <w:pPr>
        <w:spacing w:line="360" w:lineRule="auto"/>
        <w:jc w:val="both"/>
        <w:rPr>
          <w:rFonts w:eastAsia="Calibri"/>
          <w:sz w:val="20"/>
          <w:szCs w:val="20"/>
        </w:rPr>
      </w:pPr>
    </w:p>
    <w:p w:rsidR="00CB2519" w:rsidRDefault="00CB2519" w:rsidP="00CB2519">
      <w:pPr>
        <w:spacing w:line="360" w:lineRule="auto"/>
        <w:jc w:val="both"/>
        <w:rPr>
          <w:rFonts w:eastAsia="Calibri"/>
          <w:sz w:val="20"/>
          <w:szCs w:val="20"/>
        </w:rPr>
      </w:pPr>
      <w:r>
        <w:rPr>
          <w:rFonts w:eastAsia="Calibri"/>
          <w:sz w:val="20"/>
          <w:szCs w:val="20"/>
        </w:rPr>
        <w:t xml:space="preserve">En consecuencia, el diseño e implementación de la política fiscal debe considerar los riesgos de mediano y largo plazo. A continuación, se presentan los principales factores estatales que podrían tener un impacto en las </w:t>
      </w:r>
      <w:r>
        <w:rPr>
          <w:rFonts w:eastAsia="Calibri"/>
          <w:b/>
          <w:sz w:val="20"/>
          <w:szCs w:val="20"/>
        </w:rPr>
        <w:t>Finanzas Públicas</w:t>
      </w:r>
      <w:r>
        <w:rPr>
          <w:rFonts w:eastAsia="Calibri"/>
          <w:sz w:val="20"/>
          <w:szCs w:val="20"/>
        </w:rPr>
        <w:t xml:space="preserve"> y las acciones que se han tomado para evitar que se conviertan en un riesgo para las </w:t>
      </w:r>
      <w:r>
        <w:rPr>
          <w:rFonts w:eastAsia="Calibri"/>
          <w:b/>
          <w:sz w:val="20"/>
          <w:szCs w:val="20"/>
        </w:rPr>
        <w:t>Finanzas Públicas del Estado</w:t>
      </w:r>
      <w:r>
        <w:rPr>
          <w:rFonts w:eastAsia="Calibri"/>
          <w:sz w:val="20"/>
          <w:szCs w:val="20"/>
        </w:rPr>
        <w:t>.</w:t>
      </w:r>
    </w:p>
    <w:p w:rsidR="00CB2519" w:rsidRDefault="00CB2519" w:rsidP="00CB2519">
      <w:pPr>
        <w:spacing w:line="360" w:lineRule="auto"/>
        <w:jc w:val="both"/>
        <w:rPr>
          <w:rFonts w:eastAsia="Calibri"/>
          <w:color w:val="000000" w:themeColor="text1"/>
          <w:sz w:val="20"/>
          <w:szCs w:val="20"/>
        </w:rPr>
      </w:pPr>
    </w:p>
    <w:p w:rsidR="00CB2519" w:rsidRDefault="00CB2519" w:rsidP="00CB2519">
      <w:pPr>
        <w:spacing w:line="360" w:lineRule="auto"/>
        <w:jc w:val="both"/>
        <w:rPr>
          <w:b/>
          <w:sz w:val="20"/>
          <w:szCs w:val="20"/>
        </w:rPr>
      </w:pPr>
      <w:r>
        <w:rPr>
          <w:b/>
          <w:sz w:val="20"/>
          <w:szCs w:val="20"/>
        </w:rPr>
        <w:t>Pensiones y Jubilaciones</w:t>
      </w:r>
    </w:p>
    <w:p w:rsidR="00CB2519" w:rsidRDefault="00CB2519" w:rsidP="00CB2519">
      <w:pPr>
        <w:spacing w:line="360" w:lineRule="auto"/>
        <w:jc w:val="both"/>
        <w:rPr>
          <w:b/>
          <w:sz w:val="20"/>
          <w:szCs w:val="20"/>
        </w:rPr>
      </w:pPr>
    </w:p>
    <w:p w:rsidR="00CB2519" w:rsidRDefault="00CB2519" w:rsidP="00CB2519">
      <w:pPr>
        <w:spacing w:line="360" w:lineRule="auto"/>
        <w:jc w:val="both"/>
        <w:rPr>
          <w:sz w:val="20"/>
          <w:szCs w:val="20"/>
        </w:rPr>
      </w:pPr>
      <w:r>
        <w:rPr>
          <w:sz w:val="20"/>
          <w:szCs w:val="20"/>
        </w:rPr>
        <w:t>Pensiones Civiles del Estado de Tlaxcala es un Organismo Público Descentralizado, con personalidad jurídica y patrimonio propio; su organización y funcionamiento se rigen por su propia Ley, y tiene por objeto, establecer un régimen de protección económica a los servidores públicos de los tres Poderes del Estado de Tlaxcala, los municipios y las entidades de la administración pública estatal que coticen a la Institución, así como, a los jubilados y pensionados.</w:t>
      </w:r>
    </w:p>
    <w:p w:rsidR="00CB2519" w:rsidRDefault="00CB2519" w:rsidP="00CB2519">
      <w:pPr>
        <w:spacing w:line="360" w:lineRule="auto"/>
        <w:jc w:val="both"/>
        <w:rPr>
          <w:sz w:val="20"/>
          <w:szCs w:val="20"/>
        </w:rPr>
      </w:pPr>
    </w:p>
    <w:p w:rsidR="00CB2519" w:rsidRDefault="00CB2519" w:rsidP="00CB2519">
      <w:pPr>
        <w:spacing w:line="360" w:lineRule="auto"/>
        <w:jc w:val="both"/>
        <w:rPr>
          <w:sz w:val="20"/>
          <w:szCs w:val="20"/>
        </w:rPr>
      </w:pPr>
      <w:r>
        <w:rPr>
          <w:sz w:val="20"/>
          <w:szCs w:val="20"/>
        </w:rPr>
        <w:t>En el año 1958 surge la Dirección de Pensiones Civiles del Estado de Tlaxcala, y se emitió la Ley de la materia, que contienen las prestaciones originales: Pensiones directas para los trabajadores, obtención de préstamos a corto plazo, obtención de préstamos hipotecarios, lograr en propiedad o arrendamiento casas o terrenos propiedad de la Dirección de Pensiones Civiles y devolución de los descuentos hechos a funcionarios o empleados comprometidos en la Ley de Pensiones Civiles cuando los mismos se separen del servicio.</w:t>
      </w:r>
    </w:p>
    <w:p w:rsidR="00CB2519" w:rsidRDefault="00CB2519" w:rsidP="00CB2519">
      <w:pPr>
        <w:spacing w:line="360" w:lineRule="auto"/>
        <w:jc w:val="both"/>
        <w:rPr>
          <w:sz w:val="20"/>
          <w:szCs w:val="20"/>
        </w:rPr>
      </w:pPr>
    </w:p>
    <w:p w:rsidR="00CB2519" w:rsidRDefault="00CB2519" w:rsidP="00CB2519">
      <w:pPr>
        <w:spacing w:line="360" w:lineRule="auto"/>
        <w:jc w:val="both"/>
        <w:rPr>
          <w:sz w:val="20"/>
          <w:szCs w:val="20"/>
        </w:rPr>
      </w:pPr>
      <w:r>
        <w:rPr>
          <w:sz w:val="20"/>
          <w:szCs w:val="20"/>
        </w:rPr>
        <w:t>En el año 1974, se emitió una nueva Ley de Pensiones para el Estado de Tlaxcala, la cual adicionó a su contenido el Seguro de Vida.</w:t>
      </w:r>
    </w:p>
    <w:p w:rsidR="00CB2519" w:rsidRDefault="00CB2519" w:rsidP="00CB2519">
      <w:pPr>
        <w:spacing w:line="360" w:lineRule="auto"/>
        <w:jc w:val="both"/>
        <w:rPr>
          <w:sz w:val="20"/>
          <w:szCs w:val="20"/>
        </w:rPr>
      </w:pPr>
    </w:p>
    <w:p w:rsidR="00CB2519" w:rsidRDefault="00CB2519" w:rsidP="00CB2519">
      <w:pPr>
        <w:spacing w:line="360" w:lineRule="auto"/>
        <w:jc w:val="both"/>
        <w:rPr>
          <w:sz w:val="20"/>
          <w:szCs w:val="20"/>
        </w:rPr>
      </w:pPr>
      <w:r>
        <w:rPr>
          <w:sz w:val="20"/>
          <w:szCs w:val="20"/>
        </w:rPr>
        <w:t xml:space="preserve">Posteriormente para el año de 1984, se emitió una Ley, la cual presenta cambios notables en cuanto a prestaciones siendo las siguientes: </w:t>
      </w:r>
      <w:r w:rsidR="00AE72DA">
        <w:rPr>
          <w:sz w:val="20"/>
          <w:szCs w:val="20"/>
        </w:rPr>
        <w:t>j</w:t>
      </w:r>
      <w:r>
        <w:rPr>
          <w:sz w:val="20"/>
          <w:szCs w:val="20"/>
        </w:rPr>
        <w:t xml:space="preserve">ubilación, </w:t>
      </w:r>
      <w:r w:rsidR="00AE72DA">
        <w:rPr>
          <w:sz w:val="20"/>
          <w:szCs w:val="20"/>
        </w:rPr>
        <w:t>s</w:t>
      </w:r>
      <w:r>
        <w:rPr>
          <w:sz w:val="20"/>
          <w:szCs w:val="20"/>
        </w:rPr>
        <w:t xml:space="preserve">eguro de </w:t>
      </w:r>
      <w:r w:rsidR="00AE72DA">
        <w:rPr>
          <w:sz w:val="20"/>
          <w:szCs w:val="20"/>
        </w:rPr>
        <w:t>v</w:t>
      </w:r>
      <w:r>
        <w:rPr>
          <w:sz w:val="20"/>
          <w:szCs w:val="20"/>
        </w:rPr>
        <w:t xml:space="preserve">ida, </w:t>
      </w:r>
      <w:r w:rsidR="00AE72DA">
        <w:rPr>
          <w:sz w:val="20"/>
          <w:szCs w:val="20"/>
        </w:rPr>
        <w:t>p</w:t>
      </w:r>
      <w:r>
        <w:rPr>
          <w:sz w:val="20"/>
          <w:szCs w:val="20"/>
        </w:rPr>
        <w:t>ensión de vejez, pensión por muerte, pago de póstumo a los servidores públicos, pensionados y jubilados, préstamo a corto plazo, préstamo hipotecario, crédito para adquisición de casa o terreno para su construcción destinada a la habitación familiar del servidor público.</w:t>
      </w:r>
    </w:p>
    <w:p w:rsidR="00CB2519" w:rsidRDefault="00CB2519" w:rsidP="00CB2519">
      <w:pPr>
        <w:spacing w:line="360" w:lineRule="auto"/>
        <w:jc w:val="both"/>
        <w:rPr>
          <w:sz w:val="20"/>
          <w:szCs w:val="20"/>
        </w:rPr>
      </w:pPr>
    </w:p>
    <w:p w:rsidR="00CB2519" w:rsidRDefault="00CB2519" w:rsidP="00CB2519">
      <w:pPr>
        <w:spacing w:line="360" w:lineRule="auto"/>
        <w:jc w:val="both"/>
        <w:rPr>
          <w:sz w:val="20"/>
          <w:szCs w:val="20"/>
        </w:rPr>
      </w:pPr>
      <w:r>
        <w:rPr>
          <w:sz w:val="20"/>
          <w:szCs w:val="20"/>
        </w:rPr>
        <w:t xml:space="preserve">Después de algunas vicisitudes en el año 2013, entró en vigor la nueva Ley de Pensiones Civiles del Estado de Tlaxcala, producto de depurar las prestaciones y servicios que proporciona la Institución, establece un proyecto innovador el cual consiste en dos regímenes pensionarios debidamente limitados siendo los siguientes: </w:t>
      </w:r>
    </w:p>
    <w:p w:rsidR="00CB2519" w:rsidRDefault="00CB2519" w:rsidP="00CB2519">
      <w:pPr>
        <w:spacing w:line="360" w:lineRule="auto"/>
        <w:jc w:val="both"/>
        <w:rPr>
          <w:sz w:val="20"/>
          <w:szCs w:val="20"/>
        </w:rPr>
      </w:pPr>
    </w:p>
    <w:p w:rsidR="00CB2519" w:rsidRDefault="00CB2519" w:rsidP="00CB2519">
      <w:pPr>
        <w:pStyle w:val="Prrafodelista"/>
        <w:numPr>
          <w:ilvl w:val="0"/>
          <w:numId w:val="47"/>
        </w:numPr>
        <w:spacing w:line="360" w:lineRule="auto"/>
        <w:jc w:val="both"/>
        <w:rPr>
          <w:sz w:val="20"/>
          <w:szCs w:val="20"/>
        </w:rPr>
      </w:pPr>
      <w:r>
        <w:rPr>
          <w:sz w:val="20"/>
          <w:szCs w:val="20"/>
        </w:rPr>
        <w:t>Libro A: Régimen Temporal de Reparto</w:t>
      </w:r>
    </w:p>
    <w:p w:rsidR="00CB2519" w:rsidRDefault="00CB2519" w:rsidP="00CB2519">
      <w:pPr>
        <w:pStyle w:val="Prrafodelista"/>
        <w:numPr>
          <w:ilvl w:val="0"/>
          <w:numId w:val="47"/>
        </w:numPr>
        <w:spacing w:line="360" w:lineRule="auto"/>
        <w:jc w:val="both"/>
        <w:rPr>
          <w:sz w:val="20"/>
          <w:szCs w:val="20"/>
        </w:rPr>
      </w:pPr>
      <w:r>
        <w:rPr>
          <w:sz w:val="20"/>
          <w:szCs w:val="20"/>
        </w:rPr>
        <w:t>Libro B: Régimen Permanente de Ahorro Personal</w:t>
      </w:r>
    </w:p>
    <w:p w:rsidR="00CB2519" w:rsidRDefault="00CB2519" w:rsidP="00CB2519">
      <w:pPr>
        <w:spacing w:line="360" w:lineRule="auto"/>
        <w:jc w:val="both"/>
        <w:rPr>
          <w:sz w:val="20"/>
          <w:szCs w:val="20"/>
        </w:rPr>
      </w:pPr>
    </w:p>
    <w:p w:rsidR="00CB2519" w:rsidRDefault="00CB2519" w:rsidP="00CB2519">
      <w:pPr>
        <w:spacing w:line="360" w:lineRule="auto"/>
        <w:jc w:val="both"/>
        <w:rPr>
          <w:sz w:val="20"/>
          <w:szCs w:val="20"/>
        </w:rPr>
      </w:pPr>
      <w:r>
        <w:rPr>
          <w:sz w:val="20"/>
          <w:szCs w:val="20"/>
        </w:rPr>
        <w:t>A pesar de las diferentes medidas de los anteriores gobiernos para que no se paralicen las funciones que le dan identidad a la Institución y los derechohabientes continúen siendo atendidos hasta en tanto las condiciones económicas del Estado de Tlaxcala lo hayan permitido; no han sido suficientes los esfuerzos y medidas tomadas.</w:t>
      </w:r>
    </w:p>
    <w:p w:rsidR="00CB2519" w:rsidRDefault="00CB2519" w:rsidP="00CB2519">
      <w:pPr>
        <w:spacing w:line="360" w:lineRule="auto"/>
        <w:jc w:val="both"/>
        <w:rPr>
          <w:sz w:val="20"/>
          <w:szCs w:val="20"/>
        </w:rPr>
      </w:pPr>
    </w:p>
    <w:p w:rsidR="00CB2519" w:rsidRDefault="00CB2519" w:rsidP="00CB2519">
      <w:pPr>
        <w:spacing w:line="360" w:lineRule="auto"/>
        <w:jc w:val="both"/>
        <w:rPr>
          <w:sz w:val="20"/>
          <w:szCs w:val="20"/>
        </w:rPr>
      </w:pPr>
      <w:r>
        <w:rPr>
          <w:sz w:val="20"/>
          <w:szCs w:val="20"/>
        </w:rPr>
        <w:t>En años recientes, la población en edad de pensionarse crece a una tasa mayor que la población más joven en nuestro país. Esta transición demográfica representa un reto para la sostenibilidad de las finanzas públicas, debido al incremento esperado en el gasto en pensiones y en salud asociado al crecimiento de la población de mayor edad.</w:t>
      </w:r>
    </w:p>
    <w:p w:rsidR="00CB2519" w:rsidRDefault="00CB2519" w:rsidP="00CB2519">
      <w:pPr>
        <w:spacing w:line="360" w:lineRule="auto"/>
        <w:jc w:val="both"/>
        <w:rPr>
          <w:sz w:val="20"/>
          <w:szCs w:val="20"/>
        </w:rPr>
      </w:pPr>
    </w:p>
    <w:p w:rsidR="00CB2519" w:rsidRDefault="00CB2519" w:rsidP="00CB2519">
      <w:pPr>
        <w:spacing w:line="360" w:lineRule="auto"/>
        <w:jc w:val="both"/>
        <w:rPr>
          <w:sz w:val="20"/>
          <w:szCs w:val="20"/>
        </w:rPr>
      </w:pPr>
      <w:r>
        <w:rPr>
          <w:sz w:val="20"/>
          <w:szCs w:val="20"/>
        </w:rPr>
        <w:t>Por todo lo anterior, para este Proyecto de Presupuesto 2024, se considera un incremento de 12.8% para dicho concepto de Aportación a Pensiones y un Fondo para el Fortalecimiento de Pensiones Civiles de 48.9 mdp a través de la Oficialía Mayor de Gobierno, dicho fondo estará sujeto a que se cumplan los pronósticos de ingresos y recaudación de la Secretaría de Hacienda y Crédito Público y el Estado reciba los recursos de participaciones federales.</w:t>
      </w:r>
    </w:p>
    <w:p w:rsidR="00CB2519" w:rsidRDefault="00CB2519" w:rsidP="00CB2519">
      <w:pPr>
        <w:spacing w:line="360" w:lineRule="auto"/>
        <w:jc w:val="both"/>
        <w:rPr>
          <w:sz w:val="20"/>
          <w:szCs w:val="20"/>
        </w:rPr>
      </w:pPr>
      <w:r>
        <w:rPr>
          <w:sz w:val="20"/>
          <w:szCs w:val="20"/>
        </w:rPr>
        <w:lastRenderedPageBreak/>
        <w:t>De acuerdo con el último estudio actuarial de las pensiones del Estado de Tlaxcala</w:t>
      </w:r>
      <w:r>
        <w:rPr>
          <w:rFonts w:ascii="Arial" w:hAnsi="Arial" w:cs="Arial"/>
          <w:b/>
          <w:sz w:val="22"/>
          <w:vertAlign w:val="superscript"/>
        </w:rPr>
        <w:footnoteReference w:id="1"/>
      </w:r>
      <w:r>
        <w:rPr>
          <w:rFonts w:ascii="Arial" w:hAnsi="Arial" w:cs="Arial"/>
        </w:rPr>
        <w:t xml:space="preserve">, </w:t>
      </w:r>
      <w:r>
        <w:rPr>
          <w:sz w:val="20"/>
          <w:szCs w:val="20"/>
        </w:rPr>
        <w:t>correspondiente al ejercicio fiscal 2023 y con una vigencia al ejercicio 2023 se tiene una reserva actuarial de 382.55 mdp, con una población afiliada activa de 8,567 trabajadores y 2,237 pensionados, como a continuación se presenta:</w:t>
      </w:r>
    </w:p>
    <w:p w:rsidR="00CB2519" w:rsidRDefault="00CB2519" w:rsidP="00CB2519">
      <w:pPr>
        <w:spacing w:line="360" w:lineRule="auto"/>
        <w:jc w:val="center"/>
        <w:rPr>
          <w:rFonts w:ascii="Arial" w:hAnsi="Arial" w:cs="Arial"/>
          <w:b/>
        </w:rPr>
      </w:pPr>
    </w:p>
    <w:p w:rsidR="00CB2519" w:rsidRDefault="00CB2519" w:rsidP="00CB2519">
      <w:pPr>
        <w:spacing w:line="360" w:lineRule="auto"/>
        <w:jc w:val="center"/>
        <w:rPr>
          <w:b/>
          <w:sz w:val="20"/>
          <w:szCs w:val="20"/>
        </w:rPr>
      </w:pPr>
      <w:r>
        <w:rPr>
          <w:b/>
          <w:sz w:val="20"/>
          <w:szCs w:val="20"/>
        </w:rPr>
        <w:t>Estudio Actuarial de Pensiones</w:t>
      </w:r>
    </w:p>
    <w:p w:rsidR="00CB2519" w:rsidRDefault="00CB2519" w:rsidP="00CB2519">
      <w:pPr>
        <w:spacing w:line="360" w:lineRule="auto"/>
        <w:jc w:val="center"/>
        <w:rPr>
          <w:rFonts w:ascii="Arial" w:hAnsi="Arial" w:cs="Arial"/>
          <w:b/>
        </w:rPr>
      </w:pPr>
      <w:r>
        <w:rPr>
          <w:noProof/>
          <w:lang w:val="es-MX" w:eastAsia="es-MX"/>
        </w:rPr>
        <w:drawing>
          <wp:inline distT="0" distB="0" distL="0" distR="0" wp14:anchorId="54CA90B3" wp14:editId="7A1DF6DE">
            <wp:extent cx="5135245" cy="3321050"/>
            <wp:effectExtent l="0" t="0" r="8255" b="0"/>
            <wp:docPr id="1065171236" name="Imagen 1065171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11">
                      <a:extLst>
                        <a:ext uri="{28A0092B-C50C-407E-A947-70E740481C1C}">
                          <a14:useLocalDpi xmlns:a14="http://schemas.microsoft.com/office/drawing/2010/main" val="0"/>
                        </a:ext>
                      </a:extLst>
                    </a:blip>
                    <a:srcRect l="24155" t="27370" r="30933" b="20898"/>
                    <a:stretch>
                      <a:fillRect/>
                    </a:stretch>
                  </pic:blipFill>
                  <pic:spPr bwMode="auto">
                    <a:xfrm>
                      <a:off x="0" y="0"/>
                      <a:ext cx="5135245" cy="3321050"/>
                    </a:xfrm>
                    <a:prstGeom prst="rect">
                      <a:avLst/>
                    </a:prstGeom>
                    <a:noFill/>
                    <a:ln>
                      <a:noFill/>
                    </a:ln>
                  </pic:spPr>
                </pic:pic>
              </a:graphicData>
            </a:graphic>
          </wp:inline>
        </w:drawing>
      </w:r>
    </w:p>
    <w:p w:rsidR="00CB2519" w:rsidRDefault="00CB2519" w:rsidP="00CB2519">
      <w:pPr>
        <w:spacing w:line="360" w:lineRule="auto"/>
        <w:jc w:val="both"/>
        <w:rPr>
          <w:rFonts w:ascii="Arial" w:hAnsi="Arial" w:cs="Arial"/>
        </w:rPr>
      </w:pPr>
    </w:p>
    <w:p w:rsidR="00CB2519" w:rsidRDefault="00CB2519" w:rsidP="00CB2519">
      <w:pPr>
        <w:spacing w:line="360" w:lineRule="auto"/>
        <w:jc w:val="both"/>
        <w:rPr>
          <w:rFonts w:ascii="Arial" w:hAnsi="Arial" w:cs="Arial"/>
        </w:rPr>
      </w:pPr>
      <w:r>
        <w:rPr>
          <w:noProof/>
          <w:lang w:val="es-MX" w:eastAsia="es-MX"/>
        </w:rPr>
        <w:lastRenderedPageBreak/>
        <w:drawing>
          <wp:inline distT="0" distB="0" distL="0" distR="0" wp14:anchorId="6A94ACAA" wp14:editId="64B0E613">
            <wp:extent cx="4623435" cy="2406650"/>
            <wp:effectExtent l="0" t="0" r="5715" b="0"/>
            <wp:docPr id="1065171235" name="Imagen 1065171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12">
                      <a:extLst>
                        <a:ext uri="{28A0092B-C50C-407E-A947-70E740481C1C}">
                          <a14:useLocalDpi xmlns:a14="http://schemas.microsoft.com/office/drawing/2010/main" val="0"/>
                        </a:ext>
                      </a:extLst>
                    </a:blip>
                    <a:srcRect l="27541" t="24863" r="25574" b="29420"/>
                    <a:stretch>
                      <a:fillRect/>
                    </a:stretch>
                  </pic:blipFill>
                  <pic:spPr bwMode="auto">
                    <a:xfrm>
                      <a:off x="0" y="0"/>
                      <a:ext cx="4623435" cy="2406650"/>
                    </a:xfrm>
                    <a:prstGeom prst="rect">
                      <a:avLst/>
                    </a:prstGeom>
                    <a:noFill/>
                    <a:ln>
                      <a:noFill/>
                    </a:ln>
                  </pic:spPr>
                </pic:pic>
              </a:graphicData>
            </a:graphic>
          </wp:inline>
        </w:drawing>
      </w:r>
    </w:p>
    <w:p w:rsidR="00CB2519" w:rsidRDefault="00CB2519" w:rsidP="00CB2519">
      <w:pPr>
        <w:spacing w:line="360" w:lineRule="auto"/>
        <w:jc w:val="both"/>
        <w:rPr>
          <w:rFonts w:ascii="Arial" w:hAnsi="Arial" w:cs="Arial"/>
        </w:rPr>
      </w:pPr>
      <w:r>
        <w:rPr>
          <w:noProof/>
          <w:lang w:val="es-MX" w:eastAsia="es-MX"/>
        </w:rPr>
        <w:drawing>
          <wp:inline distT="0" distB="0" distL="0" distR="0" wp14:anchorId="71774B74" wp14:editId="08969835">
            <wp:extent cx="4879340" cy="2136140"/>
            <wp:effectExtent l="0" t="0" r="0" b="0"/>
            <wp:docPr id="1065171234" name="Imagen 106517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13">
                      <a:extLst>
                        <a:ext uri="{28A0092B-C50C-407E-A947-70E740481C1C}">
                          <a14:useLocalDpi xmlns:a14="http://schemas.microsoft.com/office/drawing/2010/main" val="0"/>
                        </a:ext>
                      </a:extLst>
                    </a:blip>
                    <a:srcRect l="24295" t="37663" r="30516" b="30185"/>
                    <a:stretch>
                      <a:fillRect/>
                    </a:stretch>
                  </pic:blipFill>
                  <pic:spPr bwMode="auto">
                    <a:xfrm>
                      <a:off x="0" y="0"/>
                      <a:ext cx="4879340" cy="2136140"/>
                    </a:xfrm>
                    <a:prstGeom prst="rect">
                      <a:avLst/>
                    </a:prstGeom>
                    <a:noFill/>
                    <a:ln>
                      <a:noFill/>
                    </a:ln>
                  </pic:spPr>
                </pic:pic>
              </a:graphicData>
            </a:graphic>
          </wp:inline>
        </w:drawing>
      </w:r>
    </w:p>
    <w:p w:rsidR="00CB2519" w:rsidRDefault="00CB2519" w:rsidP="00CB2519">
      <w:pPr>
        <w:spacing w:line="360" w:lineRule="auto"/>
        <w:jc w:val="both"/>
        <w:rPr>
          <w:rFonts w:ascii="Arial" w:hAnsi="Arial" w:cs="Arial"/>
        </w:rPr>
      </w:pPr>
      <w:r>
        <w:rPr>
          <w:noProof/>
          <w:lang w:val="es-MX" w:eastAsia="es-MX"/>
        </w:rPr>
        <w:drawing>
          <wp:inline distT="0" distB="0" distL="0" distR="0" wp14:anchorId="1459CE7F" wp14:editId="54539C2D">
            <wp:extent cx="4740275" cy="1572895"/>
            <wp:effectExtent l="0" t="0" r="3175" b="8255"/>
            <wp:docPr id="1065171233" name="Imagen 1065171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14">
                      <a:extLst>
                        <a:ext uri="{28A0092B-C50C-407E-A947-70E740481C1C}">
                          <a14:useLocalDpi xmlns:a14="http://schemas.microsoft.com/office/drawing/2010/main" val="0"/>
                        </a:ext>
                      </a:extLst>
                    </a:blip>
                    <a:srcRect l="24168" t="45699" r="42471" b="34714"/>
                    <a:stretch>
                      <a:fillRect/>
                    </a:stretch>
                  </pic:blipFill>
                  <pic:spPr bwMode="auto">
                    <a:xfrm>
                      <a:off x="0" y="0"/>
                      <a:ext cx="4740275" cy="1572895"/>
                    </a:xfrm>
                    <a:prstGeom prst="rect">
                      <a:avLst/>
                    </a:prstGeom>
                    <a:noFill/>
                    <a:ln>
                      <a:noFill/>
                    </a:ln>
                  </pic:spPr>
                </pic:pic>
              </a:graphicData>
            </a:graphic>
          </wp:inline>
        </w:drawing>
      </w:r>
    </w:p>
    <w:p w:rsidR="00CB2519" w:rsidRDefault="00CB2519" w:rsidP="00CB2519">
      <w:pPr>
        <w:spacing w:line="360" w:lineRule="auto"/>
        <w:jc w:val="both"/>
        <w:rPr>
          <w:sz w:val="20"/>
          <w:szCs w:val="20"/>
        </w:rPr>
      </w:pPr>
      <w:r>
        <w:rPr>
          <w:sz w:val="20"/>
          <w:szCs w:val="20"/>
        </w:rPr>
        <w:t>Con la finalidad de coadyuvar en el saneamiento de las Pensiones Civiles del Estado de Tlaxcala, el Ejecutivo del Estado ha otorgado a la fecha aportaciones extraordinarias a Pensiones Civiles del Estado por un importe estimado de 355.3 mdp al cierre de 2023.</w:t>
      </w:r>
    </w:p>
    <w:tbl>
      <w:tblPr>
        <w:tblW w:w="4000" w:type="dxa"/>
        <w:jc w:val="center"/>
        <w:tblCellMar>
          <w:left w:w="70" w:type="dxa"/>
          <w:right w:w="70" w:type="dxa"/>
        </w:tblCellMar>
        <w:tblLook w:val="04A0" w:firstRow="1" w:lastRow="0" w:firstColumn="1" w:lastColumn="0" w:noHBand="0" w:noVBand="1"/>
      </w:tblPr>
      <w:tblGrid>
        <w:gridCol w:w="2100"/>
        <w:gridCol w:w="2030"/>
      </w:tblGrid>
      <w:tr w:rsidR="00CB2519" w:rsidTr="00277C86">
        <w:trPr>
          <w:trHeight w:val="585"/>
          <w:jc w:val="center"/>
        </w:trPr>
        <w:tc>
          <w:tcPr>
            <w:tcW w:w="2100" w:type="dxa"/>
            <w:vMerge w:val="restart"/>
            <w:tcBorders>
              <w:top w:val="single" w:sz="8" w:space="0" w:color="auto"/>
              <w:left w:val="single" w:sz="8" w:space="0" w:color="auto"/>
              <w:bottom w:val="single" w:sz="8" w:space="0" w:color="000000"/>
              <w:right w:val="single" w:sz="8" w:space="0" w:color="auto"/>
            </w:tcBorders>
            <w:shd w:val="clear" w:color="000000" w:fill="BFBFBF"/>
            <w:noWrap/>
            <w:vAlign w:val="center"/>
            <w:hideMark/>
          </w:tcPr>
          <w:p w:rsidR="00CB2519" w:rsidRDefault="00CB2519" w:rsidP="00277C86">
            <w:pPr>
              <w:jc w:val="center"/>
              <w:rPr>
                <w:b/>
                <w:bCs/>
                <w:color w:val="000000"/>
                <w:sz w:val="20"/>
                <w:szCs w:val="20"/>
                <w:lang w:val="es-MX" w:eastAsia="es-MX"/>
              </w:rPr>
            </w:pPr>
            <w:r>
              <w:rPr>
                <w:b/>
                <w:bCs/>
                <w:color w:val="000000"/>
                <w:sz w:val="20"/>
                <w:szCs w:val="20"/>
              </w:rPr>
              <w:lastRenderedPageBreak/>
              <w:t>AÑO</w:t>
            </w:r>
          </w:p>
        </w:tc>
        <w:tc>
          <w:tcPr>
            <w:tcW w:w="1900" w:type="dxa"/>
            <w:tcBorders>
              <w:top w:val="single" w:sz="8" w:space="0" w:color="auto"/>
              <w:left w:val="nil"/>
              <w:bottom w:val="nil"/>
              <w:right w:val="single" w:sz="8" w:space="0" w:color="auto"/>
            </w:tcBorders>
            <w:shd w:val="clear" w:color="000000" w:fill="BFBFBF"/>
            <w:vAlign w:val="center"/>
            <w:hideMark/>
          </w:tcPr>
          <w:p w:rsidR="00CB2519" w:rsidRDefault="00CB2519" w:rsidP="00277C86">
            <w:pPr>
              <w:jc w:val="center"/>
              <w:rPr>
                <w:b/>
                <w:bCs/>
                <w:color w:val="000000"/>
                <w:sz w:val="20"/>
                <w:szCs w:val="20"/>
              </w:rPr>
            </w:pPr>
            <w:r>
              <w:rPr>
                <w:b/>
                <w:bCs/>
                <w:color w:val="000000"/>
                <w:sz w:val="20"/>
                <w:szCs w:val="20"/>
              </w:rPr>
              <w:t>APOYO ESTATAL EXTRAORDINARIO</w:t>
            </w:r>
          </w:p>
        </w:tc>
      </w:tr>
      <w:tr w:rsidR="00CB2519" w:rsidTr="00277C86">
        <w:trPr>
          <w:trHeight w:val="315"/>
          <w:jc w:val="center"/>
        </w:trPr>
        <w:tc>
          <w:tcPr>
            <w:tcW w:w="2100" w:type="dxa"/>
            <w:vMerge/>
            <w:tcBorders>
              <w:top w:val="single" w:sz="8" w:space="0" w:color="auto"/>
              <w:left w:val="single" w:sz="8" w:space="0" w:color="auto"/>
              <w:bottom w:val="single" w:sz="8" w:space="0" w:color="000000"/>
              <w:right w:val="single" w:sz="8" w:space="0" w:color="auto"/>
            </w:tcBorders>
            <w:vAlign w:val="center"/>
            <w:hideMark/>
          </w:tcPr>
          <w:p w:rsidR="00CB2519" w:rsidRDefault="00CB2519" w:rsidP="00277C86">
            <w:pPr>
              <w:rPr>
                <w:b/>
                <w:bCs/>
                <w:color w:val="000000"/>
                <w:sz w:val="20"/>
                <w:szCs w:val="20"/>
              </w:rPr>
            </w:pPr>
          </w:p>
        </w:tc>
        <w:tc>
          <w:tcPr>
            <w:tcW w:w="1900" w:type="dxa"/>
            <w:tcBorders>
              <w:top w:val="nil"/>
              <w:left w:val="nil"/>
              <w:bottom w:val="single" w:sz="8" w:space="0" w:color="auto"/>
              <w:right w:val="single" w:sz="8" w:space="0" w:color="auto"/>
            </w:tcBorders>
            <w:shd w:val="clear" w:color="000000" w:fill="BFBFBF"/>
            <w:vAlign w:val="center"/>
            <w:hideMark/>
          </w:tcPr>
          <w:p w:rsidR="00CB2519" w:rsidRDefault="00CB2519" w:rsidP="00277C86">
            <w:pPr>
              <w:jc w:val="center"/>
              <w:rPr>
                <w:b/>
                <w:bCs/>
                <w:color w:val="000000"/>
                <w:sz w:val="20"/>
                <w:szCs w:val="20"/>
              </w:rPr>
            </w:pPr>
            <w:r>
              <w:rPr>
                <w:b/>
                <w:bCs/>
                <w:color w:val="000000"/>
                <w:sz w:val="20"/>
                <w:szCs w:val="20"/>
              </w:rPr>
              <w:t>(MDP)</w:t>
            </w:r>
          </w:p>
        </w:tc>
      </w:tr>
      <w:tr w:rsidR="00CB2519" w:rsidTr="00277C86">
        <w:trPr>
          <w:trHeight w:val="315"/>
          <w:jc w:val="center"/>
        </w:trPr>
        <w:tc>
          <w:tcPr>
            <w:tcW w:w="2100" w:type="dxa"/>
            <w:tcBorders>
              <w:top w:val="nil"/>
              <w:left w:val="single" w:sz="8" w:space="0" w:color="auto"/>
              <w:bottom w:val="single" w:sz="8" w:space="0" w:color="auto"/>
              <w:right w:val="single" w:sz="8" w:space="0" w:color="auto"/>
            </w:tcBorders>
            <w:shd w:val="clear" w:color="auto" w:fill="auto"/>
            <w:noWrap/>
            <w:vAlign w:val="center"/>
            <w:hideMark/>
          </w:tcPr>
          <w:p w:rsidR="00CB2519" w:rsidRDefault="00CB2519" w:rsidP="00277C86">
            <w:pPr>
              <w:rPr>
                <w:b/>
                <w:bCs/>
                <w:color w:val="000000"/>
                <w:sz w:val="20"/>
                <w:szCs w:val="20"/>
              </w:rPr>
            </w:pPr>
            <w:r>
              <w:rPr>
                <w:b/>
                <w:bCs/>
                <w:color w:val="000000"/>
                <w:sz w:val="20"/>
                <w:szCs w:val="20"/>
              </w:rPr>
              <w:t>Ejercicio 2017</w:t>
            </w:r>
          </w:p>
        </w:tc>
        <w:tc>
          <w:tcPr>
            <w:tcW w:w="1900" w:type="dxa"/>
            <w:tcBorders>
              <w:top w:val="nil"/>
              <w:left w:val="nil"/>
              <w:bottom w:val="single" w:sz="8" w:space="0" w:color="auto"/>
              <w:right w:val="single" w:sz="8" w:space="0" w:color="auto"/>
            </w:tcBorders>
            <w:shd w:val="clear" w:color="auto" w:fill="auto"/>
            <w:noWrap/>
            <w:vAlign w:val="center"/>
            <w:hideMark/>
          </w:tcPr>
          <w:p w:rsidR="00CB2519" w:rsidRDefault="00CB2519" w:rsidP="00277C86">
            <w:pPr>
              <w:jc w:val="right"/>
              <w:rPr>
                <w:color w:val="000000"/>
                <w:sz w:val="20"/>
                <w:szCs w:val="20"/>
              </w:rPr>
            </w:pPr>
            <w:r>
              <w:rPr>
                <w:color w:val="000000"/>
                <w:sz w:val="20"/>
                <w:szCs w:val="20"/>
              </w:rPr>
              <w:t>26.6</w:t>
            </w:r>
          </w:p>
        </w:tc>
      </w:tr>
      <w:tr w:rsidR="00CB2519" w:rsidTr="00277C86">
        <w:trPr>
          <w:trHeight w:val="315"/>
          <w:jc w:val="center"/>
        </w:trPr>
        <w:tc>
          <w:tcPr>
            <w:tcW w:w="2100" w:type="dxa"/>
            <w:tcBorders>
              <w:top w:val="nil"/>
              <w:left w:val="single" w:sz="8" w:space="0" w:color="auto"/>
              <w:bottom w:val="single" w:sz="8" w:space="0" w:color="auto"/>
              <w:right w:val="single" w:sz="8" w:space="0" w:color="auto"/>
            </w:tcBorders>
            <w:shd w:val="clear" w:color="auto" w:fill="auto"/>
            <w:noWrap/>
            <w:vAlign w:val="center"/>
            <w:hideMark/>
          </w:tcPr>
          <w:p w:rsidR="00CB2519" w:rsidRDefault="00CB2519" w:rsidP="00277C86">
            <w:pPr>
              <w:rPr>
                <w:b/>
                <w:bCs/>
                <w:color w:val="000000"/>
                <w:sz w:val="20"/>
                <w:szCs w:val="20"/>
              </w:rPr>
            </w:pPr>
            <w:r>
              <w:rPr>
                <w:b/>
                <w:bCs/>
                <w:color w:val="000000"/>
                <w:sz w:val="20"/>
                <w:szCs w:val="20"/>
              </w:rPr>
              <w:t>Ejercicio 2018</w:t>
            </w:r>
          </w:p>
        </w:tc>
        <w:tc>
          <w:tcPr>
            <w:tcW w:w="1900" w:type="dxa"/>
            <w:tcBorders>
              <w:top w:val="nil"/>
              <w:left w:val="nil"/>
              <w:bottom w:val="single" w:sz="8" w:space="0" w:color="auto"/>
              <w:right w:val="single" w:sz="8" w:space="0" w:color="auto"/>
            </w:tcBorders>
            <w:shd w:val="clear" w:color="auto" w:fill="auto"/>
            <w:noWrap/>
            <w:vAlign w:val="center"/>
            <w:hideMark/>
          </w:tcPr>
          <w:p w:rsidR="00CB2519" w:rsidRDefault="00CB2519" w:rsidP="00277C86">
            <w:pPr>
              <w:jc w:val="right"/>
              <w:rPr>
                <w:color w:val="000000"/>
                <w:sz w:val="20"/>
                <w:szCs w:val="20"/>
              </w:rPr>
            </w:pPr>
            <w:r>
              <w:rPr>
                <w:color w:val="000000"/>
                <w:sz w:val="20"/>
                <w:szCs w:val="20"/>
              </w:rPr>
              <w:t>31.0</w:t>
            </w:r>
          </w:p>
        </w:tc>
      </w:tr>
      <w:tr w:rsidR="00CB2519" w:rsidTr="00277C86">
        <w:trPr>
          <w:trHeight w:val="315"/>
          <w:jc w:val="center"/>
        </w:trPr>
        <w:tc>
          <w:tcPr>
            <w:tcW w:w="2100" w:type="dxa"/>
            <w:tcBorders>
              <w:top w:val="nil"/>
              <w:left w:val="single" w:sz="8" w:space="0" w:color="auto"/>
              <w:bottom w:val="single" w:sz="8" w:space="0" w:color="auto"/>
              <w:right w:val="single" w:sz="8" w:space="0" w:color="auto"/>
            </w:tcBorders>
            <w:shd w:val="clear" w:color="auto" w:fill="auto"/>
            <w:noWrap/>
            <w:vAlign w:val="center"/>
            <w:hideMark/>
          </w:tcPr>
          <w:p w:rsidR="00CB2519" w:rsidRDefault="00CB2519" w:rsidP="00277C86">
            <w:pPr>
              <w:rPr>
                <w:b/>
                <w:bCs/>
                <w:color w:val="000000"/>
                <w:sz w:val="20"/>
                <w:szCs w:val="20"/>
              </w:rPr>
            </w:pPr>
            <w:r>
              <w:rPr>
                <w:b/>
                <w:bCs/>
                <w:color w:val="000000"/>
                <w:sz w:val="20"/>
                <w:szCs w:val="20"/>
              </w:rPr>
              <w:t>Ejercicio 2019</w:t>
            </w:r>
          </w:p>
        </w:tc>
        <w:tc>
          <w:tcPr>
            <w:tcW w:w="1900" w:type="dxa"/>
            <w:tcBorders>
              <w:top w:val="nil"/>
              <w:left w:val="nil"/>
              <w:bottom w:val="single" w:sz="8" w:space="0" w:color="auto"/>
              <w:right w:val="single" w:sz="8" w:space="0" w:color="auto"/>
            </w:tcBorders>
            <w:shd w:val="clear" w:color="auto" w:fill="auto"/>
            <w:noWrap/>
            <w:vAlign w:val="center"/>
            <w:hideMark/>
          </w:tcPr>
          <w:p w:rsidR="00CB2519" w:rsidRDefault="00CB2519" w:rsidP="00277C86">
            <w:pPr>
              <w:jc w:val="right"/>
              <w:rPr>
                <w:color w:val="000000"/>
                <w:sz w:val="20"/>
                <w:szCs w:val="20"/>
              </w:rPr>
            </w:pPr>
            <w:r>
              <w:rPr>
                <w:color w:val="000000"/>
                <w:sz w:val="20"/>
                <w:szCs w:val="20"/>
              </w:rPr>
              <w:t>55.0</w:t>
            </w:r>
          </w:p>
        </w:tc>
      </w:tr>
      <w:tr w:rsidR="00CB2519" w:rsidTr="00277C86">
        <w:trPr>
          <w:trHeight w:val="315"/>
          <w:jc w:val="center"/>
        </w:trPr>
        <w:tc>
          <w:tcPr>
            <w:tcW w:w="2100" w:type="dxa"/>
            <w:tcBorders>
              <w:top w:val="nil"/>
              <w:left w:val="single" w:sz="8" w:space="0" w:color="auto"/>
              <w:bottom w:val="single" w:sz="8" w:space="0" w:color="auto"/>
              <w:right w:val="single" w:sz="8" w:space="0" w:color="auto"/>
            </w:tcBorders>
            <w:shd w:val="clear" w:color="auto" w:fill="auto"/>
            <w:noWrap/>
            <w:vAlign w:val="center"/>
            <w:hideMark/>
          </w:tcPr>
          <w:p w:rsidR="00CB2519" w:rsidRDefault="00CB2519" w:rsidP="00277C86">
            <w:pPr>
              <w:rPr>
                <w:b/>
                <w:bCs/>
                <w:color w:val="000000"/>
                <w:sz w:val="20"/>
                <w:szCs w:val="20"/>
              </w:rPr>
            </w:pPr>
            <w:r>
              <w:rPr>
                <w:b/>
                <w:bCs/>
                <w:color w:val="000000"/>
                <w:sz w:val="20"/>
                <w:szCs w:val="20"/>
              </w:rPr>
              <w:t>Ejercicio 2020</w:t>
            </w:r>
          </w:p>
        </w:tc>
        <w:tc>
          <w:tcPr>
            <w:tcW w:w="1900" w:type="dxa"/>
            <w:tcBorders>
              <w:top w:val="nil"/>
              <w:left w:val="nil"/>
              <w:bottom w:val="single" w:sz="8" w:space="0" w:color="auto"/>
              <w:right w:val="single" w:sz="8" w:space="0" w:color="auto"/>
            </w:tcBorders>
            <w:shd w:val="clear" w:color="auto" w:fill="auto"/>
            <w:noWrap/>
            <w:vAlign w:val="center"/>
            <w:hideMark/>
          </w:tcPr>
          <w:p w:rsidR="00CB2519" w:rsidRDefault="00CB2519" w:rsidP="00277C86">
            <w:pPr>
              <w:jc w:val="right"/>
              <w:rPr>
                <w:color w:val="000000"/>
                <w:sz w:val="20"/>
                <w:szCs w:val="20"/>
              </w:rPr>
            </w:pPr>
            <w:r>
              <w:rPr>
                <w:color w:val="000000"/>
                <w:sz w:val="20"/>
                <w:szCs w:val="20"/>
              </w:rPr>
              <w:t>80.5</w:t>
            </w:r>
          </w:p>
        </w:tc>
      </w:tr>
      <w:tr w:rsidR="00CB2519" w:rsidTr="00277C86">
        <w:trPr>
          <w:trHeight w:val="315"/>
          <w:jc w:val="center"/>
        </w:trPr>
        <w:tc>
          <w:tcPr>
            <w:tcW w:w="2100" w:type="dxa"/>
            <w:tcBorders>
              <w:top w:val="nil"/>
              <w:left w:val="single" w:sz="8" w:space="0" w:color="auto"/>
              <w:bottom w:val="single" w:sz="8" w:space="0" w:color="auto"/>
              <w:right w:val="single" w:sz="8" w:space="0" w:color="auto"/>
            </w:tcBorders>
            <w:shd w:val="clear" w:color="auto" w:fill="auto"/>
            <w:noWrap/>
            <w:vAlign w:val="center"/>
            <w:hideMark/>
          </w:tcPr>
          <w:p w:rsidR="00CB2519" w:rsidRDefault="00CB2519" w:rsidP="00277C86">
            <w:pPr>
              <w:rPr>
                <w:b/>
                <w:bCs/>
                <w:color w:val="000000"/>
                <w:sz w:val="20"/>
                <w:szCs w:val="20"/>
              </w:rPr>
            </w:pPr>
            <w:r>
              <w:rPr>
                <w:b/>
                <w:bCs/>
                <w:color w:val="000000"/>
                <w:sz w:val="20"/>
                <w:szCs w:val="20"/>
              </w:rPr>
              <w:t>Ejercicio 2021</w:t>
            </w:r>
          </w:p>
        </w:tc>
        <w:tc>
          <w:tcPr>
            <w:tcW w:w="1900" w:type="dxa"/>
            <w:tcBorders>
              <w:top w:val="nil"/>
              <w:left w:val="nil"/>
              <w:bottom w:val="single" w:sz="8" w:space="0" w:color="auto"/>
              <w:right w:val="single" w:sz="8" w:space="0" w:color="auto"/>
            </w:tcBorders>
            <w:shd w:val="clear" w:color="auto" w:fill="auto"/>
            <w:noWrap/>
            <w:vAlign w:val="center"/>
            <w:hideMark/>
          </w:tcPr>
          <w:p w:rsidR="00CB2519" w:rsidRDefault="00CB2519" w:rsidP="00277C86">
            <w:pPr>
              <w:jc w:val="right"/>
              <w:rPr>
                <w:color w:val="000000"/>
                <w:sz w:val="20"/>
                <w:szCs w:val="20"/>
              </w:rPr>
            </w:pPr>
            <w:r>
              <w:rPr>
                <w:color w:val="000000"/>
                <w:sz w:val="20"/>
                <w:szCs w:val="20"/>
              </w:rPr>
              <w:t>49.6</w:t>
            </w:r>
          </w:p>
        </w:tc>
      </w:tr>
      <w:tr w:rsidR="00CB2519" w:rsidTr="00277C86">
        <w:trPr>
          <w:trHeight w:val="315"/>
          <w:jc w:val="center"/>
        </w:trPr>
        <w:tc>
          <w:tcPr>
            <w:tcW w:w="2100" w:type="dxa"/>
            <w:tcBorders>
              <w:top w:val="nil"/>
              <w:left w:val="single" w:sz="8" w:space="0" w:color="auto"/>
              <w:bottom w:val="single" w:sz="8" w:space="0" w:color="auto"/>
              <w:right w:val="single" w:sz="8" w:space="0" w:color="auto"/>
            </w:tcBorders>
            <w:shd w:val="clear" w:color="auto" w:fill="auto"/>
            <w:noWrap/>
            <w:vAlign w:val="center"/>
            <w:hideMark/>
          </w:tcPr>
          <w:p w:rsidR="00CB2519" w:rsidRDefault="00CB2519" w:rsidP="00277C86">
            <w:pPr>
              <w:rPr>
                <w:b/>
                <w:bCs/>
                <w:color w:val="000000"/>
                <w:sz w:val="20"/>
                <w:szCs w:val="20"/>
              </w:rPr>
            </w:pPr>
            <w:r>
              <w:rPr>
                <w:b/>
                <w:bCs/>
                <w:color w:val="000000"/>
                <w:sz w:val="20"/>
                <w:szCs w:val="20"/>
              </w:rPr>
              <w:t>Ejercicio 2022</w:t>
            </w:r>
          </w:p>
        </w:tc>
        <w:tc>
          <w:tcPr>
            <w:tcW w:w="1900" w:type="dxa"/>
            <w:tcBorders>
              <w:top w:val="nil"/>
              <w:left w:val="nil"/>
              <w:bottom w:val="single" w:sz="8" w:space="0" w:color="auto"/>
              <w:right w:val="single" w:sz="8" w:space="0" w:color="auto"/>
            </w:tcBorders>
            <w:shd w:val="clear" w:color="auto" w:fill="auto"/>
            <w:noWrap/>
            <w:vAlign w:val="center"/>
            <w:hideMark/>
          </w:tcPr>
          <w:p w:rsidR="00CB2519" w:rsidRDefault="00CB2519" w:rsidP="00277C86">
            <w:pPr>
              <w:jc w:val="right"/>
              <w:rPr>
                <w:color w:val="000000"/>
                <w:sz w:val="20"/>
                <w:szCs w:val="20"/>
              </w:rPr>
            </w:pPr>
            <w:r>
              <w:rPr>
                <w:color w:val="000000"/>
                <w:sz w:val="20"/>
                <w:szCs w:val="20"/>
              </w:rPr>
              <w:t>77.6</w:t>
            </w:r>
          </w:p>
        </w:tc>
      </w:tr>
      <w:tr w:rsidR="00CB2519" w:rsidTr="00277C86">
        <w:trPr>
          <w:trHeight w:val="315"/>
          <w:jc w:val="center"/>
        </w:trPr>
        <w:tc>
          <w:tcPr>
            <w:tcW w:w="2100" w:type="dxa"/>
            <w:tcBorders>
              <w:top w:val="nil"/>
              <w:left w:val="single" w:sz="8" w:space="0" w:color="auto"/>
              <w:bottom w:val="single" w:sz="8" w:space="0" w:color="auto"/>
              <w:right w:val="single" w:sz="8" w:space="0" w:color="auto"/>
            </w:tcBorders>
            <w:shd w:val="clear" w:color="auto" w:fill="auto"/>
            <w:noWrap/>
            <w:vAlign w:val="center"/>
            <w:hideMark/>
          </w:tcPr>
          <w:p w:rsidR="00CB2519" w:rsidRDefault="00CB2519" w:rsidP="00277C86">
            <w:pPr>
              <w:rPr>
                <w:b/>
                <w:bCs/>
                <w:color w:val="000000"/>
                <w:sz w:val="20"/>
                <w:szCs w:val="20"/>
              </w:rPr>
            </w:pPr>
            <w:r>
              <w:rPr>
                <w:b/>
                <w:bCs/>
                <w:color w:val="000000"/>
                <w:sz w:val="20"/>
                <w:szCs w:val="20"/>
              </w:rPr>
              <w:t>*Ejercicio 2023</w:t>
            </w:r>
          </w:p>
        </w:tc>
        <w:tc>
          <w:tcPr>
            <w:tcW w:w="1900" w:type="dxa"/>
            <w:tcBorders>
              <w:top w:val="nil"/>
              <w:left w:val="nil"/>
              <w:bottom w:val="single" w:sz="8" w:space="0" w:color="auto"/>
              <w:right w:val="single" w:sz="8" w:space="0" w:color="auto"/>
            </w:tcBorders>
            <w:shd w:val="clear" w:color="auto" w:fill="auto"/>
            <w:noWrap/>
            <w:vAlign w:val="center"/>
            <w:hideMark/>
          </w:tcPr>
          <w:p w:rsidR="00CB2519" w:rsidRDefault="00CB2519" w:rsidP="00277C86">
            <w:pPr>
              <w:jc w:val="right"/>
              <w:rPr>
                <w:b/>
                <w:bCs/>
                <w:color w:val="000000"/>
                <w:sz w:val="20"/>
                <w:szCs w:val="20"/>
              </w:rPr>
            </w:pPr>
            <w:r>
              <w:rPr>
                <w:b/>
                <w:bCs/>
                <w:color w:val="000000"/>
                <w:sz w:val="20"/>
                <w:szCs w:val="20"/>
              </w:rPr>
              <w:t>35.0</w:t>
            </w:r>
          </w:p>
        </w:tc>
      </w:tr>
      <w:tr w:rsidR="00CB2519" w:rsidTr="00277C86">
        <w:trPr>
          <w:trHeight w:val="315"/>
          <w:jc w:val="center"/>
        </w:trPr>
        <w:tc>
          <w:tcPr>
            <w:tcW w:w="2100" w:type="dxa"/>
            <w:tcBorders>
              <w:top w:val="nil"/>
              <w:left w:val="single" w:sz="8" w:space="0" w:color="auto"/>
              <w:bottom w:val="single" w:sz="8" w:space="0" w:color="auto"/>
              <w:right w:val="single" w:sz="8" w:space="0" w:color="auto"/>
            </w:tcBorders>
            <w:shd w:val="clear" w:color="auto" w:fill="auto"/>
            <w:noWrap/>
            <w:vAlign w:val="center"/>
            <w:hideMark/>
          </w:tcPr>
          <w:p w:rsidR="00CB2519" w:rsidRDefault="00CB2519" w:rsidP="00277C86">
            <w:pPr>
              <w:jc w:val="center"/>
              <w:rPr>
                <w:b/>
                <w:bCs/>
                <w:color w:val="000000"/>
                <w:sz w:val="20"/>
                <w:szCs w:val="20"/>
              </w:rPr>
            </w:pPr>
            <w:r>
              <w:rPr>
                <w:b/>
                <w:bCs/>
                <w:color w:val="000000"/>
                <w:sz w:val="20"/>
                <w:szCs w:val="20"/>
              </w:rPr>
              <w:t>SUMA</w:t>
            </w:r>
          </w:p>
        </w:tc>
        <w:tc>
          <w:tcPr>
            <w:tcW w:w="1900" w:type="dxa"/>
            <w:tcBorders>
              <w:top w:val="nil"/>
              <w:left w:val="nil"/>
              <w:bottom w:val="single" w:sz="8" w:space="0" w:color="auto"/>
              <w:right w:val="single" w:sz="8" w:space="0" w:color="auto"/>
            </w:tcBorders>
            <w:shd w:val="clear" w:color="auto" w:fill="auto"/>
            <w:noWrap/>
            <w:vAlign w:val="center"/>
            <w:hideMark/>
          </w:tcPr>
          <w:p w:rsidR="00CB2519" w:rsidRDefault="00CB2519" w:rsidP="00277C86">
            <w:pPr>
              <w:jc w:val="right"/>
              <w:rPr>
                <w:b/>
                <w:bCs/>
                <w:color w:val="000000"/>
                <w:sz w:val="20"/>
                <w:szCs w:val="20"/>
              </w:rPr>
            </w:pPr>
            <w:r>
              <w:rPr>
                <w:b/>
                <w:bCs/>
                <w:color w:val="000000"/>
                <w:sz w:val="20"/>
                <w:szCs w:val="20"/>
              </w:rPr>
              <w:t>355.3</w:t>
            </w:r>
          </w:p>
        </w:tc>
      </w:tr>
    </w:tbl>
    <w:p w:rsidR="00CB2519" w:rsidRDefault="00CB2519" w:rsidP="00CB2519">
      <w:pPr>
        <w:spacing w:line="360" w:lineRule="auto"/>
        <w:ind w:left="2268"/>
        <w:rPr>
          <w:b/>
          <w:sz w:val="20"/>
          <w:szCs w:val="20"/>
        </w:rPr>
      </w:pPr>
      <w:r>
        <w:rPr>
          <w:b/>
          <w:sz w:val="20"/>
          <w:szCs w:val="20"/>
        </w:rPr>
        <w:t>* Cifra estimada al cierre 2023</w:t>
      </w:r>
    </w:p>
    <w:p w:rsidR="00CB2519" w:rsidRDefault="00CB2519" w:rsidP="00CB2519">
      <w:pPr>
        <w:spacing w:line="360" w:lineRule="auto"/>
        <w:jc w:val="both"/>
        <w:rPr>
          <w:sz w:val="20"/>
          <w:szCs w:val="20"/>
        </w:rPr>
      </w:pPr>
    </w:p>
    <w:p w:rsidR="00CB2519" w:rsidRDefault="00CB2519" w:rsidP="00CB2519">
      <w:pPr>
        <w:spacing w:line="360" w:lineRule="auto"/>
        <w:jc w:val="both"/>
        <w:rPr>
          <w:sz w:val="20"/>
          <w:szCs w:val="20"/>
        </w:rPr>
      </w:pPr>
      <w:r>
        <w:rPr>
          <w:sz w:val="20"/>
          <w:szCs w:val="20"/>
        </w:rPr>
        <w:t>Los ingresos propios de Pensiones Civiles del Estado de Tlaxcala, se han visto incrementados, a partir, de la reforma, como se observa a continuación:</w:t>
      </w:r>
    </w:p>
    <w:p w:rsidR="00CB2519" w:rsidRDefault="00CB2519" w:rsidP="00CB2519">
      <w:pPr>
        <w:spacing w:line="360" w:lineRule="auto"/>
        <w:jc w:val="both"/>
        <w:rPr>
          <w:sz w:val="20"/>
          <w:szCs w:val="20"/>
        </w:rPr>
      </w:pPr>
    </w:p>
    <w:tbl>
      <w:tblPr>
        <w:tblW w:w="4000" w:type="dxa"/>
        <w:jc w:val="center"/>
        <w:tblCellMar>
          <w:left w:w="70" w:type="dxa"/>
          <w:right w:w="70" w:type="dxa"/>
        </w:tblCellMar>
        <w:tblLook w:val="04A0" w:firstRow="1" w:lastRow="0" w:firstColumn="1" w:lastColumn="0" w:noHBand="0" w:noVBand="1"/>
      </w:tblPr>
      <w:tblGrid>
        <w:gridCol w:w="2100"/>
        <w:gridCol w:w="1900"/>
      </w:tblGrid>
      <w:tr w:rsidR="00CB2519" w:rsidTr="00277C86">
        <w:trPr>
          <w:trHeight w:val="510"/>
          <w:jc w:val="center"/>
        </w:trPr>
        <w:tc>
          <w:tcPr>
            <w:tcW w:w="2100" w:type="dxa"/>
            <w:vMerge w:val="restart"/>
            <w:tcBorders>
              <w:top w:val="single" w:sz="8" w:space="0" w:color="auto"/>
              <w:left w:val="single" w:sz="8" w:space="0" w:color="auto"/>
              <w:bottom w:val="single" w:sz="8" w:space="0" w:color="000000"/>
              <w:right w:val="single" w:sz="8" w:space="0" w:color="auto"/>
            </w:tcBorders>
            <w:shd w:val="clear" w:color="000000" w:fill="BFBFBF"/>
            <w:noWrap/>
            <w:vAlign w:val="center"/>
            <w:hideMark/>
          </w:tcPr>
          <w:p w:rsidR="00CB2519" w:rsidRDefault="00CB2519" w:rsidP="00277C86">
            <w:pPr>
              <w:jc w:val="center"/>
              <w:rPr>
                <w:b/>
                <w:bCs/>
                <w:color w:val="000000"/>
                <w:sz w:val="20"/>
                <w:szCs w:val="20"/>
                <w:lang w:val="es-MX" w:eastAsia="es-MX"/>
              </w:rPr>
            </w:pPr>
            <w:r>
              <w:rPr>
                <w:b/>
                <w:bCs/>
                <w:color w:val="000000"/>
                <w:sz w:val="20"/>
                <w:szCs w:val="20"/>
              </w:rPr>
              <w:t>AÑO</w:t>
            </w:r>
          </w:p>
        </w:tc>
        <w:tc>
          <w:tcPr>
            <w:tcW w:w="1900" w:type="dxa"/>
            <w:tcBorders>
              <w:top w:val="single" w:sz="8" w:space="0" w:color="auto"/>
              <w:left w:val="nil"/>
              <w:bottom w:val="nil"/>
              <w:right w:val="single" w:sz="8" w:space="0" w:color="auto"/>
            </w:tcBorders>
            <w:shd w:val="clear" w:color="000000" w:fill="BFBFBF"/>
            <w:vAlign w:val="center"/>
            <w:hideMark/>
          </w:tcPr>
          <w:p w:rsidR="00CB2519" w:rsidRDefault="00CB2519" w:rsidP="00277C86">
            <w:pPr>
              <w:jc w:val="center"/>
              <w:rPr>
                <w:b/>
                <w:bCs/>
                <w:color w:val="000000"/>
                <w:sz w:val="20"/>
                <w:szCs w:val="20"/>
              </w:rPr>
            </w:pPr>
            <w:r>
              <w:rPr>
                <w:b/>
                <w:bCs/>
                <w:color w:val="000000"/>
                <w:sz w:val="20"/>
                <w:szCs w:val="20"/>
              </w:rPr>
              <w:t>APORTACIONES Y RETENCIONES</w:t>
            </w:r>
          </w:p>
        </w:tc>
      </w:tr>
      <w:tr w:rsidR="00CB2519" w:rsidTr="00277C86">
        <w:trPr>
          <w:trHeight w:val="315"/>
          <w:jc w:val="center"/>
        </w:trPr>
        <w:tc>
          <w:tcPr>
            <w:tcW w:w="2100" w:type="dxa"/>
            <w:vMerge/>
            <w:tcBorders>
              <w:top w:val="single" w:sz="8" w:space="0" w:color="auto"/>
              <w:left w:val="single" w:sz="8" w:space="0" w:color="auto"/>
              <w:bottom w:val="single" w:sz="8" w:space="0" w:color="000000"/>
              <w:right w:val="single" w:sz="8" w:space="0" w:color="auto"/>
            </w:tcBorders>
            <w:vAlign w:val="center"/>
            <w:hideMark/>
          </w:tcPr>
          <w:p w:rsidR="00CB2519" w:rsidRDefault="00CB2519" w:rsidP="00277C86">
            <w:pPr>
              <w:rPr>
                <w:b/>
                <w:bCs/>
                <w:color w:val="000000"/>
                <w:sz w:val="20"/>
                <w:szCs w:val="20"/>
              </w:rPr>
            </w:pPr>
          </w:p>
        </w:tc>
        <w:tc>
          <w:tcPr>
            <w:tcW w:w="1900" w:type="dxa"/>
            <w:tcBorders>
              <w:top w:val="nil"/>
              <w:left w:val="nil"/>
              <w:bottom w:val="single" w:sz="8" w:space="0" w:color="auto"/>
              <w:right w:val="single" w:sz="8" w:space="0" w:color="auto"/>
            </w:tcBorders>
            <w:shd w:val="clear" w:color="000000" w:fill="BFBFBF"/>
            <w:vAlign w:val="center"/>
            <w:hideMark/>
          </w:tcPr>
          <w:p w:rsidR="00CB2519" w:rsidRDefault="00CB2519" w:rsidP="00277C86">
            <w:pPr>
              <w:jc w:val="center"/>
              <w:rPr>
                <w:b/>
                <w:bCs/>
                <w:color w:val="000000"/>
                <w:sz w:val="20"/>
                <w:szCs w:val="20"/>
              </w:rPr>
            </w:pPr>
            <w:r>
              <w:rPr>
                <w:b/>
                <w:bCs/>
                <w:color w:val="000000"/>
                <w:sz w:val="20"/>
                <w:szCs w:val="20"/>
              </w:rPr>
              <w:t>(MDP)</w:t>
            </w:r>
          </w:p>
        </w:tc>
      </w:tr>
      <w:tr w:rsidR="00CB2519" w:rsidTr="00277C86">
        <w:trPr>
          <w:trHeight w:val="315"/>
          <w:jc w:val="center"/>
        </w:trPr>
        <w:tc>
          <w:tcPr>
            <w:tcW w:w="2100" w:type="dxa"/>
            <w:tcBorders>
              <w:top w:val="nil"/>
              <w:left w:val="single" w:sz="8" w:space="0" w:color="auto"/>
              <w:bottom w:val="single" w:sz="8" w:space="0" w:color="auto"/>
              <w:right w:val="single" w:sz="8" w:space="0" w:color="auto"/>
            </w:tcBorders>
            <w:shd w:val="clear" w:color="auto" w:fill="auto"/>
            <w:noWrap/>
            <w:vAlign w:val="center"/>
            <w:hideMark/>
          </w:tcPr>
          <w:p w:rsidR="00CB2519" w:rsidRDefault="00CB2519" w:rsidP="00277C86">
            <w:pPr>
              <w:rPr>
                <w:b/>
                <w:bCs/>
                <w:color w:val="000000"/>
                <w:sz w:val="20"/>
                <w:szCs w:val="20"/>
              </w:rPr>
            </w:pPr>
            <w:r>
              <w:rPr>
                <w:b/>
                <w:bCs/>
                <w:color w:val="000000"/>
                <w:sz w:val="20"/>
                <w:szCs w:val="20"/>
              </w:rPr>
              <w:t>Ejercicio 2017</w:t>
            </w:r>
          </w:p>
        </w:tc>
        <w:tc>
          <w:tcPr>
            <w:tcW w:w="1900" w:type="dxa"/>
            <w:tcBorders>
              <w:top w:val="nil"/>
              <w:left w:val="nil"/>
              <w:bottom w:val="single" w:sz="8" w:space="0" w:color="auto"/>
              <w:right w:val="single" w:sz="8" w:space="0" w:color="auto"/>
            </w:tcBorders>
            <w:shd w:val="clear" w:color="auto" w:fill="auto"/>
            <w:noWrap/>
            <w:vAlign w:val="center"/>
            <w:hideMark/>
          </w:tcPr>
          <w:p w:rsidR="00CB2519" w:rsidRDefault="00CB2519" w:rsidP="00277C86">
            <w:pPr>
              <w:jc w:val="right"/>
              <w:rPr>
                <w:color w:val="000000"/>
                <w:sz w:val="20"/>
                <w:szCs w:val="20"/>
              </w:rPr>
            </w:pPr>
            <w:r>
              <w:rPr>
                <w:color w:val="000000"/>
                <w:sz w:val="20"/>
                <w:szCs w:val="20"/>
              </w:rPr>
              <w:t>275.2</w:t>
            </w:r>
          </w:p>
        </w:tc>
      </w:tr>
      <w:tr w:rsidR="00CB2519" w:rsidTr="00277C86">
        <w:trPr>
          <w:trHeight w:val="315"/>
          <w:jc w:val="center"/>
        </w:trPr>
        <w:tc>
          <w:tcPr>
            <w:tcW w:w="2100" w:type="dxa"/>
            <w:tcBorders>
              <w:top w:val="nil"/>
              <w:left w:val="single" w:sz="8" w:space="0" w:color="auto"/>
              <w:bottom w:val="single" w:sz="8" w:space="0" w:color="auto"/>
              <w:right w:val="single" w:sz="8" w:space="0" w:color="auto"/>
            </w:tcBorders>
            <w:shd w:val="clear" w:color="auto" w:fill="auto"/>
            <w:noWrap/>
            <w:vAlign w:val="center"/>
            <w:hideMark/>
          </w:tcPr>
          <w:p w:rsidR="00CB2519" w:rsidRDefault="00CB2519" w:rsidP="00277C86">
            <w:pPr>
              <w:rPr>
                <w:b/>
                <w:bCs/>
                <w:color w:val="000000"/>
                <w:sz w:val="20"/>
                <w:szCs w:val="20"/>
              </w:rPr>
            </w:pPr>
            <w:r>
              <w:rPr>
                <w:b/>
                <w:bCs/>
                <w:color w:val="000000"/>
                <w:sz w:val="20"/>
                <w:szCs w:val="20"/>
              </w:rPr>
              <w:t>Ejercicio 2018</w:t>
            </w:r>
          </w:p>
        </w:tc>
        <w:tc>
          <w:tcPr>
            <w:tcW w:w="1900" w:type="dxa"/>
            <w:tcBorders>
              <w:top w:val="nil"/>
              <w:left w:val="nil"/>
              <w:bottom w:val="single" w:sz="8" w:space="0" w:color="auto"/>
              <w:right w:val="single" w:sz="8" w:space="0" w:color="auto"/>
            </w:tcBorders>
            <w:shd w:val="clear" w:color="auto" w:fill="auto"/>
            <w:noWrap/>
            <w:vAlign w:val="center"/>
            <w:hideMark/>
          </w:tcPr>
          <w:p w:rsidR="00CB2519" w:rsidRDefault="00CB2519" w:rsidP="00277C86">
            <w:pPr>
              <w:jc w:val="right"/>
              <w:rPr>
                <w:color w:val="000000"/>
                <w:sz w:val="20"/>
                <w:szCs w:val="20"/>
              </w:rPr>
            </w:pPr>
            <w:r>
              <w:rPr>
                <w:color w:val="000000"/>
                <w:sz w:val="20"/>
                <w:szCs w:val="20"/>
              </w:rPr>
              <w:t>267.1</w:t>
            </w:r>
          </w:p>
        </w:tc>
      </w:tr>
      <w:tr w:rsidR="00CB2519" w:rsidTr="00277C86">
        <w:trPr>
          <w:trHeight w:val="315"/>
          <w:jc w:val="center"/>
        </w:trPr>
        <w:tc>
          <w:tcPr>
            <w:tcW w:w="2100" w:type="dxa"/>
            <w:tcBorders>
              <w:top w:val="nil"/>
              <w:left w:val="single" w:sz="8" w:space="0" w:color="auto"/>
              <w:bottom w:val="single" w:sz="8" w:space="0" w:color="auto"/>
              <w:right w:val="single" w:sz="8" w:space="0" w:color="auto"/>
            </w:tcBorders>
            <w:shd w:val="clear" w:color="auto" w:fill="auto"/>
            <w:noWrap/>
            <w:vAlign w:val="center"/>
            <w:hideMark/>
          </w:tcPr>
          <w:p w:rsidR="00CB2519" w:rsidRDefault="00CB2519" w:rsidP="00277C86">
            <w:pPr>
              <w:rPr>
                <w:b/>
                <w:bCs/>
                <w:color w:val="000000"/>
                <w:sz w:val="20"/>
                <w:szCs w:val="20"/>
              </w:rPr>
            </w:pPr>
            <w:r>
              <w:rPr>
                <w:b/>
                <w:bCs/>
                <w:color w:val="000000"/>
                <w:sz w:val="20"/>
                <w:szCs w:val="20"/>
              </w:rPr>
              <w:t>Ejercicio 2019</w:t>
            </w:r>
          </w:p>
        </w:tc>
        <w:tc>
          <w:tcPr>
            <w:tcW w:w="1900" w:type="dxa"/>
            <w:tcBorders>
              <w:top w:val="nil"/>
              <w:left w:val="nil"/>
              <w:bottom w:val="single" w:sz="8" w:space="0" w:color="auto"/>
              <w:right w:val="single" w:sz="8" w:space="0" w:color="auto"/>
            </w:tcBorders>
            <w:shd w:val="clear" w:color="auto" w:fill="auto"/>
            <w:noWrap/>
            <w:vAlign w:val="center"/>
            <w:hideMark/>
          </w:tcPr>
          <w:p w:rsidR="00CB2519" w:rsidRDefault="00CB2519" w:rsidP="00277C86">
            <w:pPr>
              <w:jc w:val="right"/>
              <w:rPr>
                <w:color w:val="000000"/>
                <w:sz w:val="20"/>
                <w:szCs w:val="20"/>
              </w:rPr>
            </w:pPr>
            <w:r>
              <w:rPr>
                <w:color w:val="000000"/>
                <w:sz w:val="20"/>
                <w:szCs w:val="20"/>
              </w:rPr>
              <w:t>290.9</w:t>
            </w:r>
          </w:p>
        </w:tc>
      </w:tr>
      <w:tr w:rsidR="00CB2519" w:rsidTr="00277C86">
        <w:trPr>
          <w:trHeight w:val="315"/>
          <w:jc w:val="center"/>
        </w:trPr>
        <w:tc>
          <w:tcPr>
            <w:tcW w:w="2100" w:type="dxa"/>
            <w:tcBorders>
              <w:top w:val="nil"/>
              <w:left w:val="single" w:sz="8" w:space="0" w:color="auto"/>
              <w:bottom w:val="single" w:sz="8" w:space="0" w:color="auto"/>
              <w:right w:val="single" w:sz="8" w:space="0" w:color="auto"/>
            </w:tcBorders>
            <w:shd w:val="clear" w:color="auto" w:fill="auto"/>
            <w:noWrap/>
            <w:vAlign w:val="center"/>
            <w:hideMark/>
          </w:tcPr>
          <w:p w:rsidR="00CB2519" w:rsidRDefault="00CB2519" w:rsidP="00277C86">
            <w:pPr>
              <w:rPr>
                <w:b/>
                <w:bCs/>
                <w:color w:val="000000"/>
                <w:sz w:val="20"/>
                <w:szCs w:val="20"/>
              </w:rPr>
            </w:pPr>
            <w:r>
              <w:rPr>
                <w:b/>
                <w:bCs/>
                <w:color w:val="000000"/>
                <w:sz w:val="20"/>
                <w:szCs w:val="20"/>
              </w:rPr>
              <w:t>Ejercicio 2020</w:t>
            </w:r>
          </w:p>
        </w:tc>
        <w:tc>
          <w:tcPr>
            <w:tcW w:w="1900" w:type="dxa"/>
            <w:tcBorders>
              <w:top w:val="nil"/>
              <w:left w:val="nil"/>
              <w:bottom w:val="single" w:sz="8" w:space="0" w:color="auto"/>
              <w:right w:val="single" w:sz="8" w:space="0" w:color="auto"/>
            </w:tcBorders>
            <w:shd w:val="clear" w:color="auto" w:fill="auto"/>
            <w:noWrap/>
            <w:vAlign w:val="center"/>
            <w:hideMark/>
          </w:tcPr>
          <w:p w:rsidR="00CB2519" w:rsidRDefault="00CB2519" w:rsidP="00277C86">
            <w:pPr>
              <w:jc w:val="right"/>
              <w:rPr>
                <w:color w:val="000000"/>
                <w:sz w:val="20"/>
                <w:szCs w:val="20"/>
              </w:rPr>
            </w:pPr>
            <w:r>
              <w:rPr>
                <w:color w:val="000000"/>
                <w:sz w:val="20"/>
                <w:szCs w:val="20"/>
              </w:rPr>
              <w:t>364.2</w:t>
            </w:r>
          </w:p>
        </w:tc>
      </w:tr>
      <w:tr w:rsidR="00CB2519" w:rsidTr="00277C86">
        <w:trPr>
          <w:trHeight w:val="315"/>
          <w:jc w:val="center"/>
        </w:trPr>
        <w:tc>
          <w:tcPr>
            <w:tcW w:w="2100" w:type="dxa"/>
            <w:tcBorders>
              <w:top w:val="nil"/>
              <w:left w:val="single" w:sz="8" w:space="0" w:color="auto"/>
              <w:bottom w:val="single" w:sz="8" w:space="0" w:color="auto"/>
              <w:right w:val="single" w:sz="8" w:space="0" w:color="auto"/>
            </w:tcBorders>
            <w:shd w:val="clear" w:color="auto" w:fill="auto"/>
            <w:noWrap/>
            <w:vAlign w:val="center"/>
            <w:hideMark/>
          </w:tcPr>
          <w:p w:rsidR="00CB2519" w:rsidRDefault="00CB2519" w:rsidP="00277C86">
            <w:pPr>
              <w:rPr>
                <w:b/>
                <w:bCs/>
                <w:color w:val="000000"/>
                <w:sz w:val="20"/>
                <w:szCs w:val="20"/>
              </w:rPr>
            </w:pPr>
            <w:r>
              <w:rPr>
                <w:b/>
                <w:bCs/>
                <w:color w:val="000000"/>
                <w:sz w:val="20"/>
                <w:szCs w:val="20"/>
              </w:rPr>
              <w:t>Ejercicio 2021</w:t>
            </w:r>
          </w:p>
        </w:tc>
        <w:tc>
          <w:tcPr>
            <w:tcW w:w="1900" w:type="dxa"/>
            <w:tcBorders>
              <w:top w:val="nil"/>
              <w:left w:val="nil"/>
              <w:bottom w:val="single" w:sz="8" w:space="0" w:color="auto"/>
              <w:right w:val="single" w:sz="8" w:space="0" w:color="auto"/>
            </w:tcBorders>
            <w:shd w:val="clear" w:color="auto" w:fill="auto"/>
            <w:noWrap/>
            <w:vAlign w:val="center"/>
            <w:hideMark/>
          </w:tcPr>
          <w:p w:rsidR="00CB2519" w:rsidRDefault="00CB2519" w:rsidP="00277C86">
            <w:pPr>
              <w:jc w:val="right"/>
              <w:rPr>
                <w:color w:val="000000"/>
                <w:sz w:val="20"/>
                <w:szCs w:val="20"/>
              </w:rPr>
            </w:pPr>
            <w:r>
              <w:rPr>
                <w:color w:val="000000"/>
                <w:sz w:val="20"/>
                <w:szCs w:val="20"/>
              </w:rPr>
              <w:t>351.6</w:t>
            </w:r>
          </w:p>
        </w:tc>
      </w:tr>
      <w:tr w:rsidR="00CB2519" w:rsidTr="00277C86">
        <w:trPr>
          <w:trHeight w:val="315"/>
          <w:jc w:val="center"/>
        </w:trPr>
        <w:tc>
          <w:tcPr>
            <w:tcW w:w="2100" w:type="dxa"/>
            <w:tcBorders>
              <w:top w:val="nil"/>
              <w:left w:val="single" w:sz="8" w:space="0" w:color="auto"/>
              <w:bottom w:val="single" w:sz="8" w:space="0" w:color="auto"/>
              <w:right w:val="single" w:sz="8" w:space="0" w:color="auto"/>
            </w:tcBorders>
            <w:shd w:val="clear" w:color="auto" w:fill="auto"/>
            <w:noWrap/>
            <w:vAlign w:val="center"/>
            <w:hideMark/>
          </w:tcPr>
          <w:p w:rsidR="00CB2519" w:rsidRDefault="00CB2519" w:rsidP="00277C86">
            <w:pPr>
              <w:rPr>
                <w:b/>
                <w:bCs/>
                <w:color w:val="000000"/>
                <w:sz w:val="20"/>
                <w:szCs w:val="20"/>
              </w:rPr>
            </w:pPr>
            <w:r>
              <w:rPr>
                <w:b/>
                <w:bCs/>
                <w:color w:val="000000"/>
                <w:sz w:val="20"/>
                <w:szCs w:val="20"/>
              </w:rPr>
              <w:t>Ejercicio 2022</w:t>
            </w:r>
          </w:p>
        </w:tc>
        <w:tc>
          <w:tcPr>
            <w:tcW w:w="1900" w:type="dxa"/>
            <w:tcBorders>
              <w:top w:val="nil"/>
              <w:left w:val="nil"/>
              <w:bottom w:val="single" w:sz="8" w:space="0" w:color="auto"/>
              <w:right w:val="single" w:sz="8" w:space="0" w:color="auto"/>
            </w:tcBorders>
            <w:shd w:val="clear" w:color="auto" w:fill="auto"/>
            <w:noWrap/>
            <w:vAlign w:val="center"/>
            <w:hideMark/>
          </w:tcPr>
          <w:p w:rsidR="00CB2519" w:rsidRDefault="00CB2519" w:rsidP="00277C86">
            <w:pPr>
              <w:jc w:val="right"/>
              <w:rPr>
                <w:color w:val="000000"/>
                <w:sz w:val="20"/>
                <w:szCs w:val="20"/>
              </w:rPr>
            </w:pPr>
            <w:r>
              <w:rPr>
                <w:color w:val="000000"/>
                <w:sz w:val="20"/>
                <w:szCs w:val="20"/>
              </w:rPr>
              <w:t>377.9</w:t>
            </w:r>
          </w:p>
        </w:tc>
      </w:tr>
      <w:tr w:rsidR="00CB2519" w:rsidTr="00277C86">
        <w:trPr>
          <w:trHeight w:val="315"/>
          <w:jc w:val="center"/>
        </w:trPr>
        <w:tc>
          <w:tcPr>
            <w:tcW w:w="2100" w:type="dxa"/>
            <w:tcBorders>
              <w:top w:val="nil"/>
              <w:left w:val="single" w:sz="8" w:space="0" w:color="auto"/>
              <w:bottom w:val="single" w:sz="8" w:space="0" w:color="auto"/>
              <w:right w:val="single" w:sz="8" w:space="0" w:color="auto"/>
            </w:tcBorders>
            <w:shd w:val="clear" w:color="auto" w:fill="auto"/>
            <w:noWrap/>
            <w:vAlign w:val="center"/>
            <w:hideMark/>
          </w:tcPr>
          <w:p w:rsidR="00CB2519" w:rsidRDefault="00CB2519" w:rsidP="00277C86">
            <w:pPr>
              <w:rPr>
                <w:b/>
                <w:bCs/>
                <w:color w:val="000000"/>
                <w:sz w:val="20"/>
                <w:szCs w:val="20"/>
              </w:rPr>
            </w:pPr>
            <w:r>
              <w:rPr>
                <w:b/>
                <w:bCs/>
                <w:color w:val="000000"/>
                <w:sz w:val="20"/>
                <w:szCs w:val="20"/>
              </w:rPr>
              <w:t>* Ejercicio 2023</w:t>
            </w:r>
          </w:p>
        </w:tc>
        <w:tc>
          <w:tcPr>
            <w:tcW w:w="1900" w:type="dxa"/>
            <w:tcBorders>
              <w:top w:val="nil"/>
              <w:left w:val="nil"/>
              <w:bottom w:val="single" w:sz="8" w:space="0" w:color="auto"/>
              <w:right w:val="single" w:sz="8" w:space="0" w:color="auto"/>
            </w:tcBorders>
            <w:shd w:val="clear" w:color="auto" w:fill="auto"/>
            <w:noWrap/>
            <w:vAlign w:val="center"/>
            <w:hideMark/>
          </w:tcPr>
          <w:p w:rsidR="00CB2519" w:rsidRDefault="00CB2519" w:rsidP="00277C86">
            <w:pPr>
              <w:jc w:val="right"/>
              <w:rPr>
                <w:color w:val="000000"/>
                <w:sz w:val="20"/>
                <w:szCs w:val="20"/>
              </w:rPr>
            </w:pPr>
            <w:r>
              <w:rPr>
                <w:color w:val="000000"/>
                <w:sz w:val="20"/>
                <w:szCs w:val="20"/>
              </w:rPr>
              <w:t>283.8</w:t>
            </w:r>
          </w:p>
        </w:tc>
      </w:tr>
      <w:tr w:rsidR="00CB2519" w:rsidTr="00277C86">
        <w:trPr>
          <w:trHeight w:val="315"/>
          <w:jc w:val="center"/>
        </w:trPr>
        <w:tc>
          <w:tcPr>
            <w:tcW w:w="2100" w:type="dxa"/>
            <w:tcBorders>
              <w:top w:val="nil"/>
              <w:left w:val="single" w:sz="8" w:space="0" w:color="auto"/>
              <w:bottom w:val="single" w:sz="8" w:space="0" w:color="auto"/>
              <w:right w:val="single" w:sz="8" w:space="0" w:color="auto"/>
            </w:tcBorders>
            <w:shd w:val="clear" w:color="auto" w:fill="auto"/>
            <w:noWrap/>
            <w:vAlign w:val="center"/>
            <w:hideMark/>
          </w:tcPr>
          <w:p w:rsidR="00CB2519" w:rsidRDefault="00CB2519" w:rsidP="00277C86">
            <w:pPr>
              <w:jc w:val="center"/>
              <w:rPr>
                <w:b/>
                <w:bCs/>
                <w:color w:val="000000"/>
                <w:sz w:val="20"/>
                <w:szCs w:val="20"/>
              </w:rPr>
            </w:pPr>
            <w:r>
              <w:rPr>
                <w:b/>
                <w:bCs/>
                <w:color w:val="000000"/>
                <w:sz w:val="20"/>
                <w:szCs w:val="20"/>
              </w:rPr>
              <w:t>SUMA</w:t>
            </w:r>
          </w:p>
        </w:tc>
        <w:tc>
          <w:tcPr>
            <w:tcW w:w="1900" w:type="dxa"/>
            <w:tcBorders>
              <w:top w:val="nil"/>
              <w:left w:val="nil"/>
              <w:bottom w:val="single" w:sz="8" w:space="0" w:color="auto"/>
              <w:right w:val="single" w:sz="8" w:space="0" w:color="auto"/>
            </w:tcBorders>
            <w:shd w:val="clear" w:color="auto" w:fill="auto"/>
            <w:noWrap/>
            <w:vAlign w:val="center"/>
            <w:hideMark/>
          </w:tcPr>
          <w:p w:rsidR="00CB2519" w:rsidRDefault="00CB2519" w:rsidP="00277C86">
            <w:pPr>
              <w:jc w:val="right"/>
              <w:rPr>
                <w:b/>
                <w:bCs/>
                <w:color w:val="000000"/>
                <w:sz w:val="20"/>
                <w:szCs w:val="20"/>
              </w:rPr>
            </w:pPr>
            <w:r>
              <w:rPr>
                <w:b/>
                <w:bCs/>
                <w:color w:val="000000"/>
                <w:sz w:val="20"/>
                <w:szCs w:val="20"/>
              </w:rPr>
              <w:t>2,210.70</w:t>
            </w:r>
          </w:p>
        </w:tc>
      </w:tr>
    </w:tbl>
    <w:p w:rsidR="00CB2519" w:rsidRDefault="00CB2519" w:rsidP="00CB2519">
      <w:pPr>
        <w:spacing w:line="360" w:lineRule="auto"/>
        <w:jc w:val="center"/>
        <w:rPr>
          <w:b/>
          <w:sz w:val="20"/>
          <w:szCs w:val="20"/>
        </w:rPr>
      </w:pPr>
      <w:r>
        <w:rPr>
          <w:b/>
          <w:sz w:val="20"/>
          <w:szCs w:val="20"/>
        </w:rPr>
        <w:t>* Cifras al Cierre del mes de septiembre de 2023.</w:t>
      </w:r>
    </w:p>
    <w:p w:rsidR="00CB2519" w:rsidRDefault="00CB2519" w:rsidP="00CB2519">
      <w:pPr>
        <w:spacing w:line="360" w:lineRule="auto"/>
        <w:jc w:val="both"/>
        <w:rPr>
          <w:sz w:val="20"/>
          <w:szCs w:val="20"/>
        </w:rPr>
      </w:pPr>
    </w:p>
    <w:p w:rsidR="00CB2519" w:rsidRDefault="00CB2519" w:rsidP="00CB2519">
      <w:pPr>
        <w:spacing w:line="360" w:lineRule="auto"/>
        <w:jc w:val="both"/>
        <w:rPr>
          <w:sz w:val="20"/>
          <w:szCs w:val="20"/>
        </w:rPr>
      </w:pPr>
      <w:r>
        <w:rPr>
          <w:sz w:val="20"/>
          <w:szCs w:val="20"/>
        </w:rPr>
        <w:t>El Gobierno del Estado, tiene como prioridad sanear el Sistema Estatal de Pensiones garantizando la solvencia de la Institución e impulsando el otorgamiento y recuperación de créditos. En los últimos años se han realizado las aportaciones siguientes:</w:t>
      </w:r>
    </w:p>
    <w:p w:rsidR="00CB2519" w:rsidRDefault="00CB2519" w:rsidP="00CB2519">
      <w:pPr>
        <w:spacing w:line="360" w:lineRule="auto"/>
        <w:jc w:val="both"/>
        <w:rPr>
          <w:sz w:val="20"/>
          <w:szCs w:val="20"/>
        </w:rPr>
      </w:pPr>
    </w:p>
    <w:tbl>
      <w:tblPr>
        <w:tblW w:w="3397" w:type="dxa"/>
        <w:jc w:val="center"/>
        <w:tblCellMar>
          <w:left w:w="70" w:type="dxa"/>
          <w:right w:w="70" w:type="dxa"/>
        </w:tblCellMar>
        <w:tblLook w:val="04A0" w:firstRow="1" w:lastRow="0" w:firstColumn="1" w:lastColumn="0" w:noHBand="0" w:noVBand="1"/>
      </w:tblPr>
      <w:tblGrid>
        <w:gridCol w:w="1560"/>
        <w:gridCol w:w="1837"/>
      </w:tblGrid>
      <w:tr w:rsidR="00CB2519" w:rsidTr="00277C86">
        <w:trPr>
          <w:trHeight w:val="839"/>
          <w:jc w:val="center"/>
        </w:trPr>
        <w:tc>
          <w:tcPr>
            <w:tcW w:w="156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CB2519" w:rsidRDefault="00CB2519" w:rsidP="00277C86">
            <w:pPr>
              <w:spacing w:line="360" w:lineRule="auto"/>
              <w:jc w:val="center"/>
              <w:rPr>
                <w:b/>
                <w:bCs/>
                <w:color w:val="000000"/>
                <w:sz w:val="20"/>
                <w:szCs w:val="20"/>
                <w:lang w:eastAsia="es-MX"/>
              </w:rPr>
            </w:pPr>
            <w:r>
              <w:rPr>
                <w:b/>
                <w:bCs/>
                <w:color w:val="000000"/>
                <w:sz w:val="20"/>
                <w:szCs w:val="20"/>
                <w:lang w:eastAsia="es-MX"/>
              </w:rPr>
              <w:lastRenderedPageBreak/>
              <w:t>AÑO</w:t>
            </w:r>
          </w:p>
        </w:tc>
        <w:tc>
          <w:tcPr>
            <w:tcW w:w="1837"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CB2519" w:rsidRDefault="00CB2519" w:rsidP="00277C86">
            <w:pPr>
              <w:spacing w:line="360" w:lineRule="auto"/>
              <w:jc w:val="center"/>
              <w:rPr>
                <w:b/>
                <w:bCs/>
                <w:color w:val="000000"/>
                <w:sz w:val="20"/>
                <w:szCs w:val="20"/>
                <w:lang w:eastAsia="es-MX"/>
              </w:rPr>
            </w:pPr>
            <w:r>
              <w:rPr>
                <w:b/>
                <w:bCs/>
                <w:color w:val="000000"/>
                <w:sz w:val="20"/>
                <w:szCs w:val="20"/>
                <w:lang w:eastAsia="es-MX"/>
              </w:rPr>
              <w:t>FONDO DE CRÉDITOS (MDP)</w:t>
            </w:r>
          </w:p>
        </w:tc>
      </w:tr>
      <w:tr w:rsidR="00CB2519" w:rsidTr="00277C86">
        <w:trPr>
          <w:trHeight w:val="270"/>
          <w:jc w:val="center"/>
        </w:trPr>
        <w:tc>
          <w:tcPr>
            <w:tcW w:w="1560" w:type="dxa"/>
            <w:tcBorders>
              <w:top w:val="nil"/>
              <w:left w:val="single" w:sz="4" w:space="0" w:color="auto"/>
              <w:bottom w:val="single" w:sz="4" w:space="0" w:color="auto"/>
              <w:right w:val="single" w:sz="4" w:space="0" w:color="auto"/>
            </w:tcBorders>
            <w:noWrap/>
            <w:vAlign w:val="center"/>
            <w:hideMark/>
          </w:tcPr>
          <w:p w:rsidR="00CB2519" w:rsidRDefault="00CB2519" w:rsidP="00277C86">
            <w:pPr>
              <w:spacing w:line="360" w:lineRule="auto"/>
              <w:rPr>
                <w:b/>
                <w:bCs/>
                <w:color w:val="000000"/>
                <w:sz w:val="20"/>
                <w:szCs w:val="20"/>
                <w:lang w:eastAsia="es-MX"/>
              </w:rPr>
            </w:pPr>
            <w:r>
              <w:rPr>
                <w:b/>
                <w:bCs/>
                <w:color w:val="000000"/>
                <w:sz w:val="20"/>
                <w:szCs w:val="20"/>
                <w:lang w:eastAsia="es-MX"/>
              </w:rPr>
              <w:t>Ejercicio 2013</w:t>
            </w:r>
          </w:p>
        </w:tc>
        <w:tc>
          <w:tcPr>
            <w:tcW w:w="1837" w:type="dxa"/>
            <w:tcBorders>
              <w:top w:val="nil"/>
              <w:left w:val="nil"/>
              <w:bottom w:val="single" w:sz="4" w:space="0" w:color="auto"/>
              <w:right w:val="single" w:sz="4" w:space="0" w:color="auto"/>
            </w:tcBorders>
            <w:noWrap/>
            <w:vAlign w:val="center"/>
            <w:hideMark/>
          </w:tcPr>
          <w:p w:rsidR="00CB2519" w:rsidRDefault="00CB2519" w:rsidP="00277C86">
            <w:pPr>
              <w:spacing w:line="360" w:lineRule="auto"/>
              <w:jc w:val="right"/>
              <w:rPr>
                <w:b/>
                <w:color w:val="000000"/>
                <w:sz w:val="20"/>
                <w:szCs w:val="20"/>
                <w:lang w:eastAsia="es-MX"/>
              </w:rPr>
            </w:pPr>
            <w:r>
              <w:rPr>
                <w:b/>
                <w:color w:val="000000"/>
                <w:sz w:val="20"/>
                <w:szCs w:val="20"/>
                <w:lang w:eastAsia="es-MX"/>
              </w:rPr>
              <w:t>70.0</w:t>
            </w:r>
          </w:p>
        </w:tc>
      </w:tr>
      <w:tr w:rsidR="00CB2519" w:rsidTr="00277C86">
        <w:trPr>
          <w:trHeight w:val="189"/>
          <w:jc w:val="center"/>
        </w:trPr>
        <w:tc>
          <w:tcPr>
            <w:tcW w:w="1560" w:type="dxa"/>
            <w:tcBorders>
              <w:top w:val="nil"/>
              <w:left w:val="single" w:sz="4" w:space="0" w:color="auto"/>
              <w:bottom w:val="single" w:sz="4" w:space="0" w:color="auto"/>
              <w:right w:val="single" w:sz="4" w:space="0" w:color="auto"/>
            </w:tcBorders>
            <w:noWrap/>
            <w:vAlign w:val="center"/>
            <w:hideMark/>
          </w:tcPr>
          <w:p w:rsidR="00CB2519" w:rsidRDefault="00CB2519" w:rsidP="00277C86">
            <w:pPr>
              <w:spacing w:line="360" w:lineRule="auto"/>
              <w:rPr>
                <w:b/>
                <w:bCs/>
                <w:color w:val="000000"/>
                <w:sz w:val="20"/>
                <w:szCs w:val="20"/>
                <w:lang w:eastAsia="es-MX"/>
              </w:rPr>
            </w:pPr>
            <w:r>
              <w:rPr>
                <w:b/>
                <w:bCs/>
                <w:color w:val="000000"/>
                <w:sz w:val="20"/>
                <w:szCs w:val="20"/>
                <w:lang w:eastAsia="es-MX"/>
              </w:rPr>
              <w:t>Ejercicio 2014</w:t>
            </w:r>
          </w:p>
        </w:tc>
        <w:tc>
          <w:tcPr>
            <w:tcW w:w="1837" w:type="dxa"/>
            <w:tcBorders>
              <w:top w:val="nil"/>
              <w:left w:val="nil"/>
              <w:bottom w:val="single" w:sz="4" w:space="0" w:color="auto"/>
              <w:right w:val="single" w:sz="4" w:space="0" w:color="auto"/>
            </w:tcBorders>
            <w:noWrap/>
            <w:vAlign w:val="center"/>
            <w:hideMark/>
          </w:tcPr>
          <w:p w:rsidR="00CB2519" w:rsidRDefault="00CB2519" w:rsidP="00277C86">
            <w:pPr>
              <w:spacing w:line="360" w:lineRule="auto"/>
              <w:jc w:val="right"/>
              <w:rPr>
                <w:b/>
                <w:color w:val="000000"/>
                <w:sz w:val="20"/>
                <w:szCs w:val="20"/>
                <w:lang w:eastAsia="es-MX"/>
              </w:rPr>
            </w:pPr>
            <w:r>
              <w:rPr>
                <w:b/>
                <w:color w:val="000000"/>
                <w:sz w:val="20"/>
                <w:szCs w:val="20"/>
                <w:lang w:eastAsia="es-MX"/>
              </w:rPr>
              <w:t>21.0</w:t>
            </w:r>
          </w:p>
        </w:tc>
      </w:tr>
      <w:tr w:rsidR="00CB2519" w:rsidTr="00277C86">
        <w:trPr>
          <w:trHeight w:val="124"/>
          <w:jc w:val="center"/>
        </w:trPr>
        <w:tc>
          <w:tcPr>
            <w:tcW w:w="1560" w:type="dxa"/>
            <w:tcBorders>
              <w:top w:val="nil"/>
              <w:left w:val="single" w:sz="4" w:space="0" w:color="auto"/>
              <w:bottom w:val="single" w:sz="4" w:space="0" w:color="auto"/>
              <w:right w:val="single" w:sz="4" w:space="0" w:color="auto"/>
            </w:tcBorders>
            <w:noWrap/>
            <w:vAlign w:val="center"/>
            <w:hideMark/>
          </w:tcPr>
          <w:p w:rsidR="00CB2519" w:rsidRDefault="00CB2519" w:rsidP="00277C86">
            <w:pPr>
              <w:spacing w:line="360" w:lineRule="auto"/>
              <w:rPr>
                <w:b/>
                <w:bCs/>
                <w:color w:val="000000"/>
                <w:sz w:val="20"/>
                <w:szCs w:val="20"/>
                <w:lang w:eastAsia="es-MX"/>
              </w:rPr>
            </w:pPr>
            <w:r>
              <w:rPr>
                <w:b/>
                <w:bCs/>
                <w:color w:val="000000"/>
                <w:sz w:val="20"/>
                <w:szCs w:val="20"/>
                <w:lang w:eastAsia="es-MX"/>
              </w:rPr>
              <w:t>Ejercicio 2016</w:t>
            </w:r>
          </w:p>
        </w:tc>
        <w:tc>
          <w:tcPr>
            <w:tcW w:w="1837" w:type="dxa"/>
            <w:tcBorders>
              <w:top w:val="nil"/>
              <w:left w:val="nil"/>
              <w:bottom w:val="single" w:sz="4" w:space="0" w:color="auto"/>
              <w:right w:val="single" w:sz="4" w:space="0" w:color="auto"/>
            </w:tcBorders>
            <w:noWrap/>
            <w:vAlign w:val="center"/>
            <w:hideMark/>
          </w:tcPr>
          <w:p w:rsidR="00CB2519" w:rsidRDefault="00CB2519" w:rsidP="00277C86">
            <w:pPr>
              <w:spacing w:line="360" w:lineRule="auto"/>
              <w:jc w:val="right"/>
              <w:rPr>
                <w:b/>
                <w:bCs/>
                <w:color w:val="000000"/>
                <w:sz w:val="20"/>
                <w:szCs w:val="20"/>
                <w:lang w:eastAsia="es-MX"/>
              </w:rPr>
            </w:pPr>
            <w:r>
              <w:rPr>
                <w:b/>
                <w:bCs/>
                <w:color w:val="000000"/>
                <w:sz w:val="20"/>
                <w:szCs w:val="20"/>
                <w:lang w:eastAsia="es-MX"/>
              </w:rPr>
              <w:t>59.0</w:t>
            </w:r>
          </w:p>
        </w:tc>
      </w:tr>
      <w:tr w:rsidR="00CB2519" w:rsidTr="00277C86">
        <w:trPr>
          <w:trHeight w:val="53"/>
          <w:jc w:val="center"/>
        </w:trPr>
        <w:tc>
          <w:tcPr>
            <w:tcW w:w="1560" w:type="dxa"/>
            <w:tcBorders>
              <w:top w:val="nil"/>
              <w:left w:val="single" w:sz="4" w:space="0" w:color="auto"/>
              <w:bottom w:val="single" w:sz="4" w:space="0" w:color="auto"/>
              <w:right w:val="single" w:sz="4" w:space="0" w:color="auto"/>
            </w:tcBorders>
            <w:noWrap/>
            <w:vAlign w:val="center"/>
            <w:hideMark/>
          </w:tcPr>
          <w:p w:rsidR="00CB2519" w:rsidRDefault="00CB2519" w:rsidP="00277C86">
            <w:pPr>
              <w:spacing w:line="360" w:lineRule="auto"/>
              <w:rPr>
                <w:b/>
                <w:bCs/>
                <w:color w:val="000000"/>
                <w:sz w:val="20"/>
                <w:szCs w:val="20"/>
                <w:lang w:eastAsia="es-MX"/>
              </w:rPr>
            </w:pPr>
            <w:r>
              <w:rPr>
                <w:b/>
                <w:bCs/>
                <w:color w:val="000000"/>
                <w:sz w:val="20"/>
                <w:szCs w:val="20"/>
                <w:lang w:eastAsia="es-MX"/>
              </w:rPr>
              <w:t>Ejercicio 2017</w:t>
            </w:r>
          </w:p>
        </w:tc>
        <w:tc>
          <w:tcPr>
            <w:tcW w:w="1837" w:type="dxa"/>
            <w:tcBorders>
              <w:top w:val="nil"/>
              <w:left w:val="nil"/>
              <w:bottom w:val="single" w:sz="4" w:space="0" w:color="auto"/>
              <w:right w:val="single" w:sz="4" w:space="0" w:color="auto"/>
            </w:tcBorders>
            <w:noWrap/>
            <w:vAlign w:val="center"/>
            <w:hideMark/>
          </w:tcPr>
          <w:p w:rsidR="00CB2519" w:rsidRDefault="00CB2519" w:rsidP="00277C86">
            <w:pPr>
              <w:spacing w:line="360" w:lineRule="auto"/>
              <w:jc w:val="right"/>
              <w:rPr>
                <w:b/>
                <w:bCs/>
                <w:color w:val="000000"/>
                <w:sz w:val="20"/>
                <w:szCs w:val="20"/>
                <w:lang w:eastAsia="es-MX"/>
              </w:rPr>
            </w:pPr>
            <w:r>
              <w:rPr>
                <w:b/>
                <w:bCs/>
                <w:color w:val="000000"/>
                <w:sz w:val="20"/>
                <w:szCs w:val="20"/>
                <w:lang w:eastAsia="es-MX"/>
              </w:rPr>
              <w:t>0.0</w:t>
            </w:r>
          </w:p>
        </w:tc>
      </w:tr>
      <w:tr w:rsidR="00CB2519" w:rsidTr="00277C86">
        <w:trPr>
          <w:trHeight w:val="53"/>
          <w:jc w:val="center"/>
        </w:trPr>
        <w:tc>
          <w:tcPr>
            <w:tcW w:w="1560" w:type="dxa"/>
            <w:tcBorders>
              <w:top w:val="nil"/>
              <w:left w:val="single" w:sz="4" w:space="0" w:color="auto"/>
              <w:bottom w:val="single" w:sz="4" w:space="0" w:color="auto"/>
              <w:right w:val="single" w:sz="4" w:space="0" w:color="auto"/>
            </w:tcBorders>
            <w:noWrap/>
            <w:vAlign w:val="center"/>
            <w:hideMark/>
          </w:tcPr>
          <w:p w:rsidR="00CB2519" w:rsidRDefault="00CB2519" w:rsidP="00277C86">
            <w:pPr>
              <w:spacing w:line="360" w:lineRule="auto"/>
              <w:rPr>
                <w:b/>
                <w:bCs/>
                <w:color w:val="000000"/>
                <w:sz w:val="20"/>
                <w:szCs w:val="20"/>
                <w:lang w:eastAsia="es-MX"/>
              </w:rPr>
            </w:pPr>
            <w:r>
              <w:rPr>
                <w:b/>
                <w:bCs/>
                <w:color w:val="000000"/>
                <w:sz w:val="20"/>
                <w:szCs w:val="20"/>
                <w:lang w:eastAsia="es-MX"/>
              </w:rPr>
              <w:t>Ejercicio 2018</w:t>
            </w:r>
          </w:p>
        </w:tc>
        <w:tc>
          <w:tcPr>
            <w:tcW w:w="1837" w:type="dxa"/>
            <w:tcBorders>
              <w:top w:val="nil"/>
              <w:left w:val="nil"/>
              <w:bottom w:val="single" w:sz="4" w:space="0" w:color="auto"/>
              <w:right w:val="single" w:sz="4" w:space="0" w:color="auto"/>
            </w:tcBorders>
            <w:noWrap/>
            <w:vAlign w:val="center"/>
            <w:hideMark/>
          </w:tcPr>
          <w:p w:rsidR="00CB2519" w:rsidRDefault="00CB2519" w:rsidP="00277C86">
            <w:pPr>
              <w:spacing w:line="360" w:lineRule="auto"/>
              <w:jc w:val="right"/>
              <w:rPr>
                <w:b/>
                <w:bCs/>
                <w:color w:val="000000"/>
                <w:sz w:val="20"/>
                <w:szCs w:val="20"/>
                <w:lang w:eastAsia="es-MX"/>
              </w:rPr>
            </w:pPr>
            <w:r>
              <w:rPr>
                <w:b/>
                <w:bCs/>
                <w:color w:val="000000"/>
                <w:sz w:val="20"/>
                <w:szCs w:val="20"/>
                <w:lang w:eastAsia="es-MX"/>
              </w:rPr>
              <w:t>0.0</w:t>
            </w:r>
          </w:p>
        </w:tc>
      </w:tr>
      <w:tr w:rsidR="00CB2519" w:rsidTr="00277C86">
        <w:trPr>
          <w:trHeight w:val="53"/>
          <w:jc w:val="center"/>
        </w:trPr>
        <w:tc>
          <w:tcPr>
            <w:tcW w:w="1560" w:type="dxa"/>
            <w:tcBorders>
              <w:top w:val="nil"/>
              <w:left w:val="single" w:sz="4" w:space="0" w:color="auto"/>
              <w:bottom w:val="single" w:sz="4" w:space="0" w:color="auto"/>
              <w:right w:val="single" w:sz="4" w:space="0" w:color="auto"/>
            </w:tcBorders>
            <w:noWrap/>
            <w:vAlign w:val="center"/>
            <w:hideMark/>
          </w:tcPr>
          <w:p w:rsidR="00CB2519" w:rsidRDefault="00CB2519" w:rsidP="00277C86">
            <w:pPr>
              <w:spacing w:line="360" w:lineRule="auto"/>
              <w:rPr>
                <w:b/>
                <w:bCs/>
                <w:color w:val="000000"/>
                <w:sz w:val="20"/>
                <w:szCs w:val="20"/>
                <w:lang w:eastAsia="es-MX"/>
              </w:rPr>
            </w:pPr>
            <w:r>
              <w:rPr>
                <w:b/>
                <w:bCs/>
                <w:color w:val="000000"/>
                <w:sz w:val="20"/>
                <w:szCs w:val="20"/>
                <w:lang w:eastAsia="es-MX"/>
              </w:rPr>
              <w:t>Ejercicio 2019</w:t>
            </w:r>
          </w:p>
        </w:tc>
        <w:tc>
          <w:tcPr>
            <w:tcW w:w="1837" w:type="dxa"/>
            <w:tcBorders>
              <w:top w:val="nil"/>
              <w:left w:val="nil"/>
              <w:bottom w:val="single" w:sz="4" w:space="0" w:color="auto"/>
              <w:right w:val="single" w:sz="4" w:space="0" w:color="auto"/>
            </w:tcBorders>
            <w:noWrap/>
            <w:vAlign w:val="center"/>
            <w:hideMark/>
          </w:tcPr>
          <w:p w:rsidR="00CB2519" w:rsidRDefault="00CB2519" w:rsidP="00277C86">
            <w:pPr>
              <w:spacing w:line="360" w:lineRule="auto"/>
              <w:jc w:val="right"/>
              <w:rPr>
                <w:b/>
                <w:bCs/>
                <w:color w:val="000000"/>
                <w:sz w:val="20"/>
                <w:szCs w:val="20"/>
                <w:lang w:eastAsia="es-MX"/>
              </w:rPr>
            </w:pPr>
            <w:r>
              <w:rPr>
                <w:b/>
                <w:bCs/>
                <w:color w:val="000000"/>
                <w:sz w:val="20"/>
                <w:szCs w:val="20"/>
                <w:lang w:eastAsia="es-MX"/>
              </w:rPr>
              <w:t>0.0</w:t>
            </w:r>
          </w:p>
        </w:tc>
      </w:tr>
      <w:tr w:rsidR="00CB2519" w:rsidTr="00277C86">
        <w:trPr>
          <w:trHeight w:val="53"/>
          <w:jc w:val="center"/>
        </w:trPr>
        <w:tc>
          <w:tcPr>
            <w:tcW w:w="1560" w:type="dxa"/>
            <w:tcBorders>
              <w:top w:val="nil"/>
              <w:left w:val="single" w:sz="4" w:space="0" w:color="auto"/>
              <w:bottom w:val="single" w:sz="4" w:space="0" w:color="auto"/>
              <w:right w:val="single" w:sz="4" w:space="0" w:color="auto"/>
            </w:tcBorders>
            <w:noWrap/>
            <w:vAlign w:val="center"/>
            <w:hideMark/>
          </w:tcPr>
          <w:p w:rsidR="00CB2519" w:rsidRDefault="00CB2519" w:rsidP="00277C86">
            <w:pPr>
              <w:spacing w:line="360" w:lineRule="auto"/>
              <w:rPr>
                <w:b/>
                <w:bCs/>
                <w:color w:val="000000"/>
                <w:sz w:val="20"/>
                <w:szCs w:val="20"/>
                <w:lang w:eastAsia="es-MX"/>
              </w:rPr>
            </w:pPr>
            <w:r>
              <w:rPr>
                <w:b/>
                <w:bCs/>
                <w:color w:val="000000"/>
                <w:sz w:val="20"/>
                <w:szCs w:val="20"/>
                <w:lang w:eastAsia="es-MX"/>
              </w:rPr>
              <w:t>Ejercicio 2020</w:t>
            </w:r>
          </w:p>
        </w:tc>
        <w:tc>
          <w:tcPr>
            <w:tcW w:w="1837" w:type="dxa"/>
            <w:tcBorders>
              <w:top w:val="nil"/>
              <w:left w:val="nil"/>
              <w:bottom w:val="single" w:sz="4" w:space="0" w:color="auto"/>
              <w:right w:val="single" w:sz="4" w:space="0" w:color="auto"/>
            </w:tcBorders>
            <w:noWrap/>
            <w:vAlign w:val="center"/>
            <w:hideMark/>
          </w:tcPr>
          <w:p w:rsidR="00CB2519" w:rsidRDefault="00CB2519" w:rsidP="00277C86">
            <w:pPr>
              <w:spacing w:line="360" w:lineRule="auto"/>
              <w:jc w:val="right"/>
              <w:rPr>
                <w:b/>
                <w:bCs/>
                <w:color w:val="000000"/>
                <w:sz w:val="20"/>
                <w:szCs w:val="20"/>
                <w:lang w:eastAsia="es-MX"/>
              </w:rPr>
            </w:pPr>
            <w:r>
              <w:rPr>
                <w:b/>
                <w:bCs/>
                <w:color w:val="000000"/>
                <w:sz w:val="20"/>
                <w:szCs w:val="20"/>
                <w:lang w:eastAsia="es-MX"/>
              </w:rPr>
              <w:t>0.0</w:t>
            </w:r>
          </w:p>
        </w:tc>
      </w:tr>
      <w:tr w:rsidR="00CB2519" w:rsidTr="00277C86">
        <w:trPr>
          <w:trHeight w:val="53"/>
          <w:jc w:val="center"/>
        </w:trPr>
        <w:tc>
          <w:tcPr>
            <w:tcW w:w="1560" w:type="dxa"/>
            <w:tcBorders>
              <w:top w:val="nil"/>
              <w:left w:val="single" w:sz="4" w:space="0" w:color="auto"/>
              <w:bottom w:val="single" w:sz="4" w:space="0" w:color="auto"/>
              <w:right w:val="single" w:sz="4" w:space="0" w:color="auto"/>
            </w:tcBorders>
            <w:noWrap/>
            <w:vAlign w:val="center"/>
            <w:hideMark/>
          </w:tcPr>
          <w:p w:rsidR="00CB2519" w:rsidRDefault="00CB2519" w:rsidP="00277C86">
            <w:pPr>
              <w:spacing w:line="360" w:lineRule="auto"/>
              <w:rPr>
                <w:b/>
                <w:bCs/>
                <w:color w:val="000000"/>
                <w:sz w:val="20"/>
                <w:szCs w:val="20"/>
                <w:lang w:eastAsia="es-MX"/>
              </w:rPr>
            </w:pPr>
            <w:r>
              <w:rPr>
                <w:b/>
                <w:bCs/>
                <w:color w:val="000000"/>
                <w:sz w:val="20"/>
                <w:szCs w:val="20"/>
                <w:lang w:eastAsia="es-MX"/>
              </w:rPr>
              <w:t>Ejercicio 2021</w:t>
            </w:r>
          </w:p>
        </w:tc>
        <w:tc>
          <w:tcPr>
            <w:tcW w:w="1837" w:type="dxa"/>
            <w:tcBorders>
              <w:top w:val="nil"/>
              <w:left w:val="nil"/>
              <w:bottom w:val="single" w:sz="4" w:space="0" w:color="auto"/>
              <w:right w:val="single" w:sz="4" w:space="0" w:color="auto"/>
            </w:tcBorders>
            <w:noWrap/>
            <w:vAlign w:val="center"/>
            <w:hideMark/>
          </w:tcPr>
          <w:p w:rsidR="00CB2519" w:rsidRDefault="00CB2519" w:rsidP="00277C86">
            <w:pPr>
              <w:spacing w:line="360" w:lineRule="auto"/>
              <w:jc w:val="right"/>
              <w:rPr>
                <w:b/>
                <w:bCs/>
                <w:color w:val="000000"/>
                <w:sz w:val="20"/>
                <w:szCs w:val="20"/>
                <w:lang w:eastAsia="es-MX"/>
              </w:rPr>
            </w:pPr>
            <w:r>
              <w:rPr>
                <w:b/>
                <w:bCs/>
                <w:color w:val="000000"/>
                <w:sz w:val="20"/>
                <w:szCs w:val="20"/>
                <w:lang w:eastAsia="es-MX"/>
              </w:rPr>
              <w:t>0.0</w:t>
            </w:r>
          </w:p>
        </w:tc>
      </w:tr>
      <w:tr w:rsidR="00CB2519" w:rsidTr="00277C86">
        <w:trPr>
          <w:trHeight w:val="53"/>
          <w:jc w:val="center"/>
        </w:trPr>
        <w:tc>
          <w:tcPr>
            <w:tcW w:w="1560" w:type="dxa"/>
            <w:tcBorders>
              <w:top w:val="nil"/>
              <w:left w:val="single" w:sz="4" w:space="0" w:color="auto"/>
              <w:bottom w:val="single" w:sz="4" w:space="0" w:color="auto"/>
              <w:right w:val="single" w:sz="4" w:space="0" w:color="auto"/>
            </w:tcBorders>
            <w:noWrap/>
            <w:vAlign w:val="center"/>
            <w:hideMark/>
          </w:tcPr>
          <w:p w:rsidR="00CB2519" w:rsidRDefault="00CB2519" w:rsidP="00277C86">
            <w:pPr>
              <w:spacing w:line="360" w:lineRule="auto"/>
              <w:rPr>
                <w:b/>
                <w:bCs/>
                <w:color w:val="000000"/>
                <w:sz w:val="20"/>
                <w:szCs w:val="20"/>
                <w:lang w:eastAsia="es-MX"/>
              </w:rPr>
            </w:pPr>
            <w:r>
              <w:rPr>
                <w:b/>
                <w:bCs/>
                <w:color w:val="000000"/>
                <w:sz w:val="20"/>
                <w:szCs w:val="20"/>
                <w:lang w:eastAsia="es-MX"/>
              </w:rPr>
              <w:t>Ejercicio 2022</w:t>
            </w:r>
          </w:p>
        </w:tc>
        <w:tc>
          <w:tcPr>
            <w:tcW w:w="1837" w:type="dxa"/>
            <w:tcBorders>
              <w:top w:val="nil"/>
              <w:left w:val="nil"/>
              <w:bottom w:val="single" w:sz="4" w:space="0" w:color="auto"/>
              <w:right w:val="single" w:sz="4" w:space="0" w:color="auto"/>
            </w:tcBorders>
            <w:noWrap/>
            <w:vAlign w:val="center"/>
            <w:hideMark/>
          </w:tcPr>
          <w:p w:rsidR="00CB2519" w:rsidRDefault="00CB2519" w:rsidP="00277C86">
            <w:pPr>
              <w:spacing w:line="360" w:lineRule="auto"/>
              <w:jc w:val="right"/>
              <w:rPr>
                <w:b/>
                <w:bCs/>
                <w:color w:val="000000"/>
                <w:sz w:val="20"/>
                <w:szCs w:val="20"/>
                <w:lang w:eastAsia="es-MX"/>
              </w:rPr>
            </w:pPr>
            <w:r>
              <w:rPr>
                <w:b/>
                <w:bCs/>
                <w:color w:val="000000"/>
                <w:sz w:val="20"/>
                <w:szCs w:val="20"/>
                <w:lang w:eastAsia="es-MX"/>
              </w:rPr>
              <w:t>0.0</w:t>
            </w:r>
          </w:p>
        </w:tc>
      </w:tr>
      <w:tr w:rsidR="00CB2519" w:rsidTr="00277C86">
        <w:trPr>
          <w:trHeight w:val="53"/>
          <w:jc w:val="center"/>
        </w:trPr>
        <w:tc>
          <w:tcPr>
            <w:tcW w:w="1560" w:type="dxa"/>
            <w:tcBorders>
              <w:top w:val="nil"/>
              <w:left w:val="single" w:sz="4" w:space="0" w:color="auto"/>
              <w:bottom w:val="single" w:sz="4" w:space="0" w:color="auto"/>
              <w:right w:val="single" w:sz="4" w:space="0" w:color="auto"/>
            </w:tcBorders>
            <w:noWrap/>
            <w:vAlign w:val="center"/>
            <w:hideMark/>
          </w:tcPr>
          <w:p w:rsidR="00CB2519" w:rsidRDefault="00CB2519" w:rsidP="00277C86">
            <w:pPr>
              <w:spacing w:line="360" w:lineRule="auto"/>
              <w:rPr>
                <w:b/>
                <w:bCs/>
                <w:color w:val="000000"/>
                <w:sz w:val="20"/>
                <w:szCs w:val="20"/>
                <w:lang w:eastAsia="es-MX"/>
              </w:rPr>
            </w:pPr>
            <w:r>
              <w:rPr>
                <w:b/>
                <w:bCs/>
                <w:color w:val="000000"/>
                <w:sz w:val="20"/>
                <w:szCs w:val="20"/>
                <w:lang w:eastAsia="es-MX"/>
              </w:rPr>
              <w:t>Ejercicio 2023</w:t>
            </w:r>
          </w:p>
        </w:tc>
        <w:tc>
          <w:tcPr>
            <w:tcW w:w="1837" w:type="dxa"/>
            <w:tcBorders>
              <w:top w:val="nil"/>
              <w:left w:val="nil"/>
              <w:bottom w:val="single" w:sz="4" w:space="0" w:color="auto"/>
              <w:right w:val="single" w:sz="4" w:space="0" w:color="auto"/>
            </w:tcBorders>
            <w:noWrap/>
            <w:vAlign w:val="center"/>
            <w:hideMark/>
          </w:tcPr>
          <w:p w:rsidR="00CB2519" w:rsidRDefault="00CB2519" w:rsidP="00277C86">
            <w:pPr>
              <w:spacing w:line="360" w:lineRule="auto"/>
              <w:jc w:val="right"/>
              <w:rPr>
                <w:b/>
                <w:bCs/>
                <w:color w:val="000000"/>
                <w:sz w:val="20"/>
                <w:szCs w:val="20"/>
                <w:lang w:eastAsia="es-MX"/>
              </w:rPr>
            </w:pPr>
            <w:r>
              <w:rPr>
                <w:b/>
                <w:bCs/>
                <w:color w:val="000000"/>
                <w:sz w:val="20"/>
                <w:szCs w:val="20"/>
                <w:lang w:eastAsia="es-MX"/>
              </w:rPr>
              <w:t>0.0</w:t>
            </w:r>
          </w:p>
        </w:tc>
      </w:tr>
      <w:tr w:rsidR="00CB2519" w:rsidTr="00277C86">
        <w:trPr>
          <w:trHeight w:val="53"/>
          <w:jc w:val="center"/>
        </w:trPr>
        <w:tc>
          <w:tcPr>
            <w:tcW w:w="1560" w:type="dxa"/>
            <w:tcBorders>
              <w:top w:val="nil"/>
              <w:left w:val="single" w:sz="4" w:space="0" w:color="auto"/>
              <w:bottom w:val="single" w:sz="4" w:space="0" w:color="auto"/>
              <w:right w:val="single" w:sz="4" w:space="0" w:color="auto"/>
            </w:tcBorders>
            <w:noWrap/>
            <w:vAlign w:val="center"/>
            <w:hideMark/>
          </w:tcPr>
          <w:p w:rsidR="00CB2519" w:rsidRDefault="00CB2519" w:rsidP="00277C86">
            <w:pPr>
              <w:spacing w:line="360" w:lineRule="auto"/>
              <w:jc w:val="center"/>
              <w:rPr>
                <w:b/>
                <w:bCs/>
                <w:color w:val="000000"/>
                <w:sz w:val="20"/>
                <w:szCs w:val="20"/>
                <w:lang w:eastAsia="es-MX"/>
              </w:rPr>
            </w:pPr>
            <w:r>
              <w:rPr>
                <w:b/>
                <w:bCs/>
                <w:color w:val="000000"/>
                <w:sz w:val="20"/>
                <w:szCs w:val="20"/>
                <w:lang w:eastAsia="es-MX"/>
              </w:rPr>
              <w:t>SUMA</w:t>
            </w:r>
          </w:p>
        </w:tc>
        <w:tc>
          <w:tcPr>
            <w:tcW w:w="1837" w:type="dxa"/>
            <w:tcBorders>
              <w:top w:val="nil"/>
              <w:left w:val="nil"/>
              <w:bottom w:val="single" w:sz="4" w:space="0" w:color="auto"/>
              <w:right w:val="single" w:sz="4" w:space="0" w:color="auto"/>
            </w:tcBorders>
            <w:noWrap/>
            <w:vAlign w:val="center"/>
            <w:hideMark/>
          </w:tcPr>
          <w:p w:rsidR="00CB2519" w:rsidRDefault="00CB2519" w:rsidP="00277C86">
            <w:pPr>
              <w:spacing w:line="360" w:lineRule="auto"/>
              <w:jc w:val="right"/>
              <w:rPr>
                <w:b/>
                <w:bCs/>
                <w:color w:val="000000"/>
                <w:sz w:val="20"/>
                <w:szCs w:val="20"/>
                <w:lang w:eastAsia="es-MX"/>
              </w:rPr>
            </w:pPr>
            <w:r>
              <w:rPr>
                <w:b/>
                <w:bCs/>
                <w:color w:val="000000"/>
                <w:sz w:val="20"/>
                <w:szCs w:val="20"/>
                <w:lang w:eastAsia="es-MX"/>
              </w:rPr>
              <w:t>150.0</w:t>
            </w:r>
          </w:p>
        </w:tc>
      </w:tr>
    </w:tbl>
    <w:p w:rsidR="00CB2519" w:rsidRDefault="00CB2519" w:rsidP="00CB2519">
      <w:pPr>
        <w:spacing w:line="360" w:lineRule="auto"/>
        <w:jc w:val="both"/>
        <w:rPr>
          <w:b/>
          <w:sz w:val="20"/>
          <w:szCs w:val="20"/>
        </w:rPr>
      </w:pPr>
    </w:p>
    <w:p w:rsidR="00CB2519" w:rsidRDefault="00CB2519" w:rsidP="00CB2519">
      <w:pPr>
        <w:spacing w:line="360" w:lineRule="auto"/>
        <w:jc w:val="both"/>
        <w:rPr>
          <w:b/>
          <w:sz w:val="20"/>
          <w:szCs w:val="20"/>
        </w:rPr>
      </w:pPr>
      <w:r>
        <w:rPr>
          <w:b/>
          <w:sz w:val="20"/>
          <w:szCs w:val="20"/>
        </w:rPr>
        <w:t>Deuda Pública</w:t>
      </w:r>
    </w:p>
    <w:p w:rsidR="00CB2519" w:rsidRDefault="00CB2519" w:rsidP="00CB2519">
      <w:pPr>
        <w:spacing w:line="360" w:lineRule="auto"/>
        <w:jc w:val="both"/>
        <w:rPr>
          <w:b/>
          <w:sz w:val="20"/>
          <w:szCs w:val="20"/>
        </w:rPr>
      </w:pPr>
    </w:p>
    <w:p w:rsidR="00CB2519" w:rsidRDefault="00CB2519" w:rsidP="00CB2519">
      <w:pPr>
        <w:pStyle w:val="PRIMERAPLANA"/>
        <w:spacing w:line="360" w:lineRule="auto"/>
        <w:rPr>
          <w:rFonts w:ascii="Times New Roman" w:hAnsi="Times New Roman"/>
        </w:rPr>
      </w:pPr>
      <w:r>
        <w:rPr>
          <w:rFonts w:ascii="Times New Roman" w:hAnsi="Times New Roman"/>
        </w:rPr>
        <w:t>Una de las políticas de esta Administración ha sido continuar con cero deuda, para el mantenimiento de finanzas públicas sanas, lo cual ha sido reconocido a nivel nacional por parte del Gobierno Federal en ser el único estado hasta el momento de no contraer deuda, todo ello a pesar de la situación actual a nivel nacional e internacional, sin embargo, considerando que el deterioro de los resultados fiscales podría conducir al requerimiento de recursos para proyectos de infraestructura, no se desestima en el mediano plazo, la posibilidad de contratación de deuda para el financiamiento del gasto público.</w:t>
      </w:r>
    </w:p>
    <w:p w:rsidR="00CB2519" w:rsidRDefault="00CB2519" w:rsidP="00CB2519">
      <w:pPr>
        <w:spacing w:line="360" w:lineRule="auto"/>
        <w:jc w:val="both"/>
        <w:rPr>
          <w:sz w:val="20"/>
          <w:szCs w:val="20"/>
          <w:lang w:val="es-ES_tradnl"/>
        </w:rPr>
      </w:pPr>
    </w:p>
    <w:p w:rsidR="00CB2519" w:rsidRDefault="00CB2519" w:rsidP="00CB2519">
      <w:pPr>
        <w:spacing w:line="360" w:lineRule="auto"/>
        <w:jc w:val="both"/>
        <w:rPr>
          <w:b/>
          <w:sz w:val="20"/>
          <w:szCs w:val="20"/>
        </w:rPr>
      </w:pPr>
      <w:r>
        <w:rPr>
          <w:b/>
          <w:sz w:val="20"/>
          <w:szCs w:val="20"/>
        </w:rPr>
        <w:t>Menor crecimiento económico</w:t>
      </w:r>
    </w:p>
    <w:p w:rsidR="00CB2519" w:rsidRDefault="00CB2519" w:rsidP="00CB2519">
      <w:pPr>
        <w:spacing w:line="360" w:lineRule="auto"/>
        <w:jc w:val="both"/>
        <w:rPr>
          <w:b/>
          <w:sz w:val="20"/>
          <w:szCs w:val="20"/>
        </w:rPr>
      </w:pPr>
    </w:p>
    <w:p w:rsidR="00CB2519" w:rsidRPr="0012773A" w:rsidRDefault="00CB2519" w:rsidP="00CB2519">
      <w:pPr>
        <w:spacing w:line="360" w:lineRule="auto"/>
        <w:jc w:val="both"/>
        <w:rPr>
          <w:sz w:val="20"/>
          <w:szCs w:val="20"/>
        </w:rPr>
      </w:pPr>
      <w:r w:rsidRPr="0012773A">
        <w:rPr>
          <w:sz w:val="20"/>
          <w:szCs w:val="20"/>
        </w:rPr>
        <w:t>La actividad económica de Tlaxcala tuvo un crecimiento de 4.1 % en el primer trimestre de 2023 frente al trimestre inmediato anterior, mientras que en su comparación con el periodo enero–marzo de 2022 registró un retroceso de 2.7 %, según informe del Instituto Nacional de Estadística y Geografía (INEGI).</w:t>
      </w:r>
    </w:p>
    <w:p w:rsidR="00CB2519" w:rsidRPr="0012773A" w:rsidRDefault="00CB2519" w:rsidP="00CB2519">
      <w:pPr>
        <w:spacing w:line="360" w:lineRule="auto"/>
        <w:jc w:val="both"/>
        <w:rPr>
          <w:sz w:val="20"/>
          <w:szCs w:val="20"/>
        </w:rPr>
      </w:pPr>
    </w:p>
    <w:p w:rsidR="00CB2519" w:rsidRDefault="00CB2519" w:rsidP="00CB2519">
      <w:pPr>
        <w:spacing w:line="360" w:lineRule="auto"/>
        <w:jc w:val="both"/>
        <w:rPr>
          <w:sz w:val="20"/>
          <w:szCs w:val="20"/>
        </w:rPr>
      </w:pPr>
      <w:r w:rsidRPr="0012773A">
        <w:rPr>
          <w:sz w:val="20"/>
          <w:szCs w:val="20"/>
        </w:rPr>
        <w:lastRenderedPageBreak/>
        <w:t>El Indicador Trimestral de la Actividad Económica Estatal (ITAEE) es un indicador de coyuntura que ofrece un panorama sobre la evolución económica de las entidades federativas del país, durante el primer t</w:t>
      </w:r>
      <w:r w:rsidR="008E266D">
        <w:rPr>
          <w:sz w:val="20"/>
          <w:szCs w:val="20"/>
        </w:rPr>
        <w:t>rimestre de 2023 Tlaxcala mostró</w:t>
      </w:r>
      <w:r w:rsidRPr="0012773A">
        <w:rPr>
          <w:sz w:val="20"/>
          <w:szCs w:val="20"/>
        </w:rPr>
        <w:t xml:space="preserve"> en las actividades Primarias un crecimiento de 1.3%, las Secundarias y Terciarias de 7.5 y 2.5 %, respectivamente</w:t>
      </w:r>
      <w:r>
        <w:rPr>
          <w:sz w:val="20"/>
          <w:szCs w:val="20"/>
        </w:rPr>
        <w:t>.</w:t>
      </w:r>
    </w:p>
    <w:p w:rsidR="00CB2519" w:rsidRDefault="00CB2519" w:rsidP="00CB2519">
      <w:pPr>
        <w:spacing w:line="360" w:lineRule="auto"/>
        <w:jc w:val="both"/>
        <w:rPr>
          <w:b/>
          <w:sz w:val="20"/>
          <w:szCs w:val="20"/>
        </w:rPr>
      </w:pPr>
    </w:p>
    <w:p w:rsidR="00CB2519" w:rsidRDefault="00CB2519" w:rsidP="00CB2519">
      <w:pPr>
        <w:spacing w:line="360" w:lineRule="auto"/>
        <w:jc w:val="both"/>
        <w:rPr>
          <w:b/>
          <w:sz w:val="20"/>
          <w:szCs w:val="20"/>
        </w:rPr>
      </w:pPr>
      <w:r>
        <w:rPr>
          <w:b/>
          <w:sz w:val="20"/>
          <w:szCs w:val="20"/>
        </w:rPr>
        <w:t>Actividades Primarias</w:t>
      </w:r>
    </w:p>
    <w:p w:rsidR="00CB2519" w:rsidRDefault="00CB2519" w:rsidP="00CB2519">
      <w:pPr>
        <w:spacing w:line="360" w:lineRule="auto"/>
        <w:jc w:val="both"/>
        <w:rPr>
          <w:b/>
          <w:sz w:val="20"/>
          <w:szCs w:val="20"/>
        </w:rPr>
      </w:pPr>
    </w:p>
    <w:p w:rsidR="00CB2519" w:rsidRDefault="00CB2519" w:rsidP="00CB2519">
      <w:pPr>
        <w:spacing w:line="360" w:lineRule="auto"/>
        <w:jc w:val="both"/>
        <w:rPr>
          <w:sz w:val="20"/>
          <w:szCs w:val="20"/>
        </w:rPr>
      </w:pPr>
      <w:r w:rsidRPr="0012773A">
        <w:rPr>
          <w:sz w:val="20"/>
          <w:szCs w:val="20"/>
        </w:rPr>
        <w:t>Incluyen agricultura, cría y explotación de animales, aprovechamiento forestal, pesca y caza, reportaron una variación anual de 1.3% en el primer trimestre de 2023, debido, sobre todo, al comportamiento de la agricultura.</w:t>
      </w:r>
    </w:p>
    <w:p w:rsidR="00CB2519" w:rsidRDefault="00CB2519" w:rsidP="00CB2519">
      <w:pPr>
        <w:spacing w:line="360" w:lineRule="auto"/>
        <w:jc w:val="both"/>
        <w:rPr>
          <w:sz w:val="20"/>
          <w:szCs w:val="20"/>
        </w:rPr>
      </w:pPr>
    </w:p>
    <w:p w:rsidR="00CB2519" w:rsidRDefault="00CB2519" w:rsidP="00CB2519">
      <w:pPr>
        <w:spacing w:line="360" w:lineRule="auto"/>
        <w:jc w:val="both"/>
        <w:rPr>
          <w:sz w:val="20"/>
          <w:szCs w:val="20"/>
        </w:rPr>
      </w:pPr>
      <w:r>
        <w:rPr>
          <w:noProof/>
          <w:lang w:val="es-MX" w:eastAsia="es-MX"/>
        </w:rPr>
        <w:drawing>
          <wp:inline distT="0" distB="0" distL="0" distR="0" wp14:anchorId="269B5379" wp14:editId="2FDE1CBA">
            <wp:extent cx="4799723" cy="4462272"/>
            <wp:effectExtent l="0" t="0" r="127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5642" t="21183" r="30923" b="20476"/>
                    <a:stretch/>
                  </pic:blipFill>
                  <pic:spPr bwMode="auto">
                    <a:xfrm>
                      <a:off x="0" y="0"/>
                      <a:ext cx="4822939" cy="4483856"/>
                    </a:xfrm>
                    <a:prstGeom prst="rect">
                      <a:avLst/>
                    </a:prstGeom>
                    <a:ln>
                      <a:noFill/>
                    </a:ln>
                    <a:extLst>
                      <a:ext uri="{53640926-AAD7-44D8-BBD7-CCE9431645EC}">
                        <a14:shadowObscured xmlns:a14="http://schemas.microsoft.com/office/drawing/2010/main"/>
                      </a:ext>
                    </a:extLst>
                  </pic:spPr>
                </pic:pic>
              </a:graphicData>
            </a:graphic>
          </wp:inline>
        </w:drawing>
      </w:r>
    </w:p>
    <w:p w:rsidR="00CB2519" w:rsidRDefault="00CB2519" w:rsidP="00CB2519">
      <w:pPr>
        <w:spacing w:line="360" w:lineRule="auto"/>
        <w:jc w:val="both"/>
        <w:rPr>
          <w:b/>
          <w:sz w:val="20"/>
          <w:szCs w:val="20"/>
        </w:rPr>
      </w:pPr>
      <w:r>
        <w:rPr>
          <w:b/>
          <w:sz w:val="20"/>
          <w:szCs w:val="20"/>
        </w:rPr>
        <w:lastRenderedPageBreak/>
        <w:t>Actividades Secundarias</w:t>
      </w:r>
    </w:p>
    <w:p w:rsidR="00CB2519" w:rsidRDefault="00CB2519" w:rsidP="00CB2519">
      <w:pPr>
        <w:spacing w:line="360" w:lineRule="auto"/>
        <w:jc w:val="both"/>
        <w:rPr>
          <w:b/>
          <w:sz w:val="20"/>
          <w:szCs w:val="20"/>
        </w:rPr>
      </w:pPr>
    </w:p>
    <w:p w:rsidR="00CB2519" w:rsidRDefault="00CB2519" w:rsidP="00CB2519">
      <w:pPr>
        <w:spacing w:line="360" w:lineRule="auto"/>
        <w:jc w:val="both"/>
        <w:rPr>
          <w:sz w:val="20"/>
          <w:szCs w:val="20"/>
        </w:rPr>
      </w:pPr>
      <w:r w:rsidRPr="0012773A">
        <w:rPr>
          <w:sz w:val="20"/>
          <w:szCs w:val="20"/>
        </w:rPr>
        <w:t>Corresponden a los sectores dedicados a la industria de la minería, manufacturas, construcción y electricidad, que en su conjunto reflejaron un decremento a la tasa anual de 7.5% en el primer trimestre de 2023, debido, en mayor medida a la construcción y a las industrias manufactureras</w:t>
      </w:r>
      <w:r>
        <w:rPr>
          <w:sz w:val="20"/>
          <w:szCs w:val="20"/>
        </w:rPr>
        <w:t>.</w:t>
      </w:r>
    </w:p>
    <w:p w:rsidR="00CB2519" w:rsidRDefault="00CB2519" w:rsidP="00CB2519">
      <w:pPr>
        <w:spacing w:line="360" w:lineRule="auto"/>
        <w:jc w:val="both"/>
        <w:rPr>
          <w:sz w:val="20"/>
          <w:szCs w:val="20"/>
        </w:rPr>
      </w:pPr>
    </w:p>
    <w:p w:rsidR="00CB2519" w:rsidRDefault="00CB2519" w:rsidP="00CB2519">
      <w:pPr>
        <w:spacing w:line="360" w:lineRule="auto"/>
        <w:jc w:val="both"/>
        <w:rPr>
          <w:sz w:val="20"/>
          <w:szCs w:val="20"/>
        </w:rPr>
      </w:pPr>
      <w:r>
        <w:rPr>
          <w:noProof/>
          <w:lang w:val="es-MX" w:eastAsia="es-MX"/>
        </w:rPr>
        <w:drawing>
          <wp:inline distT="0" distB="0" distL="0" distR="0" wp14:anchorId="7700E841" wp14:editId="78DAF9E6">
            <wp:extent cx="4552950" cy="4666207"/>
            <wp:effectExtent l="0" t="0" r="0" b="127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5471" t="23235" r="30414" b="14605"/>
                    <a:stretch/>
                  </pic:blipFill>
                  <pic:spPr bwMode="auto">
                    <a:xfrm>
                      <a:off x="0" y="0"/>
                      <a:ext cx="4558097" cy="4671482"/>
                    </a:xfrm>
                    <a:prstGeom prst="rect">
                      <a:avLst/>
                    </a:prstGeom>
                    <a:ln>
                      <a:noFill/>
                    </a:ln>
                    <a:extLst>
                      <a:ext uri="{53640926-AAD7-44D8-BBD7-CCE9431645EC}">
                        <a14:shadowObscured xmlns:a14="http://schemas.microsoft.com/office/drawing/2010/main"/>
                      </a:ext>
                    </a:extLst>
                  </pic:spPr>
                </pic:pic>
              </a:graphicData>
            </a:graphic>
          </wp:inline>
        </w:drawing>
      </w:r>
    </w:p>
    <w:p w:rsidR="00CB2519" w:rsidRDefault="00CB2519" w:rsidP="00CB2519">
      <w:pPr>
        <w:spacing w:line="360" w:lineRule="auto"/>
        <w:jc w:val="both"/>
        <w:rPr>
          <w:sz w:val="20"/>
          <w:szCs w:val="20"/>
        </w:rPr>
      </w:pPr>
    </w:p>
    <w:p w:rsidR="00505BAF" w:rsidRDefault="00505BAF" w:rsidP="00CB2519">
      <w:pPr>
        <w:spacing w:line="360" w:lineRule="auto"/>
        <w:jc w:val="both"/>
        <w:rPr>
          <w:b/>
          <w:sz w:val="20"/>
          <w:szCs w:val="20"/>
        </w:rPr>
      </w:pPr>
    </w:p>
    <w:p w:rsidR="00505BAF" w:rsidRDefault="00505BAF" w:rsidP="00CB2519">
      <w:pPr>
        <w:spacing w:line="360" w:lineRule="auto"/>
        <w:jc w:val="both"/>
        <w:rPr>
          <w:b/>
          <w:sz w:val="20"/>
          <w:szCs w:val="20"/>
        </w:rPr>
      </w:pPr>
    </w:p>
    <w:p w:rsidR="00505BAF" w:rsidRDefault="00505BAF" w:rsidP="00CB2519">
      <w:pPr>
        <w:spacing w:line="360" w:lineRule="auto"/>
        <w:jc w:val="both"/>
        <w:rPr>
          <w:b/>
          <w:sz w:val="20"/>
          <w:szCs w:val="20"/>
        </w:rPr>
      </w:pPr>
    </w:p>
    <w:p w:rsidR="00CB2519" w:rsidRDefault="00CB2519" w:rsidP="00CB2519">
      <w:pPr>
        <w:spacing w:line="360" w:lineRule="auto"/>
        <w:jc w:val="both"/>
        <w:rPr>
          <w:b/>
          <w:sz w:val="20"/>
          <w:szCs w:val="20"/>
        </w:rPr>
      </w:pPr>
      <w:r>
        <w:rPr>
          <w:noProof/>
          <w:lang w:val="es-MX" w:eastAsia="es-MX"/>
        </w:rPr>
        <w:lastRenderedPageBreak/>
        <mc:AlternateContent>
          <mc:Choice Requires="wps">
            <w:drawing>
              <wp:anchor distT="0" distB="0" distL="114300" distR="114300" simplePos="0" relativeHeight="251659264" behindDoc="0" locked="0" layoutInCell="1" allowOverlap="1" wp14:anchorId="03B1E92A" wp14:editId="5B4AA66E">
                <wp:simplePos x="0" y="0"/>
                <wp:positionH relativeFrom="column">
                  <wp:posOffset>2433320</wp:posOffset>
                </wp:positionH>
                <wp:positionV relativeFrom="paragraph">
                  <wp:posOffset>3744595</wp:posOffset>
                </wp:positionV>
                <wp:extent cx="252730" cy="54610"/>
                <wp:effectExtent l="0" t="19050" r="33020" b="40640"/>
                <wp:wrapNone/>
                <wp:docPr id="1065171243" name="Flecha derecha 1065171243"/>
                <wp:cNvGraphicFramePr/>
                <a:graphic xmlns:a="http://schemas.openxmlformats.org/drawingml/2006/main">
                  <a:graphicData uri="http://schemas.microsoft.com/office/word/2010/wordprocessingShape">
                    <wps:wsp>
                      <wps:cNvSpPr/>
                      <wps:spPr>
                        <a:xfrm>
                          <a:off x="0" y="0"/>
                          <a:ext cx="252095" cy="53975"/>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4F1FB3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1065171243" o:spid="_x0000_s1026" type="#_x0000_t13" style="position:absolute;margin-left:191.6pt;margin-top:294.85pt;width:19.9pt;height:4.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" adj="19288" fillcolor="red" strokecolor="red" strokeweight="1pt"/>
            </w:pict>
          </mc:Fallback>
        </mc:AlternateContent>
      </w:r>
      <w:r>
        <w:rPr>
          <w:b/>
          <w:sz w:val="20"/>
          <w:szCs w:val="20"/>
        </w:rPr>
        <w:t>Actividades Terciarias</w:t>
      </w:r>
    </w:p>
    <w:p w:rsidR="00CB2519" w:rsidRDefault="00CB2519" w:rsidP="00CB2519">
      <w:pPr>
        <w:spacing w:line="360" w:lineRule="auto"/>
        <w:jc w:val="both"/>
        <w:rPr>
          <w:b/>
          <w:sz w:val="20"/>
          <w:szCs w:val="20"/>
        </w:rPr>
      </w:pPr>
    </w:p>
    <w:p w:rsidR="00CB2519" w:rsidRDefault="00CB2519" w:rsidP="00CB2519">
      <w:pPr>
        <w:spacing w:line="360" w:lineRule="auto"/>
        <w:jc w:val="both"/>
        <w:rPr>
          <w:sz w:val="20"/>
          <w:szCs w:val="20"/>
        </w:rPr>
      </w:pPr>
      <w:r w:rsidRPr="00E21C04">
        <w:rPr>
          <w:sz w:val="20"/>
          <w:szCs w:val="20"/>
        </w:rPr>
        <w:t xml:space="preserve">De igual manera la Entidad en estas actividades mostró un incremento de </w:t>
      </w:r>
      <w:r>
        <w:rPr>
          <w:sz w:val="20"/>
          <w:szCs w:val="20"/>
        </w:rPr>
        <w:t>2.5</w:t>
      </w:r>
      <w:r w:rsidRPr="00E21C04">
        <w:rPr>
          <w:sz w:val="20"/>
          <w:szCs w:val="20"/>
        </w:rPr>
        <w:t xml:space="preserve">%, en el </w:t>
      </w:r>
      <w:r>
        <w:rPr>
          <w:sz w:val="20"/>
          <w:szCs w:val="20"/>
        </w:rPr>
        <w:t>primer</w:t>
      </w:r>
      <w:r w:rsidRPr="00E21C04">
        <w:rPr>
          <w:sz w:val="20"/>
          <w:szCs w:val="20"/>
        </w:rPr>
        <w:t xml:space="preserve"> trimestre de 202</w:t>
      </w:r>
      <w:r>
        <w:rPr>
          <w:sz w:val="20"/>
          <w:szCs w:val="20"/>
        </w:rPr>
        <w:t>3</w:t>
      </w:r>
      <w:r w:rsidRPr="00E21C04">
        <w:rPr>
          <w:sz w:val="20"/>
          <w:szCs w:val="20"/>
        </w:rPr>
        <w:t xml:space="preserve">; que incluye los sectores dedicados a la distribución de bienes y aquellas actividades relativas a operaciones con información o con activos, así como a servicios cuyo insumo principal es el </w:t>
      </w:r>
      <w:r>
        <w:rPr>
          <w:sz w:val="20"/>
          <w:szCs w:val="20"/>
        </w:rPr>
        <w:t>c</w:t>
      </w:r>
      <w:r w:rsidRPr="00E21C04">
        <w:rPr>
          <w:sz w:val="20"/>
          <w:szCs w:val="20"/>
        </w:rPr>
        <w:t>o</w:t>
      </w:r>
      <w:r>
        <w:rPr>
          <w:sz w:val="20"/>
          <w:szCs w:val="20"/>
        </w:rPr>
        <w:t>no</w:t>
      </w:r>
      <w:r w:rsidRPr="00E21C04">
        <w:rPr>
          <w:sz w:val="20"/>
          <w:szCs w:val="20"/>
        </w:rPr>
        <w:t>cimiento y la experiencia de personal</w:t>
      </w:r>
      <w:r>
        <w:rPr>
          <w:sz w:val="20"/>
          <w:szCs w:val="20"/>
        </w:rPr>
        <w:t xml:space="preserve">. </w:t>
      </w:r>
    </w:p>
    <w:p w:rsidR="00CB2519" w:rsidRDefault="00CB2519" w:rsidP="00CB2519">
      <w:pPr>
        <w:spacing w:line="360" w:lineRule="auto"/>
        <w:jc w:val="both"/>
        <w:rPr>
          <w:sz w:val="20"/>
          <w:szCs w:val="20"/>
        </w:rPr>
      </w:pPr>
    </w:p>
    <w:p w:rsidR="00CB2519" w:rsidRDefault="00CB2519" w:rsidP="00CB2519">
      <w:pPr>
        <w:spacing w:line="360" w:lineRule="auto"/>
        <w:jc w:val="both"/>
        <w:rPr>
          <w:sz w:val="20"/>
          <w:szCs w:val="20"/>
        </w:rPr>
      </w:pPr>
      <w:r>
        <w:rPr>
          <w:noProof/>
          <w:lang w:val="es-MX" w:eastAsia="es-MX"/>
        </w:rPr>
        <w:drawing>
          <wp:inline distT="0" distB="0" distL="0" distR="0" wp14:anchorId="59DFB050" wp14:editId="757BCB8B">
            <wp:extent cx="3848100" cy="3791232"/>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6321" t="18709" r="29225" b="20941"/>
                    <a:stretch/>
                  </pic:blipFill>
                  <pic:spPr bwMode="auto">
                    <a:xfrm>
                      <a:off x="0" y="0"/>
                      <a:ext cx="3855579" cy="3798601"/>
                    </a:xfrm>
                    <a:prstGeom prst="rect">
                      <a:avLst/>
                    </a:prstGeom>
                    <a:ln>
                      <a:noFill/>
                    </a:ln>
                    <a:extLst>
                      <a:ext uri="{53640926-AAD7-44D8-BBD7-CCE9431645EC}">
                        <a14:shadowObscured xmlns:a14="http://schemas.microsoft.com/office/drawing/2010/main"/>
                      </a:ext>
                    </a:extLst>
                  </pic:spPr>
                </pic:pic>
              </a:graphicData>
            </a:graphic>
          </wp:inline>
        </w:drawing>
      </w:r>
    </w:p>
    <w:p w:rsidR="00CB2519" w:rsidRDefault="00CB2519" w:rsidP="00CB2519">
      <w:pPr>
        <w:spacing w:line="360" w:lineRule="auto"/>
        <w:jc w:val="both"/>
        <w:rPr>
          <w:sz w:val="20"/>
          <w:szCs w:val="20"/>
        </w:rPr>
      </w:pPr>
    </w:p>
    <w:p w:rsidR="00CB2519" w:rsidRDefault="00CB2519" w:rsidP="00CB2519">
      <w:pPr>
        <w:spacing w:line="360" w:lineRule="auto"/>
        <w:jc w:val="both"/>
        <w:rPr>
          <w:sz w:val="20"/>
          <w:szCs w:val="20"/>
        </w:rPr>
      </w:pPr>
      <w:r w:rsidRPr="00564518">
        <w:rPr>
          <w:sz w:val="20"/>
          <w:szCs w:val="20"/>
        </w:rPr>
        <w:t>Finalmente, cabe mencionar que, en el primer trimestre de 2023, la actividad económica reportada en Tlaxcala ubicó a la entidad en el lugar 25 a nivel nacional.</w:t>
      </w:r>
    </w:p>
    <w:p w:rsidR="00505BAF" w:rsidRDefault="00505BAF" w:rsidP="00CB2519">
      <w:pPr>
        <w:spacing w:line="360" w:lineRule="auto"/>
        <w:jc w:val="both"/>
        <w:rPr>
          <w:sz w:val="20"/>
          <w:szCs w:val="20"/>
        </w:rPr>
      </w:pPr>
    </w:p>
    <w:p w:rsidR="00505BAF" w:rsidRDefault="00505BAF" w:rsidP="00CB2519">
      <w:pPr>
        <w:spacing w:line="360" w:lineRule="auto"/>
        <w:jc w:val="both"/>
        <w:rPr>
          <w:sz w:val="20"/>
          <w:szCs w:val="20"/>
        </w:rPr>
      </w:pPr>
    </w:p>
    <w:p w:rsidR="00505BAF" w:rsidRDefault="00505BAF" w:rsidP="00CB2519">
      <w:pPr>
        <w:spacing w:line="360" w:lineRule="auto"/>
        <w:jc w:val="both"/>
        <w:rPr>
          <w:sz w:val="20"/>
          <w:szCs w:val="20"/>
        </w:rPr>
      </w:pPr>
    </w:p>
    <w:p w:rsidR="00CB2519" w:rsidRDefault="00CB2519" w:rsidP="00CB2519">
      <w:pPr>
        <w:spacing w:line="360" w:lineRule="auto"/>
        <w:jc w:val="center"/>
        <w:rPr>
          <w:b/>
          <w:bCs/>
          <w:sz w:val="20"/>
          <w:szCs w:val="20"/>
        </w:rPr>
      </w:pPr>
    </w:p>
    <w:p w:rsidR="00CB2519" w:rsidRDefault="00CB2519" w:rsidP="00CB2519">
      <w:pPr>
        <w:pStyle w:val="Prrafodelista"/>
        <w:numPr>
          <w:ilvl w:val="0"/>
          <w:numId w:val="14"/>
        </w:numPr>
        <w:spacing w:line="360" w:lineRule="auto"/>
        <w:jc w:val="both"/>
        <w:rPr>
          <w:b/>
          <w:bCs/>
          <w:sz w:val="20"/>
          <w:szCs w:val="20"/>
        </w:rPr>
      </w:pPr>
      <w:r>
        <w:rPr>
          <w:b/>
          <w:bCs/>
          <w:sz w:val="20"/>
          <w:szCs w:val="20"/>
        </w:rPr>
        <w:lastRenderedPageBreak/>
        <w:t>EVOLUCIÓN DE LAS FINANZAS PÚBLICAS 2018-2023.</w:t>
      </w:r>
    </w:p>
    <w:p w:rsidR="00CB2519" w:rsidRDefault="00CB2519" w:rsidP="00CB2519">
      <w:pPr>
        <w:spacing w:line="360" w:lineRule="auto"/>
        <w:jc w:val="both"/>
        <w:rPr>
          <w:b/>
          <w:bCs/>
          <w:sz w:val="20"/>
          <w:szCs w:val="20"/>
        </w:rPr>
      </w:pPr>
    </w:p>
    <w:p w:rsidR="00CB2519" w:rsidRDefault="00CB2519" w:rsidP="00CB2519">
      <w:pPr>
        <w:pStyle w:val="PRIMERAPLANA"/>
        <w:spacing w:line="360" w:lineRule="auto"/>
        <w:rPr>
          <w:rFonts w:ascii="Times New Roman" w:hAnsi="Times New Roman"/>
          <w:iCs/>
          <w:lang w:val="es-ES"/>
        </w:rPr>
      </w:pPr>
      <w:r>
        <w:rPr>
          <w:rFonts w:ascii="Times New Roman" w:hAnsi="Times New Roman"/>
          <w:iCs/>
          <w:lang w:val="es-ES"/>
        </w:rPr>
        <w:t>Según la Secretaría de Hacienda y Crédito Público refiere que las perspectivas sobre el desempeño de la actividad económica y su contribución al bienestar de las personas seguirán siendo positivas. Si bien se ha observado una recomposición gradual en la pirámide poblacional, al igual que en otros países del mundo, México mantendrá un bono demográfico que le permitirá contar con una fuerza laboral amplia, diversa y bien capacitada, hecho favorable para el fortalecimiento de su mercado interno y también para mantener el  atractivo del país como destino de inversiones extranjeras.</w:t>
      </w:r>
    </w:p>
    <w:p w:rsidR="00CB2519" w:rsidRDefault="00CB2519" w:rsidP="00CB2519">
      <w:pPr>
        <w:pStyle w:val="PRIMERAPLANA"/>
        <w:spacing w:line="360" w:lineRule="auto"/>
        <w:rPr>
          <w:rFonts w:ascii="Times New Roman" w:hAnsi="Times New Roman"/>
          <w:iCs/>
          <w:lang w:val="es-ES"/>
        </w:rPr>
      </w:pPr>
    </w:p>
    <w:p w:rsidR="00CB2519" w:rsidRDefault="00CB2519" w:rsidP="00CB2519">
      <w:pPr>
        <w:pStyle w:val="PRIMERAPLANA"/>
        <w:spacing w:line="360" w:lineRule="auto"/>
        <w:rPr>
          <w:rFonts w:ascii="Times New Roman" w:hAnsi="Times New Roman"/>
          <w:iCs/>
          <w:lang w:val="es-ES"/>
        </w:rPr>
      </w:pPr>
      <w:r>
        <w:rPr>
          <w:rFonts w:ascii="Times New Roman" w:hAnsi="Times New Roman"/>
          <w:iCs/>
          <w:lang w:val="es-ES"/>
        </w:rPr>
        <w:t>En este contexto, se prevé que, en 2023 y 2024, la economía mexicana alcance crecimientos reales anuales en rangos de entre 2.5 y 3.5% en ambos años, lo cual es superior a las estimaciones planteadas en el Paquete Económico 2023. Para el cierre de la administración, se espera que, por tercer año consecutivo, la economía mexicana crezca por arriba de la economía estadounidense, pero sobre todo con estabilidad macroeconómica y finanzas públicas sanas.</w:t>
      </w:r>
    </w:p>
    <w:p w:rsidR="00CB2519" w:rsidRDefault="00CB2519" w:rsidP="00CB2519">
      <w:pPr>
        <w:pStyle w:val="PRIMERAPLANA"/>
        <w:spacing w:line="360" w:lineRule="auto"/>
        <w:rPr>
          <w:rFonts w:ascii="Times New Roman" w:hAnsi="Times New Roman"/>
          <w:iCs/>
          <w:lang w:val="es-ES"/>
        </w:rPr>
      </w:pPr>
    </w:p>
    <w:p w:rsidR="00CB2519" w:rsidRDefault="00CB2519" w:rsidP="00CB2519">
      <w:pPr>
        <w:pStyle w:val="PRIMERAPLANA"/>
        <w:spacing w:line="360" w:lineRule="auto"/>
        <w:rPr>
          <w:rFonts w:ascii="Times New Roman" w:hAnsi="Times New Roman"/>
          <w:iCs/>
          <w:lang w:val="es-ES"/>
        </w:rPr>
      </w:pPr>
      <w:r>
        <w:rPr>
          <w:rFonts w:ascii="Times New Roman" w:hAnsi="Times New Roman"/>
          <w:iCs/>
          <w:lang w:val="es-ES"/>
        </w:rPr>
        <w:t>En el periodo enero a agosto, la inflación en México continuó con la tendencia a la baja iniciada desde finales de 2022 aunque, al igual que lo sucedido a nivel global, todavía no se situó dentro del rango objetivo determinado por el Banco de México. En particular, la inflación general se ubicó en promedio en 6.10%, y el componente subyacente y no subyacente en 7.42 y 2.22%, respectivamente.</w:t>
      </w:r>
    </w:p>
    <w:p w:rsidR="00CB2519" w:rsidRDefault="00CB2519" w:rsidP="00CB2519">
      <w:pPr>
        <w:pStyle w:val="PRIMERAPLANA"/>
        <w:spacing w:line="360" w:lineRule="auto"/>
        <w:rPr>
          <w:rFonts w:ascii="Times New Roman" w:hAnsi="Times New Roman"/>
          <w:iCs/>
          <w:lang w:val="es-ES"/>
        </w:rPr>
      </w:pPr>
    </w:p>
    <w:p w:rsidR="00CB2519" w:rsidRDefault="00CB2519" w:rsidP="00CB2519">
      <w:pPr>
        <w:pStyle w:val="PRIMERAPLANA"/>
        <w:spacing w:line="360" w:lineRule="auto"/>
        <w:rPr>
          <w:rFonts w:ascii="Times New Roman" w:hAnsi="Times New Roman"/>
          <w:iCs/>
          <w:color w:val="FF0000"/>
          <w:lang w:val="es-ES"/>
        </w:rPr>
      </w:pPr>
      <w:r>
        <w:rPr>
          <w:rFonts w:ascii="Times New Roman" w:hAnsi="Times New Roman"/>
          <w:iCs/>
          <w:lang w:val="es-ES"/>
        </w:rPr>
        <w:t>En lo que resta de 2023, se prevé que la inflación general continúe aproximándose al intervalo superior del objetivo del Banco de México, apoyada por la apreciación del peso respecto del dólar y factores de oferta que se irán atenuando y que permitirá reducir presiones en bienes importados.</w:t>
      </w:r>
    </w:p>
    <w:p w:rsidR="00CB2519" w:rsidRDefault="00CB2519" w:rsidP="00CB2519">
      <w:pPr>
        <w:pStyle w:val="PRIMERAPLANA"/>
        <w:spacing w:line="360" w:lineRule="auto"/>
        <w:rPr>
          <w:rFonts w:ascii="Times New Roman" w:hAnsi="Times New Roman"/>
          <w:iCs/>
          <w:lang w:val="es-ES"/>
        </w:rPr>
      </w:pPr>
    </w:p>
    <w:p w:rsidR="00CB2519" w:rsidRDefault="00CB2519" w:rsidP="00CB2519">
      <w:pPr>
        <w:pStyle w:val="PRIMERAPLANA"/>
        <w:spacing w:line="360" w:lineRule="auto"/>
        <w:rPr>
          <w:rFonts w:ascii="Times New Roman" w:hAnsi="Times New Roman"/>
          <w:iCs/>
          <w:lang w:val="es-ES"/>
        </w:rPr>
      </w:pPr>
      <w:r>
        <w:rPr>
          <w:rFonts w:ascii="Times New Roman" w:hAnsi="Times New Roman"/>
          <w:iCs/>
          <w:lang w:val="es-ES"/>
        </w:rPr>
        <w:t>A continuación, se presenta el comportamiento en la ejecución del gasto público etiquetado y no etiquetado en los últimos cinco años y el pronóstico de cierre 2023.</w:t>
      </w:r>
    </w:p>
    <w:p w:rsidR="00CB2519" w:rsidRDefault="00F94CE4" w:rsidP="00CB2519">
      <w:pPr>
        <w:pStyle w:val="PRIMERAPLANA"/>
        <w:spacing w:line="360" w:lineRule="auto"/>
        <w:rPr>
          <w:rFonts w:ascii="Times New Roman" w:hAnsi="Times New Roman"/>
          <w:iCs/>
          <w:lang w:val="es-ES"/>
        </w:rPr>
      </w:pPr>
      <w:r w:rsidRPr="00F94CE4">
        <w:rPr>
          <w:noProof/>
          <w:lang w:val="es-MX" w:eastAsia="es-MX"/>
        </w:rPr>
        <w:lastRenderedPageBreak/>
        <w:drawing>
          <wp:inline distT="0" distB="0" distL="0" distR="0">
            <wp:extent cx="5143500" cy="6662292"/>
            <wp:effectExtent l="0" t="0" r="0" b="571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43500" cy="6662292"/>
                    </a:xfrm>
                    <a:prstGeom prst="rect">
                      <a:avLst/>
                    </a:prstGeom>
                    <a:noFill/>
                    <a:ln>
                      <a:noFill/>
                    </a:ln>
                  </pic:spPr>
                </pic:pic>
              </a:graphicData>
            </a:graphic>
          </wp:inline>
        </w:drawing>
      </w:r>
    </w:p>
    <w:p w:rsidR="00CB2519" w:rsidRDefault="00CB2519" w:rsidP="00CB2519">
      <w:pPr>
        <w:pStyle w:val="PRIMERAPLANA"/>
        <w:spacing w:line="360" w:lineRule="auto"/>
        <w:rPr>
          <w:rFonts w:ascii="Times New Roman" w:hAnsi="Times New Roman"/>
          <w:iCs/>
          <w:lang w:val="es-ES"/>
        </w:rPr>
      </w:pPr>
    </w:p>
    <w:p w:rsidR="00CB2519" w:rsidRDefault="00CB2519" w:rsidP="00CB2519">
      <w:pPr>
        <w:pStyle w:val="Prrafodelista"/>
        <w:numPr>
          <w:ilvl w:val="0"/>
          <w:numId w:val="14"/>
        </w:numPr>
        <w:spacing w:line="360" w:lineRule="auto"/>
        <w:jc w:val="both"/>
        <w:rPr>
          <w:b/>
          <w:sz w:val="20"/>
          <w:szCs w:val="20"/>
        </w:rPr>
      </w:pPr>
      <w:r>
        <w:rPr>
          <w:b/>
          <w:sz w:val="20"/>
          <w:szCs w:val="20"/>
        </w:rPr>
        <w:lastRenderedPageBreak/>
        <w:t xml:space="preserve">DISCIPLINA PRESUPUESTAL </w:t>
      </w:r>
    </w:p>
    <w:p w:rsidR="00CB2519" w:rsidRDefault="00CB2519" w:rsidP="00CB2519">
      <w:pPr>
        <w:spacing w:line="360" w:lineRule="auto"/>
        <w:jc w:val="both"/>
        <w:rPr>
          <w:sz w:val="20"/>
          <w:szCs w:val="20"/>
        </w:rPr>
      </w:pPr>
    </w:p>
    <w:p w:rsidR="00CB2519" w:rsidRDefault="00CB2519" w:rsidP="00CB2519">
      <w:pPr>
        <w:spacing w:line="360" w:lineRule="auto"/>
        <w:jc w:val="both"/>
        <w:rPr>
          <w:sz w:val="20"/>
          <w:szCs w:val="20"/>
        </w:rPr>
      </w:pPr>
      <w:r>
        <w:rPr>
          <w:sz w:val="20"/>
          <w:szCs w:val="20"/>
        </w:rPr>
        <w:t>La Disciplina es una directriz o política de gasto que obliga a las dependencias del sector público, a ejercer los recursos en los montos, estructuras y plazos previamente fijados por la programación del presupuesto que se autoriza, con apego a la normatividad vigente aplicable.</w:t>
      </w:r>
    </w:p>
    <w:p w:rsidR="00CB2519" w:rsidRDefault="00CB2519" w:rsidP="00CB2519">
      <w:pPr>
        <w:spacing w:line="360" w:lineRule="auto"/>
        <w:jc w:val="both"/>
        <w:rPr>
          <w:sz w:val="20"/>
          <w:szCs w:val="20"/>
        </w:rPr>
      </w:pPr>
    </w:p>
    <w:p w:rsidR="00CB2519" w:rsidRDefault="00CB2519" w:rsidP="00CB2519">
      <w:pPr>
        <w:spacing w:line="360" w:lineRule="auto"/>
        <w:jc w:val="both"/>
        <w:rPr>
          <w:sz w:val="20"/>
          <w:szCs w:val="20"/>
        </w:rPr>
      </w:pPr>
      <w:r>
        <w:rPr>
          <w:sz w:val="20"/>
          <w:szCs w:val="20"/>
        </w:rPr>
        <w:t>El objetivo de la política económica no es producir cifras y estadísticas armoniosas</w:t>
      </w:r>
      <w:r w:rsidR="00F94CE4">
        <w:rPr>
          <w:sz w:val="20"/>
          <w:szCs w:val="20"/>
        </w:rPr>
        <w:t>,</w:t>
      </w:r>
      <w:r>
        <w:rPr>
          <w:sz w:val="20"/>
          <w:szCs w:val="20"/>
        </w:rPr>
        <w:t xml:space="preserve"> sino generar bienestar para la población. Los macro indicadores son un instrumento de medición, no un fin en sí, retomar el camino del crecimiento con austeridad y sin corrupción.</w:t>
      </w:r>
    </w:p>
    <w:p w:rsidR="00CB2519" w:rsidRDefault="00CB2519" w:rsidP="00CB2519">
      <w:pPr>
        <w:spacing w:line="360" w:lineRule="auto"/>
        <w:jc w:val="both"/>
        <w:rPr>
          <w:sz w:val="20"/>
          <w:szCs w:val="20"/>
        </w:rPr>
      </w:pPr>
    </w:p>
    <w:p w:rsidR="00CB2519" w:rsidRDefault="00CB2519" w:rsidP="00CB2519">
      <w:pPr>
        <w:spacing w:line="360" w:lineRule="auto"/>
        <w:jc w:val="both"/>
        <w:rPr>
          <w:sz w:val="20"/>
          <w:szCs w:val="20"/>
        </w:rPr>
      </w:pPr>
      <w:r>
        <w:rPr>
          <w:sz w:val="20"/>
          <w:szCs w:val="20"/>
        </w:rPr>
        <w:t>Los recursos financieros que dispone el Gobierno del Estado son escasos ante necesidades sociales y públicas, toda vez que la principal fuente de recursos la constituyen las transferencias del Gobierno Federal, las cuales provienen de contribuciones federales, es por ello, que el Gobierno del Estado, ha implementado diversas medidas encaminadas a racionalizar el gasto público y a la elaboración de presupuestos realistas en un ámbito de racionalidad, austeridad y disciplina presupuestal, alineadas a las políticas establecidas por el Gobierno Federal.</w:t>
      </w:r>
    </w:p>
    <w:p w:rsidR="00CB2519" w:rsidRDefault="00CB2519" w:rsidP="00CB2519">
      <w:pPr>
        <w:spacing w:line="360" w:lineRule="auto"/>
        <w:jc w:val="both"/>
        <w:rPr>
          <w:sz w:val="20"/>
          <w:szCs w:val="20"/>
        </w:rPr>
      </w:pPr>
    </w:p>
    <w:p w:rsidR="00CB2519" w:rsidRDefault="00CB2519" w:rsidP="00CB2519">
      <w:pPr>
        <w:spacing w:line="360" w:lineRule="auto"/>
        <w:jc w:val="both"/>
        <w:rPr>
          <w:sz w:val="20"/>
          <w:szCs w:val="20"/>
        </w:rPr>
      </w:pPr>
      <w:r>
        <w:rPr>
          <w:sz w:val="20"/>
          <w:szCs w:val="20"/>
        </w:rPr>
        <w:t>De acuerdo al Plan Estatal de Desarrollo 2021-2027 de Tlaxcala, ofrece la construcción de un Gobierno fundamentado en el interés del pueblo y para el pueblo, por lo que se atiene a sus designios y al planteamiento de sus necesidades. Propone, por ello, ir a las causas de los problemas y enlazar cada acción con el resto, en un planteamiento integral y ordenado, de manera que sea posible llevar a cabo un ejercicio sistematizado y basado en la interdependencia, el análisis multidisciplinario y transdisciplinario.</w:t>
      </w:r>
    </w:p>
    <w:p w:rsidR="00CB2519" w:rsidRDefault="00CB2519" w:rsidP="00CB2519">
      <w:pPr>
        <w:spacing w:line="360" w:lineRule="auto"/>
        <w:jc w:val="both"/>
        <w:rPr>
          <w:sz w:val="20"/>
          <w:szCs w:val="20"/>
        </w:rPr>
      </w:pPr>
    </w:p>
    <w:p w:rsidR="00CB2519" w:rsidRDefault="00CB2519" w:rsidP="00CB2519">
      <w:pPr>
        <w:spacing w:line="360" w:lineRule="auto"/>
        <w:jc w:val="both"/>
        <w:rPr>
          <w:sz w:val="20"/>
          <w:szCs w:val="20"/>
        </w:rPr>
      </w:pPr>
      <w:r>
        <w:rPr>
          <w:sz w:val="20"/>
          <w:szCs w:val="20"/>
        </w:rPr>
        <w:t>En la elaboración de la presente Iniciativa</w:t>
      </w:r>
      <w:r>
        <w:rPr>
          <w:rFonts w:eastAsia="Calibri"/>
          <w:sz w:val="20"/>
          <w:szCs w:val="20"/>
        </w:rPr>
        <w:t xml:space="preserve"> de Decreto de Presupuesto de Egresos del Estado de Tlaxcala para el Ejercicio Fiscal 2024</w:t>
      </w:r>
      <w:r>
        <w:rPr>
          <w:sz w:val="20"/>
          <w:szCs w:val="20"/>
        </w:rPr>
        <w:t xml:space="preserve">, para evitar un desfasamiento del gasto en relación con los ingresos, que pudiese derivar en resultados deficitarios, los ejecutores de gasto en el ejercicio de sus respectivos presupuestos, consideraron medidas para racionalizar el gasto destinado a las actividades administrativas y de apoyo, con la finalidad de no afectar el cumplimiento de las metas de los programas presupuestarios considerados para su ejecución, procurando el uso de los recursos públicos con la mayor eficiencia, eficacia, transparencia y austeridad, fortaleciendo las acciones tendientes a lograr ahorros y economías, sin disminución de los resultados, y reorientarlos al gasto social, </w:t>
      </w:r>
      <w:r>
        <w:rPr>
          <w:sz w:val="20"/>
          <w:szCs w:val="20"/>
        </w:rPr>
        <w:lastRenderedPageBreak/>
        <w:t xml:space="preserve">permitiendo a las Dependencias y Entidades contar con una operación administrativa eficiente, acorde al marco normativo y a los sistemas de registro y control del gasto. </w:t>
      </w:r>
    </w:p>
    <w:p w:rsidR="00CB2519" w:rsidRDefault="00CB2519" w:rsidP="00CB2519">
      <w:pPr>
        <w:spacing w:line="360" w:lineRule="auto"/>
        <w:jc w:val="both"/>
        <w:rPr>
          <w:sz w:val="20"/>
          <w:szCs w:val="20"/>
        </w:rPr>
      </w:pPr>
    </w:p>
    <w:p w:rsidR="00CB2519" w:rsidRDefault="00CB2519" w:rsidP="00CB2519">
      <w:pPr>
        <w:spacing w:line="360" w:lineRule="auto"/>
        <w:jc w:val="both"/>
        <w:rPr>
          <w:sz w:val="20"/>
          <w:szCs w:val="20"/>
        </w:rPr>
      </w:pPr>
      <w:r>
        <w:rPr>
          <w:sz w:val="20"/>
          <w:szCs w:val="20"/>
        </w:rPr>
        <w:t>Entre las acciones de disciplina presupuestaria en el ejercicio del gasto público propuestas, se considera la contención de los recursos destinados a servicios personales, esta tendrá como límite, el producto que resulte de aplicar al monto aprobado en el Presupuesto de Egresos del ejercicio inmediato anterior, una tasa de crecimiento equivalente al valor que resulte menor entre: a) El 3 por ciento de crecimiento real; y b) El crecimiento real del Producto Interno Bruto señalado en los Criterios Generales de Política Económica para el ejercicio que se está presupuestando. En caso de que el Producto Interno Bruto presente una variación real negativa para el ejercicio que se está presupuestando, se deberá considerar un crecimiento real igual a cero; además de la reducción del gasto corriente de operación, y la reorientación del presupuesto a los programas sociales de mayor impacto e inclusión social, conforme al diagnóstico del CONEVAL.</w:t>
      </w:r>
    </w:p>
    <w:p w:rsidR="00CB2519" w:rsidRDefault="00CB2519" w:rsidP="00CB2519">
      <w:pPr>
        <w:spacing w:line="360" w:lineRule="auto"/>
        <w:jc w:val="both"/>
        <w:rPr>
          <w:sz w:val="20"/>
          <w:szCs w:val="20"/>
        </w:rPr>
      </w:pPr>
    </w:p>
    <w:p w:rsidR="00CB2519" w:rsidRDefault="00CB2519" w:rsidP="00CB2519">
      <w:pPr>
        <w:spacing w:line="360" w:lineRule="auto"/>
        <w:jc w:val="both"/>
        <w:rPr>
          <w:b/>
          <w:sz w:val="20"/>
          <w:szCs w:val="20"/>
        </w:rPr>
      </w:pPr>
      <w:r>
        <w:rPr>
          <w:b/>
          <w:sz w:val="20"/>
          <w:szCs w:val="20"/>
        </w:rPr>
        <w:t>TRANSPARENCIA Y RENDICIÓN DE CUENTAS</w:t>
      </w:r>
    </w:p>
    <w:p w:rsidR="00CB2519" w:rsidRDefault="00CB2519" w:rsidP="00CB2519">
      <w:pPr>
        <w:spacing w:line="360" w:lineRule="auto"/>
        <w:jc w:val="both"/>
        <w:rPr>
          <w:b/>
          <w:sz w:val="20"/>
          <w:szCs w:val="20"/>
        </w:rPr>
      </w:pPr>
    </w:p>
    <w:p w:rsidR="00CB2519" w:rsidRDefault="00CB2519" w:rsidP="00CB2519">
      <w:pPr>
        <w:spacing w:line="360" w:lineRule="auto"/>
        <w:jc w:val="both"/>
        <w:rPr>
          <w:sz w:val="20"/>
          <w:szCs w:val="20"/>
        </w:rPr>
      </w:pPr>
      <w:r>
        <w:rPr>
          <w:sz w:val="20"/>
          <w:szCs w:val="20"/>
        </w:rPr>
        <w:t>En México la transparencia y la rendición de cuentas son pilares imprescindibles de la gestión pública, toda vez que las decisiones que se tomen por parte del Gobierno forzosamente deben estar al alcance de los ciudadanos de una manera accesible, clara y veraz, lo que coadyuva y favorece a la constante vigilancia de los recursos públicos y que estos se ejerzan en estricto apego a la ley.</w:t>
      </w:r>
    </w:p>
    <w:p w:rsidR="00CB2519" w:rsidRDefault="00CB2519" w:rsidP="00CB2519">
      <w:pPr>
        <w:spacing w:line="360" w:lineRule="auto"/>
        <w:jc w:val="both"/>
        <w:rPr>
          <w:sz w:val="20"/>
          <w:szCs w:val="20"/>
        </w:rPr>
      </w:pPr>
    </w:p>
    <w:p w:rsidR="00CB2519" w:rsidRDefault="00CB2519" w:rsidP="00CB2519">
      <w:pPr>
        <w:spacing w:line="360" w:lineRule="auto"/>
        <w:jc w:val="both"/>
        <w:rPr>
          <w:sz w:val="20"/>
          <w:szCs w:val="20"/>
        </w:rPr>
      </w:pPr>
      <w:r>
        <w:rPr>
          <w:sz w:val="20"/>
          <w:szCs w:val="20"/>
        </w:rPr>
        <w:t>La principal diferencia entre la transparencia y la rendición de cuentas es que la transparencia es una parte de la rendición de cuentas, pues mientras que transparentar significa que la información se encuentra publicada en una vitrina a la vista de todos, la rendición de cuentas va más allá, es un proceso que tiene una metodología obligatoria para el manejo y administración del erario, y su incumplimiento conllevará a un castigo. Transparencia significa que las razones de toda decisión gubernamental y administrativa, así como los costos y recursos comprometidos en la aplicación de esa decisión son accesibles, claros y se comunican al público en general.</w:t>
      </w:r>
    </w:p>
    <w:p w:rsidR="00CB2519" w:rsidRDefault="00CB2519" w:rsidP="00CB2519">
      <w:pPr>
        <w:spacing w:line="360" w:lineRule="auto"/>
        <w:jc w:val="both"/>
        <w:rPr>
          <w:sz w:val="20"/>
          <w:szCs w:val="20"/>
        </w:rPr>
      </w:pPr>
    </w:p>
    <w:p w:rsidR="00CB2519" w:rsidRDefault="00CB2519" w:rsidP="00CB2519">
      <w:pPr>
        <w:spacing w:line="360" w:lineRule="auto"/>
        <w:jc w:val="both"/>
        <w:rPr>
          <w:sz w:val="20"/>
          <w:szCs w:val="20"/>
        </w:rPr>
      </w:pPr>
      <w:r>
        <w:rPr>
          <w:sz w:val="20"/>
          <w:szCs w:val="20"/>
        </w:rPr>
        <w:t xml:space="preserve">El funcionamiento eficiente y eficaz de las instituciones del Estado y el ejercicio ético en la gestión pública, así como el fortalecimiento de los valores que dan sustento a la democracia para alcanzar el </w:t>
      </w:r>
      <w:r>
        <w:rPr>
          <w:sz w:val="20"/>
          <w:szCs w:val="20"/>
        </w:rPr>
        <w:lastRenderedPageBreak/>
        <w:t xml:space="preserve">pleno respeto de las diferencias de cualquier índole y del derecho de cada quien, a decidir su forma de vida, resultan pilares fundamentales para la consolidación de un sistema democrático. </w:t>
      </w:r>
    </w:p>
    <w:p w:rsidR="00CB2519" w:rsidRDefault="00CB2519" w:rsidP="00CB2519">
      <w:pPr>
        <w:spacing w:line="360" w:lineRule="auto"/>
        <w:jc w:val="both"/>
        <w:rPr>
          <w:sz w:val="20"/>
          <w:szCs w:val="20"/>
        </w:rPr>
      </w:pPr>
    </w:p>
    <w:p w:rsidR="00CB2519" w:rsidRDefault="00CB2519" w:rsidP="00CB2519">
      <w:pPr>
        <w:spacing w:line="360" w:lineRule="auto"/>
        <w:jc w:val="both"/>
        <w:rPr>
          <w:sz w:val="20"/>
          <w:szCs w:val="20"/>
        </w:rPr>
      </w:pPr>
      <w:r>
        <w:rPr>
          <w:sz w:val="20"/>
          <w:szCs w:val="20"/>
        </w:rPr>
        <w:t>Construir un gobierno transparente y de rendición de cuentas, como principal medida para transformar las condiciones de desarrollo de Tlaxcala, a través de acciones contundentes que consoliden las bases de un Estado sólido.</w:t>
      </w:r>
    </w:p>
    <w:p w:rsidR="00CB2519" w:rsidRDefault="00CB2519" w:rsidP="00CB2519">
      <w:pPr>
        <w:spacing w:line="360" w:lineRule="auto"/>
        <w:jc w:val="both"/>
        <w:rPr>
          <w:sz w:val="20"/>
          <w:szCs w:val="20"/>
        </w:rPr>
      </w:pPr>
    </w:p>
    <w:p w:rsidR="00CB2519" w:rsidRDefault="00CB2519" w:rsidP="00CB2519">
      <w:pPr>
        <w:spacing w:line="360" w:lineRule="auto"/>
        <w:jc w:val="both"/>
        <w:rPr>
          <w:sz w:val="20"/>
          <w:szCs w:val="20"/>
        </w:rPr>
      </w:pPr>
      <w:r>
        <w:rPr>
          <w:sz w:val="20"/>
          <w:szCs w:val="20"/>
        </w:rPr>
        <w:t>En la actual administración y de acuerdo con las Políticas del Gobierno Federal en el PND 2021-2027, la regeneración ética es la intención ejemplificante de un de gobierno austero, honesto, transparente, incluyente, respetuoso de las libertades, apegado a derecho, sensible a las necesidades de los más débiles y vulnerables y pendiente en todo momento del interés superior, para ello se han llevado a cabo acciones que permiten tener acceso a la información mediante procedimientos sencillos y expeditos, transparentando la gestión pública mediante la difusión de la información que generan los sujetos obligados y garantizando en todo momento la protección de los datos personales en posesión de las dependencias y entidades del Estado, permitiendo rendir cuentas a los ciudadanos de manera que puedan valorar el desempeño del Gobierno del Estado.</w:t>
      </w:r>
    </w:p>
    <w:p w:rsidR="00CB2519" w:rsidRDefault="00CB2519" w:rsidP="00CB2519">
      <w:pPr>
        <w:spacing w:line="360" w:lineRule="auto"/>
        <w:jc w:val="both"/>
        <w:rPr>
          <w:sz w:val="20"/>
          <w:szCs w:val="20"/>
        </w:rPr>
      </w:pPr>
    </w:p>
    <w:p w:rsidR="00CB2519" w:rsidRDefault="00CB2519" w:rsidP="00CB2519">
      <w:pPr>
        <w:spacing w:line="360" w:lineRule="auto"/>
        <w:jc w:val="both"/>
        <w:rPr>
          <w:sz w:val="20"/>
          <w:szCs w:val="20"/>
        </w:rPr>
      </w:pPr>
      <w:r>
        <w:rPr>
          <w:sz w:val="20"/>
          <w:szCs w:val="20"/>
        </w:rPr>
        <w:t>La transparencia y la rendición de cuentas en la gestión pública en el Estado se perfilan hacia una nueva cultura política en la cual la participación ciudadana conlleva la existencia de una sociedad más equitativa y justa, de este modo la gobernabilidad democrática dependerá de que los intereses sociales se vean reflejados en acciones de gobierno transparente.</w:t>
      </w:r>
    </w:p>
    <w:p w:rsidR="00CB2519" w:rsidRDefault="00CB2519" w:rsidP="00CB2519">
      <w:pPr>
        <w:spacing w:line="360" w:lineRule="auto"/>
        <w:jc w:val="both"/>
        <w:rPr>
          <w:sz w:val="20"/>
          <w:szCs w:val="20"/>
        </w:rPr>
      </w:pPr>
    </w:p>
    <w:p w:rsidR="00CB2519" w:rsidRDefault="00CB2519" w:rsidP="00CB2519">
      <w:pPr>
        <w:spacing w:line="360" w:lineRule="auto"/>
        <w:jc w:val="both"/>
        <w:rPr>
          <w:sz w:val="20"/>
          <w:szCs w:val="20"/>
        </w:rPr>
      </w:pPr>
      <w:r>
        <w:rPr>
          <w:sz w:val="20"/>
          <w:szCs w:val="20"/>
        </w:rPr>
        <w:t>Garantizar una adecuada y oportuna rendición de cuentas de los sujetos obligados a través de la generación y publicación de información sobre el ejercicio de los recursos públicos de manera completa, veraz y oportuna.</w:t>
      </w:r>
    </w:p>
    <w:p w:rsidR="00CB2519" w:rsidRDefault="00CB2519" w:rsidP="00CB2519">
      <w:pPr>
        <w:spacing w:line="360" w:lineRule="auto"/>
        <w:jc w:val="both"/>
        <w:rPr>
          <w:sz w:val="20"/>
          <w:szCs w:val="20"/>
        </w:rPr>
      </w:pPr>
    </w:p>
    <w:p w:rsidR="00CB2519" w:rsidRDefault="00CB2519" w:rsidP="00CB2519">
      <w:pPr>
        <w:spacing w:line="360" w:lineRule="auto"/>
        <w:jc w:val="both"/>
        <w:rPr>
          <w:b/>
          <w:sz w:val="20"/>
          <w:szCs w:val="20"/>
        </w:rPr>
      </w:pPr>
      <w:r>
        <w:rPr>
          <w:b/>
          <w:sz w:val="20"/>
          <w:szCs w:val="20"/>
        </w:rPr>
        <w:t>CRITERIOS GENERALES DE PRESUPUESTO Y GASTO ESTATAL</w:t>
      </w:r>
    </w:p>
    <w:p w:rsidR="00CB2519" w:rsidRDefault="00CB2519" w:rsidP="00CB2519">
      <w:pPr>
        <w:spacing w:line="360" w:lineRule="auto"/>
        <w:jc w:val="both"/>
        <w:rPr>
          <w:b/>
          <w:sz w:val="20"/>
          <w:szCs w:val="20"/>
        </w:rPr>
      </w:pPr>
    </w:p>
    <w:p w:rsidR="00CB2519" w:rsidRDefault="00CB2519" w:rsidP="00CB2519">
      <w:pPr>
        <w:spacing w:line="360" w:lineRule="auto"/>
        <w:jc w:val="both"/>
        <w:rPr>
          <w:sz w:val="20"/>
          <w:szCs w:val="20"/>
        </w:rPr>
      </w:pPr>
      <w:r>
        <w:rPr>
          <w:sz w:val="20"/>
          <w:szCs w:val="20"/>
        </w:rPr>
        <w:t xml:space="preserve">En congruencia con lo anterior, las políticas presupuestarias y de gasto del Estado, para el próximo ejercicio fiscal, son de prudencia, austeridad y estricta racionalidad en el ejercicio del gasto, focalizándose a los programas y proyectos prioritarios de mayor impacto social. </w:t>
      </w:r>
    </w:p>
    <w:p w:rsidR="00CB2519" w:rsidRDefault="00CB2519" w:rsidP="00CB2519">
      <w:pPr>
        <w:spacing w:line="360" w:lineRule="auto"/>
        <w:jc w:val="both"/>
        <w:rPr>
          <w:sz w:val="20"/>
          <w:szCs w:val="20"/>
        </w:rPr>
      </w:pPr>
    </w:p>
    <w:p w:rsidR="00CB2519" w:rsidRDefault="00CB2519" w:rsidP="00CB2519">
      <w:pPr>
        <w:spacing w:line="360" w:lineRule="auto"/>
        <w:jc w:val="both"/>
        <w:rPr>
          <w:sz w:val="20"/>
          <w:szCs w:val="20"/>
        </w:rPr>
      </w:pPr>
      <w:r>
        <w:rPr>
          <w:sz w:val="20"/>
          <w:szCs w:val="20"/>
        </w:rPr>
        <w:lastRenderedPageBreak/>
        <w:t>Este Proyecto de Decreto de Presupuesto de Egresos del Estado de Tlaxcala para el Ejercicio Fiscal 2024, está fundamentado en los Criterios Generales siguientes:</w:t>
      </w:r>
    </w:p>
    <w:p w:rsidR="00CB2519" w:rsidRDefault="00CB2519" w:rsidP="00CB2519">
      <w:pPr>
        <w:spacing w:line="360" w:lineRule="auto"/>
        <w:jc w:val="both"/>
        <w:rPr>
          <w:sz w:val="20"/>
          <w:szCs w:val="20"/>
        </w:rPr>
      </w:pPr>
    </w:p>
    <w:p w:rsidR="00CB2519" w:rsidRDefault="00CB2519" w:rsidP="00CB2519">
      <w:pPr>
        <w:pStyle w:val="Prrafodelista"/>
        <w:numPr>
          <w:ilvl w:val="0"/>
          <w:numId w:val="18"/>
        </w:numPr>
        <w:spacing w:before="240" w:line="360" w:lineRule="auto"/>
        <w:jc w:val="both"/>
        <w:rPr>
          <w:sz w:val="20"/>
          <w:szCs w:val="20"/>
        </w:rPr>
      </w:pPr>
      <w:r>
        <w:rPr>
          <w:sz w:val="20"/>
          <w:szCs w:val="20"/>
        </w:rPr>
        <w:t xml:space="preserve">Considera las expectativas y proyecciones económicas establecidas en los </w:t>
      </w:r>
      <w:r>
        <w:rPr>
          <w:rFonts w:eastAsia="Calibri"/>
          <w:color w:val="000000" w:themeColor="text1"/>
          <w:sz w:val="20"/>
          <w:szCs w:val="20"/>
        </w:rPr>
        <w:t>Criterios Generales de Política Económica para la Iniciativa de Ley de Ingresos</w:t>
      </w:r>
      <w:r w:rsidR="00771337">
        <w:rPr>
          <w:rFonts w:eastAsia="Calibri"/>
          <w:color w:val="000000" w:themeColor="text1"/>
          <w:sz w:val="20"/>
          <w:szCs w:val="20"/>
        </w:rPr>
        <w:t>,</w:t>
      </w:r>
      <w:r>
        <w:rPr>
          <w:rFonts w:eastAsia="Calibri"/>
          <w:color w:val="000000" w:themeColor="text1"/>
          <w:sz w:val="20"/>
          <w:szCs w:val="20"/>
        </w:rPr>
        <w:t xml:space="preserve"> el Proyecto de Presupuesto de Egresos de la Federación correspondientes al Ejercicio Fiscal 2024 (CGPE)</w:t>
      </w:r>
      <w:r w:rsidR="00771337">
        <w:rPr>
          <w:sz w:val="20"/>
          <w:szCs w:val="20"/>
        </w:rPr>
        <w:t xml:space="preserve"> y</w:t>
      </w:r>
      <w:r w:rsidR="0061353E">
        <w:rPr>
          <w:sz w:val="20"/>
          <w:szCs w:val="20"/>
        </w:rPr>
        <w:t xml:space="preserve"> a</w:t>
      </w:r>
      <w:r w:rsidR="00771337">
        <w:rPr>
          <w:sz w:val="20"/>
          <w:szCs w:val="20"/>
        </w:rPr>
        <w:t xml:space="preserve"> </w:t>
      </w:r>
      <w:r>
        <w:rPr>
          <w:sz w:val="20"/>
          <w:szCs w:val="20"/>
        </w:rPr>
        <w:t>la Política de Gasto del Poder Ejecutivo Federa</w:t>
      </w:r>
      <w:bookmarkStart w:id="0" w:name="_GoBack"/>
      <w:bookmarkEnd w:id="0"/>
      <w:r>
        <w:rPr>
          <w:sz w:val="20"/>
          <w:szCs w:val="20"/>
        </w:rPr>
        <w:t>l</w:t>
      </w:r>
      <w:r>
        <w:rPr>
          <w:spacing w:val="-21"/>
          <w:sz w:val="20"/>
          <w:szCs w:val="20"/>
        </w:rPr>
        <w:t xml:space="preserve"> </w:t>
      </w:r>
      <w:r>
        <w:rPr>
          <w:sz w:val="20"/>
          <w:szCs w:val="20"/>
        </w:rPr>
        <w:t>2024.</w:t>
      </w:r>
    </w:p>
    <w:p w:rsidR="00CB2519" w:rsidRDefault="00CB2519" w:rsidP="00CB2519">
      <w:pPr>
        <w:pStyle w:val="Prrafodelista"/>
        <w:numPr>
          <w:ilvl w:val="0"/>
          <w:numId w:val="18"/>
        </w:numPr>
        <w:spacing w:before="240" w:line="360" w:lineRule="auto"/>
        <w:jc w:val="both"/>
        <w:rPr>
          <w:sz w:val="20"/>
          <w:szCs w:val="20"/>
        </w:rPr>
      </w:pPr>
      <w:r>
        <w:rPr>
          <w:sz w:val="20"/>
          <w:szCs w:val="20"/>
        </w:rPr>
        <w:t>Congruencia</w:t>
      </w:r>
      <w:r>
        <w:rPr>
          <w:spacing w:val="-3"/>
          <w:sz w:val="20"/>
          <w:szCs w:val="20"/>
        </w:rPr>
        <w:t xml:space="preserve"> </w:t>
      </w:r>
      <w:r>
        <w:rPr>
          <w:sz w:val="20"/>
          <w:szCs w:val="20"/>
        </w:rPr>
        <w:t>con</w:t>
      </w:r>
      <w:r>
        <w:rPr>
          <w:spacing w:val="-3"/>
          <w:sz w:val="20"/>
          <w:szCs w:val="20"/>
        </w:rPr>
        <w:t xml:space="preserve"> </w:t>
      </w:r>
      <w:r>
        <w:rPr>
          <w:sz w:val="20"/>
          <w:szCs w:val="20"/>
        </w:rPr>
        <w:t>los</w:t>
      </w:r>
      <w:r>
        <w:rPr>
          <w:spacing w:val="-3"/>
          <w:sz w:val="20"/>
          <w:szCs w:val="20"/>
        </w:rPr>
        <w:t xml:space="preserve"> </w:t>
      </w:r>
      <w:r>
        <w:rPr>
          <w:sz w:val="20"/>
          <w:szCs w:val="20"/>
        </w:rPr>
        <w:t>criterios</w:t>
      </w:r>
      <w:r>
        <w:rPr>
          <w:spacing w:val="-3"/>
          <w:sz w:val="20"/>
          <w:szCs w:val="20"/>
        </w:rPr>
        <w:t xml:space="preserve"> </w:t>
      </w:r>
      <w:r>
        <w:rPr>
          <w:sz w:val="20"/>
          <w:szCs w:val="20"/>
        </w:rPr>
        <w:t>económicos</w:t>
      </w:r>
      <w:r>
        <w:rPr>
          <w:spacing w:val="-3"/>
          <w:sz w:val="20"/>
          <w:szCs w:val="20"/>
        </w:rPr>
        <w:t xml:space="preserve"> </w:t>
      </w:r>
      <w:r>
        <w:rPr>
          <w:sz w:val="20"/>
          <w:szCs w:val="20"/>
        </w:rPr>
        <w:t>planteados</w:t>
      </w:r>
      <w:r>
        <w:rPr>
          <w:spacing w:val="-3"/>
          <w:sz w:val="20"/>
          <w:szCs w:val="20"/>
        </w:rPr>
        <w:t xml:space="preserve"> </w:t>
      </w:r>
      <w:r>
        <w:rPr>
          <w:sz w:val="20"/>
          <w:szCs w:val="20"/>
        </w:rPr>
        <w:t>en</w:t>
      </w:r>
      <w:r>
        <w:rPr>
          <w:spacing w:val="-3"/>
          <w:sz w:val="20"/>
          <w:szCs w:val="20"/>
        </w:rPr>
        <w:t xml:space="preserve"> </w:t>
      </w:r>
      <w:r>
        <w:rPr>
          <w:sz w:val="20"/>
          <w:szCs w:val="20"/>
        </w:rPr>
        <w:t>la</w:t>
      </w:r>
      <w:r>
        <w:rPr>
          <w:spacing w:val="-3"/>
          <w:sz w:val="20"/>
          <w:szCs w:val="20"/>
        </w:rPr>
        <w:t xml:space="preserve"> </w:t>
      </w:r>
      <w:r>
        <w:rPr>
          <w:sz w:val="20"/>
          <w:szCs w:val="20"/>
        </w:rPr>
        <w:t>Iniciativa</w:t>
      </w:r>
      <w:r>
        <w:rPr>
          <w:spacing w:val="-3"/>
          <w:sz w:val="20"/>
          <w:szCs w:val="20"/>
        </w:rPr>
        <w:t xml:space="preserve"> </w:t>
      </w:r>
      <w:r>
        <w:rPr>
          <w:sz w:val="20"/>
          <w:szCs w:val="20"/>
        </w:rPr>
        <w:t>de</w:t>
      </w:r>
      <w:r>
        <w:rPr>
          <w:spacing w:val="-3"/>
          <w:sz w:val="20"/>
          <w:szCs w:val="20"/>
        </w:rPr>
        <w:t xml:space="preserve"> </w:t>
      </w:r>
      <w:r>
        <w:rPr>
          <w:sz w:val="20"/>
          <w:szCs w:val="20"/>
        </w:rPr>
        <w:t>Ley</w:t>
      </w:r>
      <w:r>
        <w:rPr>
          <w:spacing w:val="-6"/>
          <w:sz w:val="20"/>
          <w:szCs w:val="20"/>
        </w:rPr>
        <w:t xml:space="preserve"> </w:t>
      </w:r>
      <w:r>
        <w:rPr>
          <w:sz w:val="20"/>
          <w:szCs w:val="20"/>
        </w:rPr>
        <w:t>de</w:t>
      </w:r>
      <w:r>
        <w:rPr>
          <w:spacing w:val="-3"/>
          <w:sz w:val="20"/>
          <w:szCs w:val="20"/>
        </w:rPr>
        <w:t xml:space="preserve"> </w:t>
      </w:r>
      <w:r>
        <w:rPr>
          <w:sz w:val="20"/>
          <w:szCs w:val="20"/>
        </w:rPr>
        <w:t>Ingresos</w:t>
      </w:r>
      <w:r>
        <w:rPr>
          <w:spacing w:val="-3"/>
          <w:sz w:val="20"/>
          <w:szCs w:val="20"/>
        </w:rPr>
        <w:t xml:space="preserve"> </w:t>
      </w:r>
      <w:r>
        <w:rPr>
          <w:sz w:val="20"/>
          <w:szCs w:val="20"/>
        </w:rPr>
        <w:t>del</w:t>
      </w:r>
      <w:r>
        <w:rPr>
          <w:spacing w:val="-3"/>
          <w:sz w:val="20"/>
          <w:szCs w:val="20"/>
        </w:rPr>
        <w:t xml:space="preserve"> </w:t>
      </w:r>
      <w:r>
        <w:rPr>
          <w:sz w:val="20"/>
          <w:szCs w:val="20"/>
        </w:rPr>
        <w:t>Estado</w:t>
      </w:r>
      <w:r>
        <w:rPr>
          <w:spacing w:val="-2"/>
          <w:sz w:val="20"/>
          <w:szCs w:val="20"/>
        </w:rPr>
        <w:t xml:space="preserve"> </w:t>
      </w:r>
      <w:r>
        <w:rPr>
          <w:sz w:val="20"/>
          <w:szCs w:val="20"/>
        </w:rPr>
        <w:t>de</w:t>
      </w:r>
      <w:r>
        <w:rPr>
          <w:spacing w:val="-6"/>
          <w:sz w:val="20"/>
          <w:szCs w:val="20"/>
        </w:rPr>
        <w:t xml:space="preserve"> </w:t>
      </w:r>
      <w:r>
        <w:rPr>
          <w:sz w:val="20"/>
          <w:szCs w:val="20"/>
        </w:rPr>
        <w:t>Tlaxcala para el Ejercicio Fiscal 2024; para garantizar la viabilidad, equilibrio y sustentabilidad financiera del gasto público.</w:t>
      </w:r>
    </w:p>
    <w:p w:rsidR="00CB2519" w:rsidRDefault="00CB2519" w:rsidP="00CB2519">
      <w:pPr>
        <w:pStyle w:val="Prrafodelista"/>
        <w:numPr>
          <w:ilvl w:val="0"/>
          <w:numId w:val="18"/>
        </w:numPr>
        <w:spacing w:before="240" w:line="360" w:lineRule="auto"/>
        <w:jc w:val="both"/>
        <w:rPr>
          <w:sz w:val="20"/>
          <w:szCs w:val="20"/>
        </w:rPr>
      </w:pPr>
      <w:r>
        <w:rPr>
          <w:sz w:val="20"/>
          <w:szCs w:val="20"/>
        </w:rPr>
        <w:t>Prevé la racionalización del gasto público mediante la simplificación administrativa, con el objeto de reorientar los ahorros para proyectos estratégicos prioritarios en salud, seguridad, educación y desarrollo regional que contribuyan a hacer más eficientes los servicios de proyectos de inversión pública y programas</w:t>
      </w:r>
      <w:r>
        <w:rPr>
          <w:spacing w:val="-14"/>
          <w:sz w:val="20"/>
          <w:szCs w:val="20"/>
        </w:rPr>
        <w:t xml:space="preserve"> </w:t>
      </w:r>
      <w:r>
        <w:rPr>
          <w:sz w:val="20"/>
          <w:szCs w:val="20"/>
        </w:rPr>
        <w:t>sociales.</w:t>
      </w:r>
    </w:p>
    <w:p w:rsidR="00CB2519" w:rsidRDefault="00CB2519" w:rsidP="00CB2519">
      <w:pPr>
        <w:pStyle w:val="Prrafodelista"/>
        <w:numPr>
          <w:ilvl w:val="0"/>
          <w:numId w:val="18"/>
        </w:numPr>
        <w:spacing w:before="240" w:line="360" w:lineRule="auto"/>
        <w:jc w:val="both"/>
        <w:rPr>
          <w:sz w:val="20"/>
          <w:szCs w:val="20"/>
        </w:rPr>
      </w:pPr>
      <w:r>
        <w:rPr>
          <w:sz w:val="20"/>
          <w:szCs w:val="20"/>
        </w:rPr>
        <w:t>Se</w:t>
      </w:r>
      <w:r>
        <w:rPr>
          <w:spacing w:val="-13"/>
          <w:sz w:val="20"/>
          <w:szCs w:val="20"/>
        </w:rPr>
        <w:t xml:space="preserve"> </w:t>
      </w:r>
      <w:r>
        <w:rPr>
          <w:sz w:val="20"/>
          <w:szCs w:val="20"/>
        </w:rPr>
        <w:t>priorizan</w:t>
      </w:r>
      <w:r>
        <w:rPr>
          <w:spacing w:val="-13"/>
          <w:sz w:val="20"/>
          <w:szCs w:val="20"/>
        </w:rPr>
        <w:t xml:space="preserve"> </w:t>
      </w:r>
      <w:r>
        <w:rPr>
          <w:sz w:val="20"/>
          <w:szCs w:val="20"/>
        </w:rPr>
        <w:t>proyectos</w:t>
      </w:r>
      <w:r>
        <w:rPr>
          <w:spacing w:val="-11"/>
          <w:sz w:val="20"/>
          <w:szCs w:val="20"/>
        </w:rPr>
        <w:t xml:space="preserve"> </w:t>
      </w:r>
      <w:r>
        <w:rPr>
          <w:sz w:val="20"/>
          <w:szCs w:val="20"/>
        </w:rPr>
        <w:t>y</w:t>
      </w:r>
      <w:r>
        <w:rPr>
          <w:spacing w:val="-16"/>
          <w:sz w:val="20"/>
          <w:szCs w:val="20"/>
        </w:rPr>
        <w:t xml:space="preserve"> </w:t>
      </w:r>
      <w:r>
        <w:rPr>
          <w:sz w:val="20"/>
          <w:szCs w:val="20"/>
        </w:rPr>
        <w:t>programas</w:t>
      </w:r>
      <w:r>
        <w:rPr>
          <w:spacing w:val="-13"/>
          <w:sz w:val="20"/>
          <w:szCs w:val="20"/>
        </w:rPr>
        <w:t xml:space="preserve"> </w:t>
      </w:r>
      <w:r>
        <w:rPr>
          <w:sz w:val="20"/>
          <w:szCs w:val="20"/>
        </w:rPr>
        <w:t>de</w:t>
      </w:r>
      <w:r>
        <w:rPr>
          <w:spacing w:val="-12"/>
          <w:sz w:val="20"/>
          <w:szCs w:val="20"/>
        </w:rPr>
        <w:t xml:space="preserve"> </w:t>
      </w:r>
      <w:r>
        <w:rPr>
          <w:sz w:val="20"/>
          <w:szCs w:val="20"/>
        </w:rPr>
        <w:t>salud,</w:t>
      </w:r>
      <w:r>
        <w:rPr>
          <w:spacing w:val="-12"/>
          <w:sz w:val="20"/>
          <w:szCs w:val="20"/>
        </w:rPr>
        <w:t xml:space="preserve"> </w:t>
      </w:r>
      <w:r>
        <w:rPr>
          <w:sz w:val="20"/>
          <w:szCs w:val="20"/>
        </w:rPr>
        <w:t>educación</w:t>
      </w:r>
      <w:r>
        <w:rPr>
          <w:spacing w:val="-11"/>
          <w:sz w:val="20"/>
          <w:szCs w:val="20"/>
        </w:rPr>
        <w:t xml:space="preserve"> </w:t>
      </w:r>
      <w:r>
        <w:rPr>
          <w:sz w:val="20"/>
          <w:szCs w:val="20"/>
        </w:rPr>
        <w:t>y</w:t>
      </w:r>
      <w:r>
        <w:rPr>
          <w:spacing w:val="-16"/>
          <w:sz w:val="20"/>
          <w:szCs w:val="20"/>
        </w:rPr>
        <w:t xml:space="preserve"> </w:t>
      </w:r>
      <w:r>
        <w:rPr>
          <w:sz w:val="20"/>
          <w:szCs w:val="20"/>
        </w:rPr>
        <w:t>bienestar</w:t>
      </w:r>
      <w:r>
        <w:rPr>
          <w:spacing w:val="-12"/>
          <w:sz w:val="20"/>
          <w:szCs w:val="20"/>
        </w:rPr>
        <w:t xml:space="preserve"> </w:t>
      </w:r>
      <w:r>
        <w:rPr>
          <w:sz w:val="20"/>
          <w:szCs w:val="20"/>
        </w:rPr>
        <w:t>social,</w:t>
      </w:r>
      <w:r>
        <w:rPr>
          <w:spacing w:val="-12"/>
          <w:sz w:val="20"/>
          <w:szCs w:val="20"/>
        </w:rPr>
        <w:t xml:space="preserve"> </w:t>
      </w:r>
      <w:r>
        <w:rPr>
          <w:sz w:val="20"/>
          <w:szCs w:val="20"/>
        </w:rPr>
        <w:t>desarrollo</w:t>
      </w:r>
      <w:r>
        <w:rPr>
          <w:spacing w:val="-12"/>
          <w:sz w:val="20"/>
          <w:szCs w:val="20"/>
        </w:rPr>
        <w:t xml:space="preserve"> </w:t>
      </w:r>
      <w:r>
        <w:rPr>
          <w:sz w:val="20"/>
          <w:szCs w:val="20"/>
        </w:rPr>
        <w:t>económico,</w:t>
      </w:r>
      <w:r>
        <w:rPr>
          <w:spacing w:val="-12"/>
          <w:sz w:val="20"/>
          <w:szCs w:val="20"/>
        </w:rPr>
        <w:t xml:space="preserve"> </w:t>
      </w:r>
      <w:r>
        <w:rPr>
          <w:sz w:val="20"/>
          <w:szCs w:val="20"/>
        </w:rPr>
        <w:t>apoyo</w:t>
      </w:r>
      <w:r>
        <w:rPr>
          <w:spacing w:val="-12"/>
          <w:sz w:val="20"/>
          <w:szCs w:val="20"/>
        </w:rPr>
        <w:t xml:space="preserve"> </w:t>
      </w:r>
      <w:r>
        <w:rPr>
          <w:sz w:val="20"/>
          <w:szCs w:val="20"/>
        </w:rPr>
        <w:t>a</w:t>
      </w:r>
      <w:r>
        <w:rPr>
          <w:spacing w:val="-12"/>
          <w:sz w:val="20"/>
          <w:szCs w:val="20"/>
        </w:rPr>
        <w:t xml:space="preserve"> </w:t>
      </w:r>
      <w:r>
        <w:rPr>
          <w:sz w:val="20"/>
          <w:szCs w:val="20"/>
        </w:rPr>
        <w:t>jóvenes y mujeres, grupos vulnerables, apoyo al campo e impulso de la infraestructura social y productiva, así como de seguridad pública, sistema penitenciario y procuración de justicia, para mejorar los niveles de bienestar social y propiciar la generación de</w:t>
      </w:r>
      <w:r>
        <w:rPr>
          <w:spacing w:val="-8"/>
          <w:sz w:val="20"/>
          <w:szCs w:val="20"/>
        </w:rPr>
        <w:t xml:space="preserve"> </w:t>
      </w:r>
      <w:r>
        <w:rPr>
          <w:sz w:val="20"/>
          <w:szCs w:val="20"/>
        </w:rPr>
        <w:t xml:space="preserve">empleos </w:t>
      </w:r>
      <w:r w:rsidRPr="00F32B1D">
        <w:rPr>
          <w:sz w:val="20"/>
          <w:szCs w:val="20"/>
        </w:rPr>
        <w:t>Creando una Nueva Historia.</w:t>
      </w:r>
    </w:p>
    <w:p w:rsidR="00CB2519" w:rsidRDefault="00CB2519" w:rsidP="00CB2519">
      <w:pPr>
        <w:pStyle w:val="Prrafodelista"/>
        <w:numPr>
          <w:ilvl w:val="0"/>
          <w:numId w:val="18"/>
        </w:numPr>
        <w:spacing w:before="240" w:line="360" w:lineRule="auto"/>
        <w:jc w:val="both"/>
        <w:rPr>
          <w:sz w:val="20"/>
          <w:szCs w:val="20"/>
        </w:rPr>
      </w:pPr>
      <w:r>
        <w:rPr>
          <w:sz w:val="20"/>
          <w:szCs w:val="20"/>
        </w:rPr>
        <w:t>Garantizar</w:t>
      </w:r>
      <w:r>
        <w:rPr>
          <w:spacing w:val="-2"/>
          <w:sz w:val="20"/>
          <w:szCs w:val="20"/>
        </w:rPr>
        <w:t xml:space="preserve"> </w:t>
      </w:r>
      <w:r>
        <w:rPr>
          <w:sz w:val="20"/>
          <w:szCs w:val="20"/>
        </w:rPr>
        <w:t>y</w:t>
      </w:r>
      <w:r>
        <w:rPr>
          <w:spacing w:val="-8"/>
          <w:sz w:val="20"/>
          <w:szCs w:val="20"/>
        </w:rPr>
        <w:t xml:space="preserve"> </w:t>
      </w:r>
      <w:r>
        <w:rPr>
          <w:sz w:val="20"/>
          <w:szCs w:val="20"/>
        </w:rPr>
        <w:t>priorizar</w:t>
      </w:r>
      <w:r>
        <w:rPr>
          <w:spacing w:val="-4"/>
          <w:sz w:val="20"/>
          <w:szCs w:val="20"/>
        </w:rPr>
        <w:t xml:space="preserve"> </w:t>
      </w:r>
      <w:r>
        <w:rPr>
          <w:sz w:val="20"/>
          <w:szCs w:val="20"/>
        </w:rPr>
        <w:t>la</w:t>
      </w:r>
      <w:r>
        <w:rPr>
          <w:spacing w:val="-7"/>
          <w:sz w:val="20"/>
          <w:szCs w:val="20"/>
        </w:rPr>
        <w:t xml:space="preserve"> </w:t>
      </w:r>
      <w:r>
        <w:rPr>
          <w:sz w:val="20"/>
          <w:szCs w:val="20"/>
        </w:rPr>
        <w:t>asignación</w:t>
      </w:r>
      <w:r>
        <w:rPr>
          <w:spacing w:val="-7"/>
          <w:sz w:val="20"/>
          <w:szCs w:val="20"/>
        </w:rPr>
        <w:t xml:space="preserve"> </w:t>
      </w:r>
      <w:r>
        <w:rPr>
          <w:sz w:val="20"/>
          <w:szCs w:val="20"/>
        </w:rPr>
        <w:t>de</w:t>
      </w:r>
      <w:r>
        <w:rPr>
          <w:spacing w:val="-5"/>
          <w:sz w:val="20"/>
          <w:szCs w:val="20"/>
        </w:rPr>
        <w:t xml:space="preserve"> </w:t>
      </w:r>
      <w:r>
        <w:rPr>
          <w:sz w:val="20"/>
          <w:szCs w:val="20"/>
        </w:rPr>
        <w:t>los</w:t>
      </w:r>
      <w:r>
        <w:rPr>
          <w:spacing w:val="-6"/>
          <w:sz w:val="20"/>
          <w:szCs w:val="20"/>
        </w:rPr>
        <w:t xml:space="preserve"> </w:t>
      </w:r>
      <w:r>
        <w:rPr>
          <w:sz w:val="20"/>
          <w:szCs w:val="20"/>
        </w:rPr>
        <w:t>recursos</w:t>
      </w:r>
      <w:r>
        <w:rPr>
          <w:spacing w:val="-6"/>
          <w:sz w:val="20"/>
          <w:szCs w:val="20"/>
        </w:rPr>
        <w:t xml:space="preserve"> </w:t>
      </w:r>
      <w:r>
        <w:rPr>
          <w:sz w:val="20"/>
          <w:szCs w:val="20"/>
        </w:rPr>
        <w:t>a</w:t>
      </w:r>
      <w:r>
        <w:rPr>
          <w:spacing w:val="-5"/>
          <w:sz w:val="20"/>
          <w:szCs w:val="20"/>
        </w:rPr>
        <w:t xml:space="preserve"> </w:t>
      </w:r>
      <w:r>
        <w:rPr>
          <w:sz w:val="20"/>
          <w:szCs w:val="20"/>
        </w:rPr>
        <w:t>los</w:t>
      </w:r>
      <w:r>
        <w:rPr>
          <w:spacing w:val="-7"/>
          <w:sz w:val="20"/>
          <w:szCs w:val="20"/>
        </w:rPr>
        <w:t xml:space="preserve"> </w:t>
      </w:r>
      <w:r>
        <w:rPr>
          <w:sz w:val="20"/>
          <w:szCs w:val="20"/>
        </w:rPr>
        <w:t>programas,</w:t>
      </w:r>
      <w:r>
        <w:rPr>
          <w:spacing w:val="-5"/>
          <w:sz w:val="20"/>
          <w:szCs w:val="20"/>
        </w:rPr>
        <w:t xml:space="preserve"> </w:t>
      </w:r>
      <w:r>
        <w:rPr>
          <w:sz w:val="20"/>
          <w:szCs w:val="20"/>
        </w:rPr>
        <w:t>obras</w:t>
      </w:r>
      <w:r>
        <w:rPr>
          <w:spacing w:val="-6"/>
          <w:sz w:val="20"/>
          <w:szCs w:val="20"/>
        </w:rPr>
        <w:t xml:space="preserve"> </w:t>
      </w:r>
      <w:r>
        <w:rPr>
          <w:sz w:val="20"/>
          <w:szCs w:val="20"/>
        </w:rPr>
        <w:t>y</w:t>
      </w:r>
      <w:r>
        <w:rPr>
          <w:spacing w:val="-8"/>
          <w:sz w:val="20"/>
          <w:szCs w:val="20"/>
        </w:rPr>
        <w:t xml:space="preserve"> </w:t>
      </w:r>
      <w:r>
        <w:rPr>
          <w:sz w:val="20"/>
          <w:szCs w:val="20"/>
        </w:rPr>
        <w:t>acciones</w:t>
      </w:r>
      <w:r>
        <w:rPr>
          <w:spacing w:val="-6"/>
          <w:sz w:val="20"/>
          <w:szCs w:val="20"/>
        </w:rPr>
        <w:t xml:space="preserve"> </w:t>
      </w:r>
      <w:r>
        <w:rPr>
          <w:sz w:val="20"/>
          <w:szCs w:val="20"/>
        </w:rPr>
        <w:t>de</w:t>
      </w:r>
      <w:r>
        <w:rPr>
          <w:spacing w:val="-5"/>
          <w:sz w:val="20"/>
          <w:szCs w:val="20"/>
        </w:rPr>
        <w:t xml:space="preserve"> </w:t>
      </w:r>
      <w:r>
        <w:rPr>
          <w:sz w:val="20"/>
          <w:szCs w:val="20"/>
        </w:rPr>
        <w:t>alto</w:t>
      </w:r>
      <w:r>
        <w:rPr>
          <w:spacing w:val="-4"/>
          <w:sz w:val="20"/>
          <w:szCs w:val="20"/>
        </w:rPr>
        <w:t xml:space="preserve"> </w:t>
      </w:r>
      <w:r>
        <w:rPr>
          <w:sz w:val="20"/>
          <w:szCs w:val="20"/>
        </w:rPr>
        <w:t>impacto</w:t>
      </w:r>
      <w:r>
        <w:rPr>
          <w:spacing w:val="-2"/>
          <w:sz w:val="20"/>
          <w:szCs w:val="20"/>
        </w:rPr>
        <w:t xml:space="preserve"> </w:t>
      </w:r>
      <w:r>
        <w:rPr>
          <w:sz w:val="20"/>
          <w:szCs w:val="20"/>
        </w:rPr>
        <w:t>y</w:t>
      </w:r>
      <w:r>
        <w:rPr>
          <w:spacing w:val="-8"/>
          <w:sz w:val="20"/>
          <w:szCs w:val="20"/>
        </w:rPr>
        <w:t xml:space="preserve"> </w:t>
      </w:r>
      <w:r>
        <w:rPr>
          <w:sz w:val="20"/>
          <w:szCs w:val="20"/>
        </w:rPr>
        <w:t>beneficio social, que incidan en el desarrollo económico y social, para elevar el nivel de vida de la</w:t>
      </w:r>
      <w:r>
        <w:rPr>
          <w:spacing w:val="-15"/>
          <w:sz w:val="20"/>
          <w:szCs w:val="20"/>
        </w:rPr>
        <w:t xml:space="preserve"> </w:t>
      </w:r>
      <w:r>
        <w:rPr>
          <w:sz w:val="20"/>
          <w:szCs w:val="20"/>
        </w:rPr>
        <w:t xml:space="preserve">población </w:t>
      </w:r>
      <w:r w:rsidRPr="000C12FD">
        <w:rPr>
          <w:sz w:val="20"/>
          <w:szCs w:val="20"/>
        </w:rPr>
        <w:t>tlaxcalteca.</w:t>
      </w:r>
    </w:p>
    <w:p w:rsidR="00CB2519" w:rsidRDefault="00CB2519" w:rsidP="00CB2519">
      <w:pPr>
        <w:pStyle w:val="Prrafodelista"/>
        <w:numPr>
          <w:ilvl w:val="0"/>
          <w:numId w:val="18"/>
        </w:numPr>
        <w:spacing w:before="240" w:line="360" w:lineRule="auto"/>
        <w:jc w:val="both"/>
        <w:rPr>
          <w:sz w:val="20"/>
          <w:szCs w:val="20"/>
        </w:rPr>
      </w:pPr>
      <w:r>
        <w:rPr>
          <w:sz w:val="20"/>
          <w:szCs w:val="20"/>
        </w:rPr>
        <w:t>Dar acceso a la población a sus derechos sociales y reducir la</w:t>
      </w:r>
      <w:r>
        <w:rPr>
          <w:spacing w:val="-18"/>
          <w:sz w:val="20"/>
          <w:szCs w:val="20"/>
        </w:rPr>
        <w:t xml:space="preserve"> </w:t>
      </w:r>
      <w:r>
        <w:rPr>
          <w:sz w:val="20"/>
          <w:szCs w:val="20"/>
        </w:rPr>
        <w:t>pobreza.</w:t>
      </w:r>
    </w:p>
    <w:p w:rsidR="00CB2519" w:rsidRDefault="00CB2519" w:rsidP="00CB2519">
      <w:pPr>
        <w:pStyle w:val="Prrafodelista"/>
        <w:numPr>
          <w:ilvl w:val="0"/>
          <w:numId w:val="18"/>
        </w:numPr>
        <w:spacing w:before="240" w:line="360" w:lineRule="auto"/>
        <w:jc w:val="both"/>
        <w:rPr>
          <w:sz w:val="20"/>
          <w:szCs w:val="20"/>
        </w:rPr>
      </w:pPr>
      <w:r>
        <w:rPr>
          <w:sz w:val="20"/>
          <w:szCs w:val="20"/>
        </w:rPr>
        <w:t>Garantizar un acceso libre y pleno con las mujeres tlaxcaltecas.</w:t>
      </w:r>
    </w:p>
    <w:p w:rsidR="00CB2519" w:rsidRDefault="00CB2519" w:rsidP="00CB2519">
      <w:pPr>
        <w:pStyle w:val="Prrafodelista"/>
        <w:numPr>
          <w:ilvl w:val="0"/>
          <w:numId w:val="18"/>
        </w:numPr>
        <w:spacing w:before="240" w:line="360" w:lineRule="auto"/>
        <w:jc w:val="both"/>
        <w:rPr>
          <w:sz w:val="20"/>
          <w:szCs w:val="20"/>
        </w:rPr>
      </w:pPr>
      <w:r>
        <w:rPr>
          <w:sz w:val="20"/>
          <w:szCs w:val="20"/>
        </w:rPr>
        <w:t xml:space="preserve">Combatir la carencia alimentaria y mejorar el acceso a la salud, seguridad social, vivienda y apoyo al empleo; conforme a los programas de la Sociedad Organizada para el Bienestar, </w:t>
      </w:r>
      <w:r>
        <w:rPr>
          <w:sz w:val="20"/>
          <w:szCs w:val="20"/>
        </w:rPr>
        <w:lastRenderedPageBreak/>
        <w:t>Desarrollo Comunitario y Bienestar de Pueblos Originarios, Bienestar y Desarrollo Integral y Vivienda digna para el Bienestar de la Secretaría de Bienestar.</w:t>
      </w:r>
    </w:p>
    <w:p w:rsidR="00CB2519" w:rsidRDefault="00CB2519" w:rsidP="00CB2519">
      <w:pPr>
        <w:pStyle w:val="Prrafodelista"/>
        <w:numPr>
          <w:ilvl w:val="0"/>
          <w:numId w:val="18"/>
        </w:numPr>
        <w:spacing w:before="240" w:line="360" w:lineRule="auto"/>
        <w:jc w:val="both"/>
        <w:rPr>
          <w:sz w:val="20"/>
          <w:szCs w:val="20"/>
        </w:rPr>
      </w:pPr>
      <w:r>
        <w:rPr>
          <w:sz w:val="20"/>
          <w:szCs w:val="20"/>
        </w:rPr>
        <w:t>Identificar con precisión la población objetivo, privilegiando a los de menos</w:t>
      </w:r>
      <w:r>
        <w:rPr>
          <w:spacing w:val="-27"/>
          <w:sz w:val="20"/>
          <w:szCs w:val="20"/>
        </w:rPr>
        <w:t xml:space="preserve"> </w:t>
      </w:r>
      <w:r>
        <w:rPr>
          <w:sz w:val="20"/>
          <w:szCs w:val="20"/>
        </w:rPr>
        <w:t>ingresos.</w:t>
      </w:r>
    </w:p>
    <w:p w:rsidR="00CB2519" w:rsidRDefault="00CB2519" w:rsidP="00CB2519">
      <w:pPr>
        <w:pStyle w:val="Prrafodelista"/>
        <w:numPr>
          <w:ilvl w:val="0"/>
          <w:numId w:val="18"/>
        </w:numPr>
        <w:spacing w:before="240" w:line="360" w:lineRule="auto"/>
        <w:jc w:val="both"/>
        <w:rPr>
          <w:sz w:val="20"/>
          <w:szCs w:val="20"/>
        </w:rPr>
      </w:pPr>
      <w:r>
        <w:rPr>
          <w:sz w:val="20"/>
          <w:szCs w:val="20"/>
        </w:rPr>
        <w:t>Procurar</w:t>
      </w:r>
      <w:r>
        <w:rPr>
          <w:spacing w:val="-14"/>
          <w:sz w:val="20"/>
          <w:szCs w:val="20"/>
        </w:rPr>
        <w:t xml:space="preserve"> </w:t>
      </w:r>
      <w:r>
        <w:rPr>
          <w:sz w:val="20"/>
          <w:szCs w:val="20"/>
        </w:rPr>
        <w:t>que</w:t>
      </w:r>
      <w:r>
        <w:rPr>
          <w:spacing w:val="-13"/>
          <w:sz w:val="20"/>
          <w:szCs w:val="20"/>
        </w:rPr>
        <w:t xml:space="preserve"> </w:t>
      </w:r>
      <w:r>
        <w:rPr>
          <w:sz w:val="20"/>
          <w:szCs w:val="20"/>
        </w:rPr>
        <w:t>el</w:t>
      </w:r>
      <w:r>
        <w:rPr>
          <w:spacing w:val="-13"/>
          <w:sz w:val="20"/>
          <w:szCs w:val="20"/>
        </w:rPr>
        <w:t xml:space="preserve"> </w:t>
      </w:r>
      <w:r>
        <w:rPr>
          <w:sz w:val="20"/>
          <w:szCs w:val="20"/>
        </w:rPr>
        <w:t>mecanismo</w:t>
      </w:r>
      <w:r>
        <w:rPr>
          <w:spacing w:val="-13"/>
          <w:sz w:val="20"/>
          <w:szCs w:val="20"/>
        </w:rPr>
        <w:t xml:space="preserve"> </w:t>
      </w:r>
      <w:r>
        <w:rPr>
          <w:sz w:val="20"/>
          <w:szCs w:val="20"/>
        </w:rPr>
        <w:t>de</w:t>
      </w:r>
      <w:r>
        <w:rPr>
          <w:spacing w:val="-13"/>
          <w:sz w:val="20"/>
          <w:szCs w:val="20"/>
        </w:rPr>
        <w:t xml:space="preserve"> </w:t>
      </w:r>
      <w:r>
        <w:rPr>
          <w:sz w:val="20"/>
          <w:szCs w:val="20"/>
        </w:rPr>
        <w:t>distribución,</w:t>
      </w:r>
      <w:r>
        <w:rPr>
          <w:spacing w:val="-13"/>
          <w:sz w:val="20"/>
          <w:szCs w:val="20"/>
        </w:rPr>
        <w:t xml:space="preserve"> </w:t>
      </w:r>
      <w:r>
        <w:rPr>
          <w:sz w:val="20"/>
          <w:szCs w:val="20"/>
        </w:rPr>
        <w:t>operación</w:t>
      </w:r>
      <w:r>
        <w:rPr>
          <w:spacing w:val="-12"/>
          <w:sz w:val="20"/>
          <w:szCs w:val="20"/>
        </w:rPr>
        <w:t xml:space="preserve"> </w:t>
      </w:r>
      <w:r>
        <w:rPr>
          <w:sz w:val="20"/>
          <w:szCs w:val="20"/>
        </w:rPr>
        <w:t>y</w:t>
      </w:r>
      <w:r>
        <w:rPr>
          <w:spacing w:val="-16"/>
          <w:sz w:val="20"/>
          <w:szCs w:val="20"/>
        </w:rPr>
        <w:t xml:space="preserve"> </w:t>
      </w:r>
      <w:r>
        <w:rPr>
          <w:sz w:val="20"/>
          <w:szCs w:val="20"/>
        </w:rPr>
        <w:t>administración</w:t>
      </w:r>
      <w:r>
        <w:rPr>
          <w:spacing w:val="-14"/>
          <w:sz w:val="20"/>
          <w:szCs w:val="20"/>
        </w:rPr>
        <w:t xml:space="preserve"> </w:t>
      </w:r>
      <w:r>
        <w:rPr>
          <w:sz w:val="20"/>
          <w:szCs w:val="20"/>
        </w:rPr>
        <w:t>del</w:t>
      </w:r>
      <w:r>
        <w:rPr>
          <w:spacing w:val="-13"/>
          <w:sz w:val="20"/>
          <w:szCs w:val="20"/>
        </w:rPr>
        <w:t xml:space="preserve"> </w:t>
      </w:r>
      <w:r>
        <w:rPr>
          <w:sz w:val="20"/>
          <w:szCs w:val="20"/>
        </w:rPr>
        <w:t>presupuesto</w:t>
      </w:r>
      <w:r>
        <w:rPr>
          <w:spacing w:val="-13"/>
          <w:sz w:val="20"/>
          <w:szCs w:val="20"/>
        </w:rPr>
        <w:t xml:space="preserve"> </w:t>
      </w:r>
      <w:r>
        <w:rPr>
          <w:sz w:val="20"/>
          <w:szCs w:val="20"/>
        </w:rPr>
        <w:t>otorgue</w:t>
      </w:r>
      <w:r>
        <w:rPr>
          <w:spacing w:val="-13"/>
          <w:sz w:val="20"/>
          <w:szCs w:val="20"/>
        </w:rPr>
        <w:t xml:space="preserve"> </w:t>
      </w:r>
      <w:r>
        <w:rPr>
          <w:sz w:val="20"/>
          <w:szCs w:val="20"/>
        </w:rPr>
        <w:t>acceso</w:t>
      </w:r>
      <w:r>
        <w:rPr>
          <w:spacing w:val="-13"/>
          <w:sz w:val="20"/>
          <w:szCs w:val="20"/>
        </w:rPr>
        <w:t xml:space="preserve"> </w:t>
      </w:r>
      <w:r>
        <w:rPr>
          <w:sz w:val="20"/>
          <w:szCs w:val="20"/>
        </w:rPr>
        <w:t>equitativo a todos los grupos sociales, para fomentar la igualdad de</w:t>
      </w:r>
      <w:r>
        <w:rPr>
          <w:spacing w:val="-16"/>
          <w:sz w:val="20"/>
          <w:szCs w:val="20"/>
        </w:rPr>
        <w:t xml:space="preserve"> </w:t>
      </w:r>
      <w:r>
        <w:rPr>
          <w:sz w:val="20"/>
          <w:szCs w:val="20"/>
        </w:rPr>
        <w:t>género.</w:t>
      </w:r>
    </w:p>
    <w:p w:rsidR="00CB2519" w:rsidRDefault="00CB2519" w:rsidP="00CB2519">
      <w:pPr>
        <w:pStyle w:val="Prrafodelista"/>
        <w:numPr>
          <w:ilvl w:val="0"/>
          <w:numId w:val="18"/>
        </w:numPr>
        <w:spacing w:before="240" w:line="360" w:lineRule="auto"/>
        <w:jc w:val="both"/>
        <w:rPr>
          <w:sz w:val="20"/>
          <w:szCs w:val="20"/>
        </w:rPr>
      </w:pPr>
      <w:r>
        <w:rPr>
          <w:sz w:val="20"/>
          <w:szCs w:val="20"/>
        </w:rPr>
        <w:t>Simplificar</w:t>
      </w:r>
      <w:r>
        <w:rPr>
          <w:spacing w:val="-4"/>
          <w:sz w:val="20"/>
          <w:szCs w:val="20"/>
        </w:rPr>
        <w:t xml:space="preserve"> </w:t>
      </w:r>
      <w:r>
        <w:rPr>
          <w:sz w:val="20"/>
          <w:szCs w:val="20"/>
        </w:rPr>
        <w:t>los</w:t>
      </w:r>
      <w:r>
        <w:rPr>
          <w:spacing w:val="-6"/>
          <w:sz w:val="20"/>
          <w:szCs w:val="20"/>
        </w:rPr>
        <w:t xml:space="preserve"> </w:t>
      </w:r>
      <w:r>
        <w:rPr>
          <w:sz w:val="20"/>
          <w:szCs w:val="20"/>
        </w:rPr>
        <w:t>procesos</w:t>
      </w:r>
      <w:r>
        <w:rPr>
          <w:spacing w:val="-6"/>
          <w:sz w:val="20"/>
          <w:szCs w:val="20"/>
        </w:rPr>
        <w:t xml:space="preserve"> </w:t>
      </w:r>
      <w:r>
        <w:rPr>
          <w:sz w:val="20"/>
          <w:szCs w:val="20"/>
        </w:rPr>
        <w:t>y</w:t>
      </w:r>
      <w:r>
        <w:rPr>
          <w:spacing w:val="-9"/>
          <w:sz w:val="20"/>
          <w:szCs w:val="20"/>
        </w:rPr>
        <w:t xml:space="preserve"> </w:t>
      </w:r>
      <w:r>
        <w:rPr>
          <w:sz w:val="20"/>
          <w:szCs w:val="20"/>
        </w:rPr>
        <w:t>eficientar</w:t>
      </w:r>
      <w:r>
        <w:rPr>
          <w:spacing w:val="-5"/>
          <w:sz w:val="20"/>
          <w:szCs w:val="20"/>
        </w:rPr>
        <w:t xml:space="preserve"> </w:t>
      </w:r>
      <w:r>
        <w:rPr>
          <w:sz w:val="20"/>
          <w:szCs w:val="20"/>
        </w:rPr>
        <w:t>la</w:t>
      </w:r>
      <w:r>
        <w:rPr>
          <w:spacing w:val="-5"/>
          <w:sz w:val="20"/>
          <w:szCs w:val="20"/>
        </w:rPr>
        <w:t xml:space="preserve"> </w:t>
      </w:r>
      <w:r>
        <w:rPr>
          <w:sz w:val="20"/>
          <w:szCs w:val="20"/>
        </w:rPr>
        <w:t>prestación</w:t>
      </w:r>
      <w:r>
        <w:rPr>
          <w:spacing w:val="-7"/>
          <w:sz w:val="20"/>
          <w:szCs w:val="20"/>
        </w:rPr>
        <w:t xml:space="preserve"> </w:t>
      </w:r>
      <w:r>
        <w:rPr>
          <w:sz w:val="20"/>
          <w:szCs w:val="20"/>
        </w:rPr>
        <w:t>de</w:t>
      </w:r>
      <w:r>
        <w:rPr>
          <w:spacing w:val="-5"/>
          <w:sz w:val="20"/>
          <w:szCs w:val="20"/>
        </w:rPr>
        <w:t xml:space="preserve"> </w:t>
      </w:r>
      <w:r>
        <w:rPr>
          <w:sz w:val="20"/>
          <w:szCs w:val="20"/>
        </w:rPr>
        <w:t>servicios</w:t>
      </w:r>
      <w:r>
        <w:rPr>
          <w:spacing w:val="-6"/>
          <w:sz w:val="20"/>
          <w:szCs w:val="20"/>
        </w:rPr>
        <w:t xml:space="preserve"> </w:t>
      </w:r>
      <w:r>
        <w:rPr>
          <w:sz w:val="20"/>
          <w:szCs w:val="20"/>
        </w:rPr>
        <w:t>a</w:t>
      </w:r>
      <w:r>
        <w:rPr>
          <w:spacing w:val="-5"/>
          <w:sz w:val="20"/>
          <w:szCs w:val="20"/>
        </w:rPr>
        <w:t xml:space="preserve"> </w:t>
      </w:r>
      <w:r>
        <w:rPr>
          <w:sz w:val="20"/>
          <w:szCs w:val="20"/>
        </w:rPr>
        <w:t>la</w:t>
      </w:r>
      <w:r>
        <w:rPr>
          <w:spacing w:val="-5"/>
          <w:sz w:val="20"/>
          <w:szCs w:val="20"/>
        </w:rPr>
        <w:t xml:space="preserve"> </w:t>
      </w:r>
      <w:r>
        <w:rPr>
          <w:sz w:val="20"/>
          <w:szCs w:val="20"/>
        </w:rPr>
        <w:t>población,</w:t>
      </w:r>
      <w:r>
        <w:rPr>
          <w:spacing w:val="-7"/>
          <w:sz w:val="20"/>
          <w:szCs w:val="20"/>
        </w:rPr>
        <w:t xml:space="preserve"> </w:t>
      </w:r>
      <w:r>
        <w:rPr>
          <w:sz w:val="20"/>
          <w:szCs w:val="20"/>
        </w:rPr>
        <w:t>para</w:t>
      </w:r>
      <w:r>
        <w:rPr>
          <w:spacing w:val="-5"/>
          <w:sz w:val="20"/>
          <w:szCs w:val="20"/>
        </w:rPr>
        <w:t xml:space="preserve"> </w:t>
      </w:r>
      <w:r>
        <w:rPr>
          <w:sz w:val="20"/>
          <w:szCs w:val="20"/>
        </w:rPr>
        <w:t>garantizar</w:t>
      </w:r>
      <w:r>
        <w:rPr>
          <w:spacing w:val="-4"/>
          <w:sz w:val="20"/>
          <w:szCs w:val="20"/>
        </w:rPr>
        <w:t xml:space="preserve"> </w:t>
      </w:r>
      <w:r>
        <w:rPr>
          <w:sz w:val="20"/>
          <w:szCs w:val="20"/>
        </w:rPr>
        <w:t>un</w:t>
      </w:r>
      <w:r>
        <w:rPr>
          <w:spacing w:val="-7"/>
          <w:sz w:val="20"/>
          <w:szCs w:val="20"/>
        </w:rPr>
        <w:t xml:space="preserve"> </w:t>
      </w:r>
      <w:r>
        <w:rPr>
          <w:sz w:val="20"/>
          <w:szCs w:val="20"/>
        </w:rPr>
        <w:t>gobierno</w:t>
      </w:r>
      <w:r>
        <w:rPr>
          <w:spacing w:val="-4"/>
          <w:sz w:val="20"/>
          <w:szCs w:val="20"/>
        </w:rPr>
        <w:t xml:space="preserve"> </w:t>
      </w:r>
      <w:r>
        <w:rPr>
          <w:sz w:val="20"/>
          <w:szCs w:val="20"/>
        </w:rPr>
        <w:t>eficaz, mediante el Sistema Estatal de Gobernanza Digital.</w:t>
      </w:r>
    </w:p>
    <w:p w:rsidR="00CB2519" w:rsidRDefault="00CB2519" w:rsidP="00CB2519">
      <w:pPr>
        <w:pStyle w:val="Prrafodelista"/>
        <w:numPr>
          <w:ilvl w:val="0"/>
          <w:numId w:val="18"/>
        </w:numPr>
        <w:spacing w:before="240" w:line="360" w:lineRule="auto"/>
        <w:jc w:val="both"/>
        <w:rPr>
          <w:sz w:val="20"/>
          <w:szCs w:val="20"/>
        </w:rPr>
      </w:pPr>
      <w:r>
        <w:rPr>
          <w:sz w:val="20"/>
          <w:szCs w:val="20"/>
        </w:rPr>
        <w:t>Concientizar entre los servidores públicos una cultura de austeridad, racionalidad, disciplina, transparencia, honestidad y</w:t>
      </w:r>
      <w:r>
        <w:rPr>
          <w:spacing w:val="-9"/>
          <w:sz w:val="20"/>
          <w:szCs w:val="20"/>
        </w:rPr>
        <w:t xml:space="preserve"> </w:t>
      </w:r>
      <w:r>
        <w:rPr>
          <w:sz w:val="20"/>
          <w:szCs w:val="20"/>
        </w:rPr>
        <w:t>eficacia.</w:t>
      </w:r>
    </w:p>
    <w:p w:rsidR="00CB2519" w:rsidRDefault="00CB2519" w:rsidP="00CB2519">
      <w:pPr>
        <w:pStyle w:val="Prrafodelista"/>
        <w:numPr>
          <w:ilvl w:val="0"/>
          <w:numId w:val="18"/>
        </w:numPr>
        <w:spacing w:before="240" w:line="360" w:lineRule="auto"/>
        <w:jc w:val="both"/>
        <w:rPr>
          <w:sz w:val="20"/>
          <w:szCs w:val="20"/>
        </w:rPr>
      </w:pPr>
      <w:r>
        <w:rPr>
          <w:sz w:val="20"/>
          <w:szCs w:val="20"/>
        </w:rPr>
        <w:t xml:space="preserve">Revisar el resultado de las evaluaciones del Presupuesto </w:t>
      </w:r>
      <w:r w:rsidR="00155FD1">
        <w:rPr>
          <w:sz w:val="20"/>
          <w:szCs w:val="20"/>
        </w:rPr>
        <w:t>b</w:t>
      </w:r>
      <w:r>
        <w:rPr>
          <w:sz w:val="20"/>
          <w:szCs w:val="20"/>
        </w:rPr>
        <w:t>asado en Resultados (PbR) y el Sistema de Evaluación del Desempeño</w:t>
      </w:r>
      <w:r>
        <w:rPr>
          <w:spacing w:val="-6"/>
          <w:sz w:val="20"/>
          <w:szCs w:val="20"/>
        </w:rPr>
        <w:t xml:space="preserve"> </w:t>
      </w:r>
      <w:r>
        <w:rPr>
          <w:sz w:val="20"/>
          <w:szCs w:val="20"/>
        </w:rPr>
        <w:t>(SED), y así aplicar las medidas derivadas de la planeación estratégica y consolidar el PbR - SED.</w:t>
      </w:r>
    </w:p>
    <w:p w:rsidR="00CB2519" w:rsidRDefault="00CB2519" w:rsidP="00CB2519">
      <w:pPr>
        <w:pStyle w:val="Prrafodelista"/>
        <w:numPr>
          <w:ilvl w:val="0"/>
          <w:numId w:val="18"/>
        </w:numPr>
        <w:spacing w:before="240" w:line="360" w:lineRule="auto"/>
        <w:jc w:val="both"/>
        <w:rPr>
          <w:sz w:val="20"/>
          <w:szCs w:val="20"/>
        </w:rPr>
      </w:pPr>
      <w:r>
        <w:rPr>
          <w:sz w:val="20"/>
          <w:szCs w:val="20"/>
        </w:rPr>
        <w:t>Garantizar la transparencia y rendición de cuentas, mediante la entrega y difusión de información, observando los lineamientos y buenas prácticas en la materia, conforme las políticas del Instituto Mexicano para la Competitividad</w:t>
      </w:r>
      <w:r>
        <w:rPr>
          <w:spacing w:val="-9"/>
          <w:sz w:val="20"/>
          <w:szCs w:val="20"/>
        </w:rPr>
        <w:t xml:space="preserve"> </w:t>
      </w:r>
      <w:r>
        <w:rPr>
          <w:sz w:val="20"/>
          <w:szCs w:val="20"/>
        </w:rPr>
        <w:t>(IMCO), mediante la aplicación del marco normativo aplicable.</w:t>
      </w:r>
    </w:p>
    <w:p w:rsidR="00CB2519" w:rsidRDefault="00CB2519" w:rsidP="00CB2519">
      <w:pPr>
        <w:pStyle w:val="Prrafodelista"/>
        <w:numPr>
          <w:ilvl w:val="0"/>
          <w:numId w:val="18"/>
        </w:numPr>
        <w:spacing w:before="240" w:line="360" w:lineRule="auto"/>
        <w:jc w:val="both"/>
        <w:rPr>
          <w:sz w:val="20"/>
          <w:szCs w:val="20"/>
        </w:rPr>
      </w:pPr>
      <w:r>
        <w:rPr>
          <w:sz w:val="20"/>
          <w:szCs w:val="20"/>
        </w:rPr>
        <w:t>Atender las recomendaciones de los órganos fiscalizadores y las reglas emitidas por la Secretaría de Hacienda y Crédito Público</w:t>
      </w:r>
      <w:r>
        <w:rPr>
          <w:spacing w:val="-7"/>
          <w:sz w:val="20"/>
          <w:szCs w:val="20"/>
        </w:rPr>
        <w:t xml:space="preserve"> </w:t>
      </w:r>
      <w:r>
        <w:rPr>
          <w:sz w:val="20"/>
          <w:szCs w:val="20"/>
        </w:rPr>
        <w:t>(SHCP), así como de aquellos entes a los cuales se les debe rendir algún informe.</w:t>
      </w:r>
    </w:p>
    <w:p w:rsidR="00CB2519" w:rsidRDefault="00CB2519" w:rsidP="00CB2519">
      <w:pPr>
        <w:pStyle w:val="Prrafodelista"/>
        <w:numPr>
          <w:ilvl w:val="0"/>
          <w:numId w:val="18"/>
        </w:numPr>
        <w:spacing w:before="240" w:line="360" w:lineRule="auto"/>
        <w:jc w:val="both"/>
        <w:rPr>
          <w:sz w:val="20"/>
          <w:szCs w:val="20"/>
        </w:rPr>
      </w:pPr>
      <w:r>
        <w:rPr>
          <w:sz w:val="20"/>
          <w:szCs w:val="20"/>
        </w:rPr>
        <w:t>Efectuar el registro contable del gasto público, la integración y la consolidación de la cuenta pública, conforme lo dispuesto en la Ley General de Contabilidad Gubernamental y las reglas del Consejo Nacional de Armonización Contable</w:t>
      </w:r>
      <w:r>
        <w:rPr>
          <w:spacing w:val="-11"/>
          <w:sz w:val="20"/>
          <w:szCs w:val="20"/>
        </w:rPr>
        <w:t xml:space="preserve"> </w:t>
      </w:r>
      <w:r>
        <w:rPr>
          <w:sz w:val="20"/>
          <w:szCs w:val="20"/>
        </w:rPr>
        <w:t>(CONAC).</w:t>
      </w:r>
    </w:p>
    <w:p w:rsidR="00CB2519" w:rsidRDefault="00CB2519" w:rsidP="00CB2519">
      <w:pPr>
        <w:pStyle w:val="Prrafodelista"/>
        <w:numPr>
          <w:ilvl w:val="0"/>
          <w:numId w:val="18"/>
        </w:numPr>
        <w:spacing w:before="240" w:line="360" w:lineRule="auto"/>
        <w:jc w:val="both"/>
        <w:rPr>
          <w:sz w:val="20"/>
          <w:szCs w:val="20"/>
        </w:rPr>
      </w:pPr>
      <w:r>
        <w:rPr>
          <w:sz w:val="20"/>
          <w:szCs w:val="20"/>
        </w:rPr>
        <w:t>Mantener un nivel de endeudamiento cero, y no creación de nuevos impuestos, así como una estricta disciplina fiscal, para garantizar finanzas públicas sanas y una hacienda</w:t>
      </w:r>
      <w:r>
        <w:rPr>
          <w:spacing w:val="-21"/>
          <w:sz w:val="20"/>
          <w:szCs w:val="20"/>
        </w:rPr>
        <w:t xml:space="preserve"> </w:t>
      </w:r>
      <w:r>
        <w:rPr>
          <w:sz w:val="20"/>
          <w:szCs w:val="20"/>
        </w:rPr>
        <w:t>equilibrada.</w:t>
      </w:r>
    </w:p>
    <w:p w:rsidR="00CB2519" w:rsidRDefault="00CB2519" w:rsidP="00CB2519">
      <w:pPr>
        <w:pStyle w:val="Prrafodelista"/>
        <w:numPr>
          <w:ilvl w:val="0"/>
          <w:numId w:val="18"/>
        </w:numPr>
        <w:spacing w:before="240" w:line="360" w:lineRule="auto"/>
        <w:jc w:val="both"/>
        <w:rPr>
          <w:sz w:val="20"/>
          <w:szCs w:val="20"/>
        </w:rPr>
      </w:pPr>
      <w:r>
        <w:rPr>
          <w:sz w:val="20"/>
          <w:szCs w:val="20"/>
        </w:rPr>
        <w:lastRenderedPageBreak/>
        <w:t>Incluir recursos estatales específicos para la atención a NNA Albergue DIF para la Niñez Migrante No Acompañada y Migrante Acompañada.</w:t>
      </w:r>
    </w:p>
    <w:p w:rsidR="00CB2519" w:rsidRDefault="00CB2519" w:rsidP="00CB2519">
      <w:pPr>
        <w:pStyle w:val="Prrafodelista"/>
        <w:numPr>
          <w:ilvl w:val="0"/>
          <w:numId w:val="18"/>
        </w:numPr>
        <w:spacing w:before="240" w:line="360" w:lineRule="auto"/>
        <w:jc w:val="both"/>
        <w:rPr>
          <w:sz w:val="20"/>
          <w:szCs w:val="20"/>
        </w:rPr>
      </w:pPr>
      <w:r>
        <w:rPr>
          <w:sz w:val="20"/>
          <w:szCs w:val="20"/>
        </w:rPr>
        <w:t>Incluir</w:t>
      </w:r>
      <w:r>
        <w:rPr>
          <w:spacing w:val="-10"/>
          <w:sz w:val="20"/>
          <w:szCs w:val="20"/>
        </w:rPr>
        <w:t xml:space="preserve"> </w:t>
      </w:r>
      <w:r>
        <w:rPr>
          <w:sz w:val="20"/>
          <w:szCs w:val="20"/>
        </w:rPr>
        <w:t>recursos</w:t>
      </w:r>
      <w:r>
        <w:rPr>
          <w:spacing w:val="-11"/>
          <w:sz w:val="20"/>
          <w:szCs w:val="20"/>
        </w:rPr>
        <w:t xml:space="preserve"> </w:t>
      </w:r>
      <w:r>
        <w:rPr>
          <w:sz w:val="20"/>
          <w:szCs w:val="20"/>
        </w:rPr>
        <w:t>para</w:t>
      </w:r>
      <w:r>
        <w:rPr>
          <w:spacing w:val="-10"/>
          <w:sz w:val="20"/>
          <w:szCs w:val="20"/>
        </w:rPr>
        <w:t xml:space="preserve"> </w:t>
      </w:r>
      <w:r>
        <w:rPr>
          <w:sz w:val="20"/>
          <w:szCs w:val="20"/>
        </w:rPr>
        <w:t>impulsar</w:t>
      </w:r>
      <w:r>
        <w:rPr>
          <w:spacing w:val="-7"/>
          <w:sz w:val="20"/>
          <w:szCs w:val="20"/>
        </w:rPr>
        <w:t xml:space="preserve"> </w:t>
      </w:r>
      <w:r>
        <w:rPr>
          <w:sz w:val="20"/>
          <w:szCs w:val="20"/>
        </w:rPr>
        <w:t>la</w:t>
      </w:r>
      <w:r>
        <w:rPr>
          <w:spacing w:val="-10"/>
          <w:sz w:val="20"/>
          <w:szCs w:val="20"/>
        </w:rPr>
        <w:t xml:space="preserve"> </w:t>
      </w:r>
      <w:r>
        <w:rPr>
          <w:sz w:val="20"/>
          <w:szCs w:val="20"/>
        </w:rPr>
        <w:t>igualdad</w:t>
      </w:r>
      <w:r>
        <w:rPr>
          <w:spacing w:val="-9"/>
          <w:sz w:val="20"/>
          <w:szCs w:val="20"/>
        </w:rPr>
        <w:t xml:space="preserve"> </w:t>
      </w:r>
      <w:r>
        <w:rPr>
          <w:sz w:val="20"/>
          <w:szCs w:val="20"/>
        </w:rPr>
        <w:t>de</w:t>
      </w:r>
      <w:r>
        <w:rPr>
          <w:spacing w:val="-10"/>
          <w:sz w:val="20"/>
          <w:szCs w:val="20"/>
        </w:rPr>
        <w:t xml:space="preserve"> </w:t>
      </w:r>
      <w:r>
        <w:rPr>
          <w:sz w:val="20"/>
          <w:szCs w:val="20"/>
        </w:rPr>
        <w:t>oportunidades</w:t>
      </w:r>
      <w:r>
        <w:rPr>
          <w:spacing w:val="-11"/>
          <w:sz w:val="20"/>
          <w:szCs w:val="20"/>
        </w:rPr>
        <w:t xml:space="preserve"> </w:t>
      </w:r>
      <w:r>
        <w:rPr>
          <w:sz w:val="20"/>
          <w:szCs w:val="20"/>
        </w:rPr>
        <w:t>entre</w:t>
      </w:r>
      <w:r>
        <w:rPr>
          <w:spacing w:val="-7"/>
          <w:sz w:val="20"/>
          <w:szCs w:val="20"/>
        </w:rPr>
        <w:t xml:space="preserve"> </w:t>
      </w:r>
      <w:r>
        <w:rPr>
          <w:sz w:val="20"/>
          <w:szCs w:val="20"/>
        </w:rPr>
        <w:t>mujeres</w:t>
      </w:r>
      <w:r>
        <w:rPr>
          <w:spacing w:val="-8"/>
          <w:sz w:val="20"/>
          <w:szCs w:val="20"/>
        </w:rPr>
        <w:t xml:space="preserve"> </w:t>
      </w:r>
      <w:r>
        <w:rPr>
          <w:sz w:val="20"/>
          <w:szCs w:val="20"/>
        </w:rPr>
        <w:t>y</w:t>
      </w:r>
      <w:r>
        <w:rPr>
          <w:spacing w:val="-13"/>
          <w:sz w:val="20"/>
          <w:szCs w:val="20"/>
        </w:rPr>
        <w:t xml:space="preserve"> </w:t>
      </w:r>
      <w:r>
        <w:rPr>
          <w:sz w:val="20"/>
          <w:szCs w:val="20"/>
        </w:rPr>
        <w:t>hombres,</w:t>
      </w:r>
      <w:r>
        <w:rPr>
          <w:spacing w:val="-10"/>
          <w:sz w:val="20"/>
          <w:szCs w:val="20"/>
        </w:rPr>
        <w:t xml:space="preserve"> </w:t>
      </w:r>
      <w:r>
        <w:rPr>
          <w:sz w:val="20"/>
          <w:szCs w:val="20"/>
        </w:rPr>
        <w:t>a</w:t>
      </w:r>
      <w:r>
        <w:rPr>
          <w:spacing w:val="-10"/>
          <w:sz w:val="20"/>
          <w:szCs w:val="20"/>
        </w:rPr>
        <w:t xml:space="preserve"> </w:t>
      </w:r>
      <w:r>
        <w:rPr>
          <w:sz w:val="20"/>
          <w:szCs w:val="20"/>
        </w:rPr>
        <w:t>través</w:t>
      </w:r>
      <w:r>
        <w:rPr>
          <w:spacing w:val="-11"/>
          <w:sz w:val="20"/>
          <w:szCs w:val="20"/>
        </w:rPr>
        <w:t xml:space="preserve"> </w:t>
      </w:r>
      <w:r>
        <w:rPr>
          <w:sz w:val="20"/>
          <w:szCs w:val="20"/>
        </w:rPr>
        <w:t>de</w:t>
      </w:r>
      <w:r>
        <w:rPr>
          <w:spacing w:val="-10"/>
          <w:sz w:val="20"/>
          <w:szCs w:val="20"/>
        </w:rPr>
        <w:t xml:space="preserve"> </w:t>
      </w:r>
      <w:r>
        <w:rPr>
          <w:sz w:val="20"/>
          <w:szCs w:val="20"/>
        </w:rPr>
        <w:t>la</w:t>
      </w:r>
      <w:r>
        <w:rPr>
          <w:spacing w:val="-10"/>
          <w:sz w:val="20"/>
          <w:szCs w:val="20"/>
        </w:rPr>
        <w:t xml:space="preserve"> </w:t>
      </w:r>
      <w:r>
        <w:rPr>
          <w:sz w:val="20"/>
          <w:szCs w:val="20"/>
        </w:rPr>
        <w:t>incorporación de</w:t>
      </w:r>
      <w:r>
        <w:rPr>
          <w:spacing w:val="-6"/>
          <w:sz w:val="20"/>
          <w:szCs w:val="20"/>
        </w:rPr>
        <w:t xml:space="preserve"> </w:t>
      </w:r>
      <w:r>
        <w:rPr>
          <w:sz w:val="20"/>
          <w:szCs w:val="20"/>
        </w:rPr>
        <w:t>la</w:t>
      </w:r>
      <w:r>
        <w:rPr>
          <w:spacing w:val="-7"/>
          <w:sz w:val="20"/>
          <w:szCs w:val="20"/>
        </w:rPr>
        <w:t xml:space="preserve"> </w:t>
      </w:r>
      <w:r>
        <w:rPr>
          <w:sz w:val="20"/>
          <w:szCs w:val="20"/>
        </w:rPr>
        <w:t>perspectiva</w:t>
      </w:r>
      <w:r>
        <w:rPr>
          <w:spacing w:val="-6"/>
          <w:sz w:val="20"/>
          <w:szCs w:val="20"/>
        </w:rPr>
        <w:t xml:space="preserve"> </w:t>
      </w:r>
      <w:r>
        <w:rPr>
          <w:sz w:val="20"/>
          <w:szCs w:val="20"/>
        </w:rPr>
        <w:t>de</w:t>
      </w:r>
      <w:r>
        <w:rPr>
          <w:spacing w:val="-4"/>
          <w:sz w:val="20"/>
          <w:szCs w:val="20"/>
        </w:rPr>
        <w:t xml:space="preserve"> </w:t>
      </w:r>
      <w:r>
        <w:rPr>
          <w:sz w:val="20"/>
          <w:szCs w:val="20"/>
        </w:rPr>
        <w:t>género</w:t>
      </w:r>
      <w:r>
        <w:rPr>
          <w:spacing w:val="-6"/>
          <w:sz w:val="20"/>
          <w:szCs w:val="20"/>
        </w:rPr>
        <w:t xml:space="preserve"> </w:t>
      </w:r>
      <w:r>
        <w:rPr>
          <w:sz w:val="20"/>
          <w:szCs w:val="20"/>
        </w:rPr>
        <w:t>en</w:t>
      </w:r>
      <w:r>
        <w:rPr>
          <w:spacing w:val="-5"/>
          <w:sz w:val="20"/>
          <w:szCs w:val="20"/>
        </w:rPr>
        <w:t xml:space="preserve"> </w:t>
      </w:r>
      <w:r>
        <w:rPr>
          <w:sz w:val="20"/>
          <w:szCs w:val="20"/>
        </w:rPr>
        <w:t>el</w:t>
      </w:r>
      <w:r>
        <w:rPr>
          <w:spacing w:val="-7"/>
          <w:sz w:val="20"/>
          <w:szCs w:val="20"/>
        </w:rPr>
        <w:t xml:space="preserve"> </w:t>
      </w:r>
      <w:r>
        <w:rPr>
          <w:sz w:val="20"/>
          <w:szCs w:val="20"/>
        </w:rPr>
        <w:t>diseño,</w:t>
      </w:r>
      <w:r>
        <w:rPr>
          <w:spacing w:val="-6"/>
          <w:sz w:val="20"/>
          <w:szCs w:val="20"/>
        </w:rPr>
        <w:t xml:space="preserve"> </w:t>
      </w:r>
      <w:r>
        <w:rPr>
          <w:sz w:val="20"/>
          <w:szCs w:val="20"/>
        </w:rPr>
        <w:t>elaboración</w:t>
      </w:r>
      <w:r>
        <w:rPr>
          <w:spacing w:val="-6"/>
          <w:sz w:val="20"/>
          <w:szCs w:val="20"/>
        </w:rPr>
        <w:t xml:space="preserve"> </w:t>
      </w:r>
      <w:r>
        <w:rPr>
          <w:sz w:val="20"/>
          <w:szCs w:val="20"/>
        </w:rPr>
        <w:t>y</w:t>
      </w:r>
      <w:r>
        <w:rPr>
          <w:spacing w:val="-8"/>
          <w:sz w:val="20"/>
          <w:szCs w:val="20"/>
        </w:rPr>
        <w:t xml:space="preserve"> </w:t>
      </w:r>
      <w:r>
        <w:rPr>
          <w:sz w:val="20"/>
          <w:szCs w:val="20"/>
        </w:rPr>
        <w:t>aplicación</w:t>
      </w:r>
      <w:r>
        <w:rPr>
          <w:spacing w:val="-8"/>
          <w:sz w:val="20"/>
          <w:szCs w:val="20"/>
        </w:rPr>
        <w:t xml:space="preserve"> </w:t>
      </w:r>
      <w:r>
        <w:rPr>
          <w:sz w:val="20"/>
          <w:szCs w:val="20"/>
        </w:rPr>
        <w:t>de</w:t>
      </w:r>
      <w:r>
        <w:rPr>
          <w:spacing w:val="-6"/>
          <w:sz w:val="20"/>
          <w:szCs w:val="20"/>
        </w:rPr>
        <w:t xml:space="preserve"> </w:t>
      </w:r>
      <w:r>
        <w:rPr>
          <w:sz w:val="20"/>
          <w:szCs w:val="20"/>
        </w:rPr>
        <w:t>los</w:t>
      </w:r>
      <w:r>
        <w:rPr>
          <w:spacing w:val="-7"/>
          <w:sz w:val="20"/>
          <w:szCs w:val="20"/>
        </w:rPr>
        <w:t xml:space="preserve"> </w:t>
      </w:r>
      <w:r>
        <w:rPr>
          <w:sz w:val="20"/>
          <w:szCs w:val="20"/>
        </w:rPr>
        <w:t>programas</w:t>
      </w:r>
      <w:r>
        <w:rPr>
          <w:spacing w:val="-7"/>
          <w:sz w:val="20"/>
          <w:szCs w:val="20"/>
        </w:rPr>
        <w:t xml:space="preserve"> </w:t>
      </w:r>
      <w:r>
        <w:rPr>
          <w:sz w:val="20"/>
          <w:szCs w:val="20"/>
        </w:rPr>
        <w:t>de</w:t>
      </w:r>
      <w:r>
        <w:rPr>
          <w:spacing w:val="-4"/>
          <w:sz w:val="20"/>
          <w:szCs w:val="20"/>
        </w:rPr>
        <w:t xml:space="preserve"> </w:t>
      </w:r>
      <w:r>
        <w:rPr>
          <w:sz w:val="20"/>
          <w:szCs w:val="20"/>
        </w:rPr>
        <w:t>la</w:t>
      </w:r>
      <w:r>
        <w:rPr>
          <w:spacing w:val="-4"/>
          <w:sz w:val="20"/>
          <w:szCs w:val="20"/>
        </w:rPr>
        <w:t xml:space="preserve"> </w:t>
      </w:r>
      <w:r>
        <w:rPr>
          <w:sz w:val="20"/>
          <w:szCs w:val="20"/>
        </w:rPr>
        <w:t>Administración</w:t>
      </w:r>
      <w:r>
        <w:rPr>
          <w:spacing w:val="-6"/>
          <w:sz w:val="20"/>
          <w:szCs w:val="20"/>
        </w:rPr>
        <w:t xml:space="preserve"> </w:t>
      </w:r>
      <w:r>
        <w:rPr>
          <w:sz w:val="20"/>
          <w:szCs w:val="20"/>
        </w:rPr>
        <w:t>Pública Estatal.</w:t>
      </w:r>
    </w:p>
    <w:p w:rsidR="00CB2519" w:rsidRDefault="00CB2519" w:rsidP="00CB2519">
      <w:pPr>
        <w:pStyle w:val="Prrafodelista"/>
        <w:numPr>
          <w:ilvl w:val="0"/>
          <w:numId w:val="18"/>
        </w:numPr>
        <w:spacing w:before="240" w:line="360" w:lineRule="auto"/>
        <w:jc w:val="both"/>
        <w:rPr>
          <w:sz w:val="20"/>
          <w:szCs w:val="20"/>
        </w:rPr>
      </w:pPr>
      <w:r w:rsidRPr="00DE3488">
        <w:rPr>
          <w:sz w:val="20"/>
          <w:szCs w:val="20"/>
        </w:rPr>
        <w:t>Incluir recursos para la atención en el cumplimiento de las recomendaciones de la Alerta de Violencia de Género</w:t>
      </w:r>
      <w:r>
        <w:rPr>
          <w:sz w:val="20"/>
          <w:szCs w:val="20"/>
        </w:rPr>
        <w:t>, y</w:t>
      </w:r>
    </w:p>
    <w:p w:rsidR="00CB2519" w:rsidRDefault="00CB2519" w:rsidP="00CB2519">
      <w:pPr>
        <w:pStyle w:val="Prrafodelista"/>
        <w:numPr>
          <w:ilvl w:val="0"/>
          <w:numId w:val="18"/>
        </w:numPr>
        <w:spacing w:before="240" w:line="360" w:lineRule="auto"/>
        <w:jc w:val="both"/>
        <w:rPr>
          <w:sz w:val="20"/>
          <w:szCs w:val="20"/>
        </w:rPr>
      </w:pPr>
      <w:r w:rsidRPr="00F32B1D">
        <w:rPr>
          <w:sz w:val="20"/>
          <w:szCs w:val="20"/>
        </w:rPr>
        <w:t>Incluir recursos para la  creación de la nueva área de laboratorio de obra pública, el cual contemplan operar  para el 2024 a cargo del Órgano de Fiscalización Superior</w:t>
      </w:r>
      <w:r>
        <w:rPr>
          <w:sz w:val="20"/>
          <w:szCs w:val="20"/>
        </w:rPr>
        <w:t>.</w:t>
      </w:r>
    </w:p>
    <w:p w:rsidR="00CB2519" w:rsidRPr="00F32B1D" w:rsidRDefault="00CB2519" w:rsidP="00CB2519">
      <w:pPr>
        <w:spacing w:before="240" w:line="360" w:lineRule="auto"/>
        <w:jc w:val="both"/>
        <w:rPr>
          <w:sz w:val="20"/>
          <w:szCs w:val="20"/>
        </w:rPr>
      </w:pPr>
    </w:p>
    <w:p w:rsidR="00CB2519" w:rsidRDefault="00CB2519" w:rsidP="00CB2519">
      <w:pPr>
        <w:pStyle w:val="Prrafodelista"/>
        <w:numPr>
          <w:ilvl w:val="0"/>
          <w:numId w:val="14"/>
        </w:numPr>
        <w:spacing w:line="360" w:lineRule="auto"/>
        <w:jc w:val="both"/>
        <w:rPr>
          <w:b/>
          <w:sz w:val="20"/>
          <w:szCs w:val="20"/>
        </w:rPr>
      </w:pPr>
      <w:r>
        <w:rPr>
          <w:b/>
          <w:sz w:val="20"/>
          <w:szCs w:val="20"/>
        </w:rPr>
        <w:t>PROYECTO DE DECRETO DE PRESUPUESTO DE EGRESOS DEL ESTADO DE TLAXCALA PARA EL EJERCICIO FISCAL 2024</w:t>
      </w:r>
    </w:p>
    <w:p w:rsidR="00CB2519" w:rsidRDefault="00CB2519" w:rsidP="00CB2519">
      <w:pPr>
        <w:spacing w:line="360" w:lineRule="auto"/>
        <w:jc w:val="both"/>
        <w:rPr>
          <w:b/>
          <w:sz w:val="20"/>
          <w:szCs w:val="20"/>
        </w:rPr>
      </w:pPr>
    </w:p>
    <w:p w:rsidR="00CB2519" w:rsidRDefault="00CB2519" w:rsidP="00CB2519">
      <w:pPr>
        <w:spacing w:line="360" w:lineRule="auto"/>
        <w:jc w:val="both"/>
        <w:rPr>
          <w:sz w:val="20"/>
          <w:szCs w:val="20"/>
        </w:rPr>
      </w:pPr>
      <w:r>
        <w:rPr>
          <w:sz w:val="20"/>
          <w:szCs w:val="20"/>
        </w:rPr>
        <w:t>Se propone a esta Legislatura un Proyecto de Decreto de Presupuesto de Egresos del Estado de Tlaxcala para el Ejercicio Fiscal 2024, por un monto de $27,644,830,450.00, que serán destinados para atender las funciones de los Poderes Legislativo, Judicial y Ejecutivo, así como para los Organismos Públicos Descentralizados, Entes Autónomos y Municipios, con el propósito de que se cumpla con las demandas de la población y garantice la viabilidad, equilibrio y sustentabilidad financiera de la hacienda pública, conforme lo siguiente:</w:t>
      </w:r>
    </w:p>
    <w:p w:rsidR="00CB2519" w:rsidRDefault="00CB2519" w:rsidP="00CB2519">
      <w:pPr>
        <w:spacing w:line="360" w:lineRule="auto"/>
        <w:jc w:val="both"/>
        <w:rPr>
          <w:sz w:val="20"/>
          <w:szCs w:val="20"/>
        </w:rPr>
      </w:pPr>
    </w:p>
    <w:p w:rsidR="00CB2519" w:rsidRDefault="00CB2519" w:rsidP="00CB2519">
      <w:pPr>
        <w:pStyle w:val="Prrafodelista"/>
        <w:numPr>
          <w:ilvl w:val="0"/>
          <w:numId w:val="19"/>
        </w:numPr>
        <w:spacing w:line="360" w:lineRule="auto"/>
        <w:jc w:val="both"/>
        <w:rPr>
          <w:sz w:val="20"/>
          <w:szCs w:val="20"/>
        </w:rPr>
      </w:pPr>
      <w:r>
        <w:rPr>
          <w:sz w:val="20"/>
          <w:szCs w:val="20"/>
        </w:rPr>
        <w:t>El presupuesto global estatal para el Ejercicio Fiscal 2024, integrado por participaciones federales, incentivos derivados de la colaboración fiscal e ingresos propios, estima un monto de $13,738,186,103.00</w:t>
      </w:r>
      <w:r>
        <w:rPr>
          <w:color w:val="000000" w:themeColor="text1"/>
          <w:sz w:val="20"/>
          <w:szCs w:val="20"/>
        </w:rPr>
        <w:t xml:space="preserve">; </w:t>
      </w:r>
    </w:p>
    <w:p w:rsidR="00CB2519" w:rsidRDefault="00CB2519" w:rsidP="00CB2519">
      <w:pPr>
        <w:spacing w:line="360" w:lineRule="auto"/>
        <w:jc w:val="both"/>
        <w:rPr>
          <w:sz w:val="20"/>
          <w:szCs w:val="20"/>
        </w:rPr>
      </w:pPr>
    </w:p>
    <w:p w:rsidR="00CB2519" w:rsidRDefault="00CB2519" w:rsidP="00CB2519">
      <w:pPr>
        <w:pStyle w:val="Prrafodelista"/>
        <w:numPr>
          <w:ilvl w:val="0"/>
          <w:numId w:val="19"/>
        </w:numPr>
        <w:spacing w:line="360" w:lineRule="auto"/>
        <w:jc w:val="both"/>
        <w:rPr>
          <w:sz w:val="20"/>
          <w:szCs w:val="20"/>
        </w:rPr>
      </w:pPr>
      <w:r>
        <w:rPr>
          <w:sz w:val="20"/>
          <w:szCs w:val="20"/>
        </w:rPr>
        <w:t xml:space="preserve">Las Aportaciones Federales, del Ramo 33, previstas en el Proyecto de Decreto de Presupuesto de Egresos del Estado de Tlaxcala para el Ejercicio Fiscal 2024, prevén un monto de </w:t>
      </w:r>
      <w:r>
        <w:rPr>
          <w:color w:val="000000" w:themeColor="text1"/>
          <w:sz w:val="20"/>
          <w:szCs w:val="20"/>
        </w:rPr>
        <w:t>$13,906,644,347.00</w:t>
      </w:r>
      <w:r>
        <w:rPr>
          <w:sz w:val="20"/>
          <w:szCs w:val="20"/>
        </w:rPr>
        <w:t xml:space="preserve">, ajustándose en los montos estimados en el Presupuesto de Egresos de la Federación para el Ejercicio Fiscal 2024, destinados </w:t>
      </w:r>
      <w:r>
        <w:rPr>
          <w:sz w:val="20"/>
          <w:szCs w:val="20"/>
        </w:rPr>
        <w:lastRenderedPageBreak/>
        <w:t>fundamentalmente a programas de</w:t>
      </w:r>
      <w:r>
        <w:rPr>
          <w:color w:val="FF0000"/>
          <w:sz w:val="20"/>
          <w:szCs w:val="20"/>
        </w:rPr>
        <w:t xml:space="preserve"> </w:t>
      </w:r>
      <w:r>
        <w:rPr>
          <w:sz w:val="20"/>
          <w:szCs w:val="20"/>
        </w:rPr>
        <w:t>educación, salud, seguridad, infraestructura social y fondos municipales.</w:t>
      </w:r>
    </w:p>
    <w:p w:rsidR="00CB2519" w:rsidRDefault="00CB2519" w:rsidP="00CB2519">
      <w:pPr>
        <w:spacing w:line="360" w:lineRule="auto"/>
        <w:jc w:val="both"/>
        <w:rPr>
          <w:sz w:val="20"/>
          <w:szCs w:val="20"/>
        </w:rPr>
      </w:pPr>
    </w:p>
    <w:p w:rsidR="00CB2519" w:rsidRDefault="00CB2519" w:rsidP="00CB2519">
      <w:pPr>
        <w:spacing w:line="360" w:lineRule="auto"/>
        <w:jc w:val="center"/>
        <w:rPr>
          <w:b/>
          <w:sz w:val="20"/>
          <w:szCs w:val="20"/>
        </w:rPr>
      </w:pPr>
      <w:r>
        <w:rPr>
          <w:b/>
          <w:sz w:val="20"/>
          <w:szCs w:val="20"/>
        </w:rPr>
        <w:t>PRESUPUESTO POR FUENTE DE FINANCIAMIENTO</w:t>
      </w:r>
    </w:p>
    <w:p w:rsidR="00CB2519" w:rsidRDefault="00CB2519" w:rsidP="00CB2519">
      <w:pPr>
        <w:spacing w:line="360" w:lineRule="auto"/>
        <w:jc w:val="both"/>
        <w:rPr>
          <w:sz w:val="20"/>
          <w:szCs w:val="20"/>
        </w:rPr>
      </w:pPr>
    </w:p>
    <w:p w:rsidR="00CB2519" w:rsidRDefault="00CB2519" w:rsidP="00CB2519">
      <w:pPr>
        <w:spacing w:line="360" w:lineRule="auto"/>
        <w:jc w:val="both"/>
        <w:rPr>
          <w:sz w:val="20"/>
          <w:szCs w:val="20"/>
        </w:rPr>
      </w:pPr>
      <w:r>
        <w:rPr>
          <w:sz w:val="20"/>
          <w:szCs w:val="20"/>
        </w:rPr>
        <w:t xml:space="preserve">La clasificación por fuentes de financiamiento consiste en presentar los gastos públicos según los agregados genéricos de los recursos empleados para su financiamiento. </w:t>
      </w:r>
    </w:p>
    <w:p w:rsidR="00CB2519" w:rsidRDefault="00CB2519" w:rsidP="00CB2519">
      <w:pPr>
        <w:spacing w:line="360" w:lineRule="auto"/>
        <w:jc w:val="both"/>
        <w:rPr>
          <w:sz w:val="20"/>
          <w:szCs w:val="20"/>
        </w:rPr>
      </w:pPr>
    </w:p>
    <w:p w:rsidR="00CB2519" w:rsidRDefault="00CB2519" w:rsidP="00CB2519">
      <w:pPr>
        <w:spacing w:line="360" w:lineRule="auto"/>
        <w:jc w:val="both"/>
        <w:rPr>
          <w:sz w:val="20"/>
          <w:szCs w:val="20"/>
        </w:rPr>
      </w:pPr>
      <w:r>
        <w:rPr>
          <w:sz w:val="20"/>
          <w:szCs w:val="20"/>
        </w:rPr>
        <w:t xml:space="preserve">Esta clasificación permite identificar las fuentes u orígenes de los ingresos que financian los egresos y precisar la orientación específica de cada fuente a efecto de controlar su aplicación. </w:t>
      </w:r>
    </w:p>
    <w:p w:rsidR="00CB2519" w:rsidRDefault="00CB2519" w:rsidP="00CB2519">
      <w:pPr>
        <w:spacing w:line="360" w:lineRule="auto"/>
        <w:jc w:val="both"/>
        <w:rPr>
          <w:sz w:val="20"/>
          <w:szCs w:val="20"/>
        </w:rPr>
      </w:pPr>
    </w:p>
    <w:p w:rsidR="00CB2519" w:rsidRDefault="00CB2519" w:rsidP="00CB2519">
      <w:pPr>
        <w:spacing w:line="360" w:lineRule="auto"/>
        <w:jc w:val="both"/>
        <w:rPr>
          <w:sz w:val="20"/>
          <w:szCs w:val="20"/>
        </w:rPr>
      </w:pPr>
      <w:r>
        <w:rPr>
          <w:sz w:val="20"/>
          <w:szCs w:val="20"/>
        </w:rPr>
        <w:t>A continuación, se presenta la información correspondiente a esta Clasificación que prevé el Estado para el Ejercicio Fiscal 2024:</w:t>
      </w:r>
    </w:p>
    <w:p w:rsidR="00CB2519" w:rsidRDefault="00CB2519" w:rsidP="00CB2519">
      <w:pPr>
        <w:spacing w:line="360" w:lineRule="auto"/>
        <w:jc w:val="both"/>
        <w:rPr>
          <w:sz w:val="20"/>
          <w:szCs w:val="20"/>
        </w:rPr>
      </w:pPr>
    </w:p>
    <w:tbl>
      <w:tblPr>
        <w:tblW w:w="4957"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3120"/>
        <w:gridCol w:w="1837"/>
      </w:tblGrid>
      <w:tr w:rsidR="00CB2519" w:rsidTr="00277C86">
        <w:trPr>
          <w:trHeight w:val="300"/>
          <w:tblHeader/>
          <w:jc w:val="center"/>
        </w:trPr>
        <w:tc>
          <w:tcPr>
            <w:tcW w:w="31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center"/>
            <w:hideMark/>
          </w:tcPr>
          <w:p w:rsidR="00CB2519" w:rsidRDefault="00CB2519" w:rsidP="00277C86">
            <w:pPr>
              <w:spacing w:line="360" w:lineRule="auto"/>
              <w:jc w:val="center"/>
              <w:rPr>
                <w:b/>
                <w:bCs/>
                <w:color w:val="000000"/>
                <w:sz w:val="20"/>
                <w:szCs w:val="20"/>
                <w:lang w:val="es-MX" w:eastAsia="es-MX"/>
              </w:rPr>
            </w:pPr>
            <w:r>
              <w:rPr>
                <w:b/>
                <w:bCs/>
                <w:color w:val="000000"/>
                <w:sz w:val="20"/>
                <w:szCs w:val="20"/>
                <w:lang w:val="es-MX" w:eastAsia="es-MX"/>
              </w:rPr>
              <w:t>FUENTE DE FINANCIAMIENTO</w:t>
            </w:r>
          </w:p>
        </w:tc>
        <w:tc>
          <w:tcPr>
            <w:tcW w:w="183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center"/>
            <w:hideMark/>
          </w:tcPr>
          <w:p w:rsidR="00CB2519" w:rsidRDefault="00CB2519" w:rsidP="00277C86">
            <w:pPr>
              <w:spacing w:line="360" w:lineRule="auto"/>
              <w:jc w:val="center"/>
              <w:rPr>
                <w:b/>
                <w:bCs/>
                <w:color w:val="000000"/>
                <w:sz w:val="20"/>
                <w:szCs w:val="20"/>
                <w:lang w:val="es-MX" w:eastAsia="es-MX"/>
              </w:rPr>
            </w:pPr>
            <w:r>
              <w:rPr>
                <w:b/>
                <w:bCs/>
                <w:color w:val="000000"/>
                <w:sz w:val="20"/>
                <w:szCs w:val="20"/>
                <w:lang w:val="es-MX" w:eastAsia="es-MX"/>
              </w:rPr>
              <w:t xml:space="preserve">MONTO </w:t>
            </w:r>
          </w:p>
          <w:p w:rsidR="00CB2519" w:rsidRDefault="00CB2519" w:rsidP="00277C86">
            <w:pPr>
              <w:spacing w:line="360" w:lineRule="auto"/>
              <w:jc w:val="center"/>
              <w:rPr>
                <w:b/>
                <w:bCs/>
                <w:color w:val="000000"/>
                <w:sz w:val="20"/>
                <w:szCs w:val="20"/>
                <w:lang w:val="es-MX" w:eastAsia="es-MX"/>
              </w:rPr>
            </w:pPr>
            <w:r>
              <w:rPr>
                <w:b/>
                <w:bCs/>
                <w:color w:val="000000"/>
                <w:sz w:val="20"/>
                <w:szCs w:val="20"/>
                <w:lang w:val="es-MX" w:eastAsia="es-MX"/>
              </w:rPr>
              <w:t>($)</w:t>
            </w:r>
          </w:p>
        </w:tc>
      </w:tr>
      <w:tr w:rsidR="00CB2519" w:rsidTr="00277C86">
        <w:trPr>
          <w:trHeight w:val="300"/>
          <w:jc w:val="center"/>
        </w:trPr>
        <w:tc>
          <w:tcPr>
            <w:tcW w:w="31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bottom"/>
            <w:hideMark/>
          </w:tcPr>
          <w:p w:rsidR="00CB2519" w:rsidRDefault="00CB2519" w:rsidP="00277C86">
            <w:pPr>
              <w:spacing w:line="360" w:lineRule="auto"/>
              <w:rPr>
                <w:color w:val="000000"/>
                <w:sz w:val="20"/>
                <w:szCs w:val="20"/>
                <w:lang w:val="es-MX" w:eastAsia="es-MX"/>
              </w:rPr>
            </w:pPr>
            <w:r>
              <w:rPr>
                <w:color w:val="000000"/>
                <w:sz w:val="20"/>
                <w:szCs w:val="20"/>
                <w:lang w:val="es-MX" w:eastAsia="es-MX"/>
              </w:rPr>
              <w:t>11. Recursos Fiscales</w:t>
            </w:r>
          </w:p>
        </w:tc>
        <w:tc>
          <w:tcPr>
            <w:tcW w:w="183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CB2519" w:rsidRDefault="00CB2519" w:rsidP="00277C86">
            <w:pPr>
              <w:spacing w:line="254" w:lineRule="auto"/>
              <w:jc w:val="right"/>
              <w:rPr>
                <w:color w:val="000000"/>
                <w:sz w:val="20"/>
                <w:szCs w:val="20"/>
                <w:lang w:val="es-MX" w:eastAsia="es-MX"/>
              </w:rPr>
            </w:pPr>
            <w:r>
              <w:rPr>
                <w:color w:val="000000"/>
                <w:sz w:val="20"/>
                <w:szCs w:val="20"/>
              </w:rPr>
              <w:t>1,692,912,118.00</w:t>
            </w:r>
          </w:p>
        </w:tc>
      </w:tr>
      <w:tr w:rsidR="00CB2519" w:rsidTr="00277C86">
        <w:trPr>
          <w:trHeight w:val="300"/>
          <w:jc w:val="center"/>
        </w:trPr>
        <w:tc>
          <w:tcPr>
            <w:tcW w:w="31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bottom"/>
            <w:hideMark/>
          </w:tcPr>
          <w:p w:rsidR="00CB2519" w:rsidRDefault="00CB2519" w:rsidP="00277C86">
            <w:pPr>
              <w:spacing w:line="360" w:lineRule="auto"/>
              <w:rPr>
                <w:color w:val="000000"/>
                <w:sz w:val="20"/>
                <w:szCs w:val="20"/>
                <w:lang w:val="es-MX" w:eastAsia="es-MX"/>
              </w:rPr>
            </w:pPr>
            <w:r>
              <w:rPr>
                <w:color w:val="000000"/>
                <w:sz w:val="20"/>
                <w:szCs w:val="20"/>
                <w:lang w:val="es-MX" w:eastAsia="es-MX"/>
              </w:rPr>
              <w:t>12. Financiamientos Internos</w:t>
            </w:r>
          </w:p>
        </w:tc>
        <w:tc>
          <w:tcPr>
            <w:tcW w:w="183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CB2519" w:rsidRDefault="00CB2519" w:rsidP="00277C86">
            <w:pPr>
              <w:spacing w:line="254" w:lineRule="auto"/>
              <w:jc w:val="right"/>
              <w:rPr>
                <w:color w:val="000000"/>
                <w:sz w:val="20"/>
                <w:szCs w:val="20"/>
              </w:rPr>
            </w:pPr>
            <w:r>
              <w:rPr>
                <w:color w:val="000000"/>
                <w:sz w:val="20"/>
                <w:szCs w:val="20"/>
              </w:rPr>
              <w:t>0.00 </w:t>
            </w:r>
          </w:p>
        </w:tc>
      </w:tr>
      <w:tr w:rsidR="00CB2519" w:rsidTr="00277C86">
        <w:trPr>
          <w:trHeight w:val="300"/>
          <w:jc w:val="center"/>
        </w:trPr>
        <w:tc>
          <w:tcPr>
            <w:tcW w:w="31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bottom"/>
            <w:hideMark/>
          </w:tcPr>
          <w:p w:rsidR="00CB2519" w:rsidRDefault="00CB2519" w:rsidP="00277C86">
            <w:pPr>
              <w:spacing w:line="360" w:lineRule="auto"/>
              <w:rPr>
                <w:color w:val="000000"/>
                <w:sz w:val="20"/>
                <w:szCs w:val="20"/>
                <w:lang w:val="es-MX" w:eastAsia="es-MX"/>
              </w:rPr>
            </w:pPr>
            <w:r>
              <w:rPr>
                <w:color w:val="000000"/>
                <w:sz w:val="20"/>
                <w:szCs w:val="20"/>
                <w:lang w:val="es-MX" w:eastAsia="es-MX"/>
              </w:rPr>
              <w:t>13. Financiamientos Externos</w:t>
            </w:r>
          </w:p>
        </w:tc>
        <w:tc>
          <w:tcPr>
            <w:tcW w:w="183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CB2519" w:rsidRDefault="00CB2519" w:rsidP="00277C86">
            <w:pPr>
              <w:spacing w:line="254" w:lineRule="auto"/>
              <w:jc w:val="right"/>
              <w:rPr>
                <w:color w:val="000000"/>
                <w:sz w:val="20"/>
                <w:szCs w:val="20"/>
              </w:rPr>
            </w:pPr>
            <w:r>
              <w:rPr>
                <w:color w:val="000000"/>
                <w:sz w:val="20"/>
                <w:szCs w:val="20"/>
              </w:rPr>
              <w:t>0.00 </w:t>
            </w:r>
          </w:p>
        </w:tc>
      </w:tr>
      <w:tr w:rsidR="00CB2519" w:rsidTr="00277C86">
        <w:trPr>
          <w:trHeight w:val="300"/>
          <w:jc w:val="center"/>
        </w:trPr>
        <w:tc>
          <w:tcPr>
            <w:tcW w:w="31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bottom"/>
            <w:hideMark/>
          </w:tcPr>
          <w:p w:rsidR="00CB2519" w:rsidRDefault="00CB2519" w:rsidP="00277C86">
            <w:pPr>
              <w:spacing w:line="360" w:lineRule="auto"/>
              <w:rPr>
                <w:color w:val="000000"/>
                <w:sz w:val="20"/>
                <w:szCs w:val="20"/>
                <w:lang w:val="es-MX" w:eastAsia="es-MX"/>
              </w:rPr>
            </w:pPr>
            <w:r>
              <w:rPr>
                <w:color w:val="000000"/>
                <w:sz w:val="20"/>
                <w:szCs w:val="20"/>
                <w:lang w:val="es-MX" w:eastAsia="es-MX"/>
              </w:rPr>
              <w:t>14. Ingresos Propios</w:t>
            </w:r>
          </w:p>
        </w:tc>
        <w:tc>
          <w:tcPr>
            <w:tcW w:w="183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CB2519" w:rsidRDefault="00CB2519" w:rsidP="00277C86">
            <w:pPr>
              <w:spacing w:line="254" w:lineRule="auto"/>
              <w:jc w:val="right"/>
              <w:rPr>
                <w:color w:val="000000"/>
                <w:sz w:val="20"/>
                <w:szCs w:val="20"/>
              </w:rPr>
            </w:pPr>
            <w:r>
              <w:rPr>
                <w:color w:val="000000"/>
                <w:sz w:val="20"/>
                <w:szCs w:val="20"/>
              </w:rPr>
              <w:t>179,393,416.00</w:t>
            </w:r>
          </w:p>
        </w:tc>
      </w:tr>
      <w:tr w:rsidR="00CB2519" w:rsidTr="00277C86">
        <w:trPr>
          <w:trHeight w:val="300"/>
          <w:jc w:val="center"/>
        </w:trPr>
        <w:tc>
          <w:tcPr>
            <w:tcW w:w="31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bottom"/>
            <w:hideMark/>
          </w:tcPr>
          <w:p w:rsidR="00CB2519" w:rsidRDefault="00CB2519" w:rsidP="00277C86">
            <w:pPr>
              <w:spacing w:line="360" w:lineRule="auto"/>
              <w:rPr>
                <w:color w:val="000000"/>
                <w:sz w:val="20"/>
                <w:szCs w:val="20"/>
                <w:lang w:val="es-MX" w:eastAsia="es-MX"/>
              </w:rPr>
            </w:pPr>
            <w:r>
              <w:rPr>
                <w:color w:val="000000"/>
                <w:sz w:val="20"/>
                <w:szCs w:val="20"/>
                <w:lang w:val="es-MX" w:eastAsia="es-MX"/>
              </w:rPr>
              <w:t>15. Recursos Federales</w:t>
            </w:r>
          </w:p>
        </w:tc>
        <w:tc>
          <w:tcPr>
            <w:tcW w:w="183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CB2519" w:rsidRDefault="00CB2519" w:rsidP="00277C86">
            <w:pPr>
              <w:spacing w:line="254" w:lineRule="auto"/>
              <w:jc w:val="right"/>
              <w:rPr>
                <w:color w:val="000000"/>
                <w:sz w:val="20"/>
                <w:szCs w:val="20"/>
              </w:rPr>
            </w:pPr>
            <w:r>
              <w:rPr>
                <w:color w:val="000000"/>
                <w:sz w:val="20"/>
                <w:szCs w:val="20"/>
              </w:rPr>
              <w:t>11,865,880,569.00</w:t>
            </w:r>
          </w:p>
        </w:tc>
      </w:tr>
      <w:tr w:rsidR="00CB2519" w:rsidTr="00277C86">
        <w:trPr>
          <w:trHeight w:val="300"/>
          <w:jc w:val="center"/>
        </w:trPr>
        <w:tc>
          <w:tcPr>
            <w:tcW w:w="31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bottom"/>
            <w:hideMark/>
          </w:tcPr>
          <w:p w:rsidR="00CB2519" w:rsidRDefault="00CB2519" w:rsidP="00277C86">
            <w:pPr>
              <w:spacing w:line="360" w:lineRule="auto"/>
              <w:rPr>
                <w:color w:val="000000"/>
                <w:sz w:val="20"/>
                <w:szCs w:val="20"/>
                <w:lang w:val="es-MX" w:eastAsia="es-MX"/>
              </w:rPr>
            </w:pPr>
            <w:r>
              <w:rPr>
                <w:color w:val="000000"/>
                <w:sz w:val="20"/>
                <w:szCs w:val="20"/>
                <w:lang w:val="es-MX" w:eastAsia="es-MX"/>
              </w:rPr>
              <w:t>16. Recursos Estatales</w:t>
            </w:r>
          </w:p>
        </w:tc>
        <w:tc>
          <w:tcPr>
            <w:tcW w:w="183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CB2519" w:rsidRDefault="00CB2519" w:rsidP="00277C86">
            <w:pPr>
              <w:spacing w:line="254" w:lineRule="auto"/>
              <w:jc w:val="right"/>
              <w:rPr>
                <w:color w:val="000000"/>
                <w:sz w:val="20"/>
                <w:szCs w:val="20"/>
              </w:rPr>
            </w:pPr>
            <w:r>
              <w:rPr>
                <w:color w:val="000000"/>
                <w:sz w:val="20"/>
                <w:szCs w:val="20"/>
              </w:rPr>
              <w:t>0.00</w:t>
            </w:r>
          </w:p>
        </w:tc>
      </w:tr>
      <w:tr w:rsidR="00CB2519" w:rsidTr="00277C86">
        <w:trPr>
          <w:trHeight w:val="300"/>
          <w:jc w:val="center"/>
        </w:trPr>
        <w:tc>
          <w:tcPr>
            <w:tcW w:w="31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bottom"/>
            <w:hideMark/>
          </w:tcPr>
          <w:p w:rsidR="00CB2519" w:rsidRDefault="00CB2519" w:rsidP="00277C86">
            <w:pPr>
              <w:spacing w:line="360" w:lineRule="auto"/>
              <w:rPr>
                <w:color w:val="000000"/>
                <w:sz w:val="20"/>
                <w:szCs w:val="20"/>
                <w:lang w:val="es-MX" w:eastAsia="es-MX"/>
              </w:rPr>
            </w:pPr>
            <w:r>
              <w:rPr>
                <w:color w:val="000000"/>
                <w:sz w:val="20"/>
                <w:szCs w:val="20"/>
                <w:lang w:val="es-MX" w:eastAsia="es-MX"/>
              </w:rPr>
              <w:t>17. Otros Recursos de Libre Disposición</w:t>
            </w:r>
          </w:p>
        </w:tc>
        <w:tc>
          <w:tcPr>
            <w:tcW w:w="183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CB2519" w:rsidRDefault="00CB2519" w:rsidP="00277C86">
            <w:pPr>
              <w:spacing w:line="254" w:lineRule="auto"/>
              <w:jc w:val="right"/>
              <w:rPr>
                <w:color w:val="000000"/>
                <w:sz w:val="20"/>
                <w:szCs w:val="20"/>
              </w:rPr>
            </w:pPr>
            <w:r>
              <w:rPr>
                <w:color w:val="000000"/>
                <w:sz w:val="20"/>
                <w:szCs w:val="20"/>
              </w:rPr>
              <w:t>0.00</w:t>
            </w:r>
          </w:p>
        </w:tc>
      </w:tr>
      <w:tr w:rsidR="00CB2519" w:rsidTr="00277C86">
        <w:trPr>
          <w:trHeight w:val="300"/>
          <w:jc w:val="center"/>
        </w:trPr>
        <w:tc>
          <w:tcPr>
            <w:tcW w:w="31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bottom"/>
            <w:hideMark/>
          </w:tcPr>
          <w:p w:rsidR="00CB2519" w:rsidRDefault="00CB2519" w:rsidP="00277C86">
            <w:pPr>
              <w:spacing w:line="360" w:lineRule="auto"/>
              <w:rPr>
                <w:color w:val="000000"/>
                <w:sz w:val="20"/>
                <w:szCs w:val="20"/>
                <w:lang w:val="es-MX" w:eastAsia="es-MX"/>
              </w:rPr>
            </w:pPr>
            <w:r>
              <w:rPr>
                <w:color w:val="000000"/>
                <w:sz w:val="20"/>
                <w:szCs w:val="20"/>
                <w:lang w:val="es-MX" w:eastAsia="es-MX"/>
              </w:rPr>
              <w:t>25. Recursos Federales</w:t>
            </w:r>
          </w:p>
        </w:tc>
        <w:tc>
          <w:tcPr>
            <w:tcW w:w="183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CB2519" w:rsidRDefault="00CB2519" w:rsidP="00277C86">
            <w:pPr>
              <w:spacing w:line="254" w:lineRule="auto"/>
              <w:jc w:val="right"/>
              <w:rPr>
                <w:color w:val="000000"/>
                <w:sz w:val="20"/>
                <w:szCs w:val="20"/>
              </w:rPr>
            </w:pPr>
            <w:r>
              <w:rPr>
                <w:color w:val="000000"/>
                <w:sz w:val="20"/>
                <w:szCs w:val="20"/>
              </w:rPr>
              <w:t>13,906,644,347.00</w:t>
            </w:r>
          </w:p>
        </w:tc>
      </w:tr>
      <w:tr w:rsidR="00CB2519" w:rsidTr="00277C86">
        <w:trPr>
          <w:trHeight w:val="300"/>
          <w:jc w:val="center"/>
        </w:trPr>
        <w:tc>
          <w:tcPr>
            <w:tcW w:w="31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bottom"/>
            <w:hideMark/>
          </w:tcPr>
          <w:p w:rsidR="00CB2519" w:rsidRDefault="00CB2519" w:rsidP="00277C86">
            <w:pPr>
              <w:spacing w:line="360" w:lineRule="auto"/>
              <w:rPr>
                <w:color w:val="000000"/>
                <w:sz w:val="20"/>
                <w:szCs w:val="20"/>
                <w:lang w:val="es-MX" w:eastAsia="es-MX"/>
              </w:rPr>
            </w:pPr>
            <w:r>
              <w:rPr>
                <w:color w:val="000000"/>
                <w:sz w:val="20"/>
                <w:szCs w:val="20"/>
                <w:lang w:val="es-MX" w:eastAsia="es-MX"/>
              </w:rPr>
              <w:t>26. Recursos Estatales</w:t>
            </w:r>
          </w:p>
        </w:tc>
        <w:tc>
          <w:tcPr>
            <w:tcW w:w="183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CB2519" w:rsidRDefault="00CB2519" w:rsidP="00277C86">
            <w:pPr>
              <w:spacing w:line="254" w:lineRule="auto"/>
              <w:jc w:val="right"/>
              <w:rPr>
                <w:color w:val="000000"/>
                <w:sz w:val="20"/>
                <w:szCs w:val="20"/>
              </w:rPr>
            </w:pPr>
            <w:r>
              <w:rPr>
                <w:color w:val="000000"/>
                <w:sz w:val="20"/>
                <w:szCs w:val="20"/>
              </w:rPr>
              <w:t>0.00 </w:t>
            </w:r>
          </w:p>
        </w:tc>
      </w:tr>
      <w:tr w:rsidR="00CB2519" w:rsidTr="00277C86">
        <w:trPr>
          <w:trHeight w:val="300"/>
          <w:jc w:val="center"/>
        </w:trPr>
        <w:tc>
          <w:tcPr>
            <w:tcW w:w="31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bottom"/>
            <w:hideMark/>
          </w:tcPr>
          <w:p w:rsidR="00CB2519" w:rsidRDefault="00CB2519" w:rsidP="00277C86">
            <w:pPr>
              <w:spacing w:line="360" w:lineRule="auto"/>
              <w:rPr>
                <w:color w:val="000000"/>
                <w:sz w:val="20"/>
                <w:szCs w:val="20"/>
                <w:lang w:val="es-MX" w:eastAsia="es-MX"/>
              </w:rPr>
            </w:pPr>
            <w:r>
              <w:rPr>
                <w:color w:val="000000"/>
                <w:sz w:val="20"/>
                <w:szCs w:val="20"/>
                <w:lang w:val="es-MX" w:eastAsia="es-MX"/>
              </w:rPr>
              <w:t>27. Otros Recursos de Transferencias Federales Etiquetadas</w:t>
            </w:r>
          </w:p>
        </w:tc>
        <w:tc>
          <w:tcPr>
            <w:tcW w:w="183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CB2519" w:rsidRDefault="00CB2519" w:rsidP="00277C86">
            <w:pPr>
              <w:spacing w:line="254" w:lineRule="auto"/>
              <w:jc w:val="right"/>
              <w:rPr>
                <w:color w:val="000000"/>
                <w:sz w:val="20"/>
                <w:szCs w:val="20"/>
              </w:rPr>
            </w:pPr>
            <w:r>
              <w:rPr>
                <w:color w:val="000000"/>
                <w:sz w:val="20"/>
                <w:szCs w:val="20"/>
              </w:rPr>
              <w:t>0.00 </w:t>
            </w:r>
          </w:p>
        </w:tc>
      </w:tr>
      <w:tr w:rsidR="00CB2519" w:rsidTr="00277C86">
        <w:trPr>
          <w:trHeight w:val="300"/>
          <w:jc w:val="center"/>
        </w:trPr>
        <w:tc>
          <w:tcPr>
            <w:tcW w:w="31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bottom"/>
            <w:hideMark/>
          </w:tcPr>
          <w:p w:rsidR="00CB2519" w:rsidRDefault="00CB2519" w:rsidP="00277C86">
            <w:pPr>
              <w:spacing w:line="360" w:lineRule="auto"/>
              <w:jc w:val="center"/>
              <w:rPr>
                <w:b/>
                <w:bCs/>
                <w:color w:val="000000"/>
                <w:sz w:val="20"/>
                <w:szCs w:val="20"/>
                <w:lang w:val="es-MX" w:eastAsia="es-MX"/>
              </w:rPr>
            </w:pPr>
            <w:r>
              <w:rPr>
                <w:b/>
                <w:bCs/>
                <w:color w:val="000000"/>
                <w:sz w:val="20"/>
                <w:szCs w:val="20"/>
                <w:lang w:val="es-MX" w:eastAsia="es-MX"/>
              </w:rPr>
              <w:t>TOTAL</w:t>
            </w:r>
          </w:p>
        </w:tc>
        <w:tc>
          <w:tcPr>
            <w:tcW w:w="183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center"/>
            <w:hideMark/>
          </w:tcPr>
          <w:p w:rsidR="00CB2519" w:rsidRDefault="00CB2519" w:rsidP="00277C86">
            <w:pPr>
              <w:spacing w:line="254" w:lineRule="auto"/>
              <w:jc w:val="right"/>
              <w:rPr>
                <w:b/>
                <w:bCs/>
                <w:color w:val="000000"/>
                <w:sz w:val="20"/>
                <w:szCs w:val="20"/>
              </w:rPr>
            </w:pPr>
            <w:r>
              <w:rPr>
                <w:b/>
                <w:bCs/>
                <w:color w:val="000000"/>
                <w:sz w:val="20"/>
                <w:szCs w:val="20"/>
              </w:rPr>
              <w:t>27,644,830,450.00</w:t>
            </w:r>
          </w:p>
        </w:tc>
      </w:tr>
    </w:tbl>
    <w:p w:rsidR="00CB2519" w:rsidRDefault="00CB2519" w:rsidP="00CB2519">
      <w:pPr>
        <w:spacing w:line="360" w:lineRule="auto"/>
        <w:jc w:val="both"/>
        <w:rPr>
          <w:sz w:val="20"/>
          <w:szCs w:val="20"/>
        </w:rPr>
      </w:pPr>
    </w:p>
    <w:p w:rsidR="00505BAF" w:rsidRDefault="00505BAF" w:rsidP="00CB2519">
      <w:pPr>
        <w:spacing w:line="360" w:lineRule="auto"/>
        <w:rPr>
          <w:sz w:val="20"/>
          <w:szCs w:val="20"/>
        </w:rPr>
      </w:pPr>
    </w:p>
    <w:p w:rsidR="00CB2519" w:rsidRDefault="00CB2519" w:rsidP="00CB2519">
      <w:pPr>
        <w:spacing w:line="360" w:lineRule="auto"/>
        <w:rPr>
          <w:sz w:val="20"/>
          <w:szCs w:val="20"/>
        </w:rPr>
      </w:pPr>
      <w:r>
        <w:rPr>
          <w:sz w:val="20"/>
          <w:szCs w:val="20"/>
        </w:rPr>
        <w:lastRenderedPageBreak/>
        <w:t xml:space="preserve">En seguida se muestra a nivel subfuente de financiamiento: </w:t>
      </w:r>
    </w:p>
    <w:p w:rsidR="00CB2519" w:rsidRDefault="00CB2519" w:rsidP="00CB2519">
      <w:pPr>
        <w:spacing w:line="360" w:lineRule="auto"/>
        <w:rPr>
          <w:sz w:val="20"/>
          <w:szCs w:val="20"/>
        </w:rPr>
      </w:pPr>
    </w:p>
    <w:tbl>
      <w:tblPr>
        <w:tblW w:w="5905"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4265"/>
        <w:gridCol w:w="1640"/>
      </w:tblGrid>
      <w:tr w:rsidR="00CB2519" w:rsidTr="00277C86">
        <w:trPr>
          <w:trHeight w:val="300"/>
          <w:tblHeader/>
          <w:jc w:val="center"/>
        </w:trPr>
        <w:tc>
          <w:tcPr>
            <w:tcW w:w="42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center"/>
            <w:hideMark/>
          </w:tcPr>
          <w:p w:rsidR="00CB2519" w:rsidRDefault="00CB2519" w:rsidP="00277C86">
            <w:pPr>
              <w:spacing w:line="360" w:lineRule="auto"/>
              <w:jc w:val="center"/>
              <w:rPr>
                <w:b/>
                <w:bCs/>
                <w:color w:val="000000"/>
                <w:sz w:val="20"/>
                <w:szCs w:val="20"/>
                <w:lang w:val="es-MX" w:eastAsia="es-MX"/>
              </w:rPr>
            </w:pPr>
            <w:r>
              <w:rPr>
                <w:b/>
                <w:bCs/>
                <w:color w:val="000000"/>
                <w:sz w:val="20"/>
                <w:szCs w:val="20"/>
                <w:lang w:val="es-MX" w:eastAsia="es-MX"/>
              </w:rPr>
              <w:t>SUBFUENTE DE FINANCIAMIENTO</w:t>
            </w:r>
          </w:p>
        </w:tc>
        <w:tc>
          <w:tcPr>
            <w:tcW w:w="164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center"/>
            <w:hideMark/>
          </w:tcPr>
          <w:p w:rsidR="00CB2519" w:rsidRDefault="00CB2519" w:rsidP="00277C86">
            <w:pPr>
              <w:spacing w:line="360" w:lineRule="auto"/>
              <w:jc w:val="center"/>
              <w:rPr>
                <w:b/>
                <w:bCs/>
                <w:color w:val="000000"/>
                <w:sz w:val="20"/>
                <w:szCs w:val="20"/>
                <w:lang w:val="es-MX" w:eastAsia="es-MX"/>
              </w:rPr>
            </w:pPr>
            <w:r>
              <w:rPr>
                <w:b/>
                <w:bCs/>
                <w:color w:val="000000"/>
                <w:sz w:val="20"/>
                <w:szCs w:val="20"/>
                <w:lang w:val="es-MX" w:eastAsia="es-MX"/>
              </w:rPr>
              <w:t xml:space="preserve">MONTO </w:t>
            </w:r>
          </w:p>
          <w:p w:rsidR="00CB2519" w:rsidRDefault="00CB2519" w:rsidP="00277C86">
            <w:pPr>
              <w:spacing w:line="360" w:lineRule="auto"/>
              <w:jc w:val="center"/>
              <w:rPr>
                <w:b/>
                <w:bCs/>
                <w:color w:val="000000"/>
                <w:sz w:val="20"/>
                <w:szCs w:val="20"/>
                <w:lang w:val="es-MX" w:eastAsia="es-MX"/>
              </w:rPr>
            </w:pPr>
            <w:r>
              <w:rPr>
                <w:b/>
                <w:bCs/>
                <w:color w:val="000000"/>
                <w:sz w:val="20"/>
                <w:szCs w:val="20"/>
                <w:lang w:val="es-MX" w:eastAsia="es-MX"/>
              </w:rPr>
              <w:t>($)</w:t>
            </w:r>
          </w:p>
        </w:tc>
      </w:tr>
      <w:tr w:rsidR="00CB2519" w:rsidTr="00277C86">
        <w:trPr>
          <w:trHeight w:val="300"/>
          <w:jc w:val="center"/>
        </w:trPr>
        <w:tc>
          <w:tcPr>
            <w:tcW w:w="42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bottom"/>
            <w:hideMark/>
          </w:tcPr>
          <w:p w:rsidR="00CB2519" w:rsidRDefault="00CB2519" w:rsidP="00277C86">
            <w:pPr>
              <w:spacing w:line="360" w:lineRule="auto"/>
              <w:rPr>
                <w:color w:val="000000"/>
                <w:sz w:val="20"/>
                <w:szCs w:val="20"/>
                <w:lang w:val="es-MX" w:eastAsia="es-MX"/>
              </w:rPr>
            </w:pPr>
            <w:r>
              <w:rPr>
                <w:color w:val="000000"/>
                <w:sz w:val="20"/>
                <w:szCs w:val="20"/>
                <w:lang w:val="es-MX" w:eastAsia="es-MX"/>
              </w:rPr>
              <w:t>Ingresos Derivados de Fuentes Locales</w:t>
            </w:r>
          </w:p>
        </w:tc>
        <w:tc>
          <w:tcPr>
            <w:tcW w:w="164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CB2519" w:rsidRDefault="00CB2519" w:rsidP="00277C86">
            <w:pPr>
              <w:spacing w:line="254" w:lineRule="auto"/>
              <w:jc w:val="right"/>
              <w:rPr>
                <w:color w:val="000000"/>
                <w:sz w:val="20"/>
                <w:szCs w:val="20"/>
                <w:lang w:val="es-MX" w:eastAsia="es-MX"/>
              </w:rPr>
            </w:pPr>
            <w:r>
              <w:rPr>
                <w:color w:val="000000"/>
                <w:sz w:val="20"/>
                <w:szCs w:val="20"/>
              </w:rPr>
              <w:t>1,692,912,118.00</w:t>
            </w:r>
          </w:p>
        </w:tc>
      </w:tr>
      <w:tr w:rsidR="00CB2519" w:rsidTr="00277C86">
        <w:trPr>
          <w:trHeight w:val="300"/>
          <w:jc w:val="center"/>
        </w:trPr>
        <w:tc>
          <w:tcPr>
            <w:tcW w:w="42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bottom"/>
            <w:hideMark/>
          </w:tcPr>
          <w:p w:rsidR="00CB2519" w:rsidRDefault="00CB2519" w:rsidP="00277C86">
            <w:pPr>
              <w:spacing w:line="360" w:lineRule="auto"/>
              <w:rPr>
                <w:color w:val="000000"/>
                <w:sz w:val="20"/>
                <w:szCs w:val="20"/>
                <w:lang w:val="es-MX" w:eastAsia="es-MX"/>
              </w:rPr>
            </w:pPr>
            <w:r>
              <w:rPr>
                <w:color w:val="000000"/>
                <w:sz w:val="20"/>
                <w:szCs w:val="20"/>
                <w:lang w:val="es-MX" w:eastAsia="es-MX"/>
              </w:rPr>
              <w:t>Ingresos por Venta de Bienes de Organismos Descentralizados</w:t>
            </w:r>
          </w:p>
        </w:tc>
        <w:tc>
          <w:tcPr>
            <w:tcW w:w="164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CB2519" w:rsidRDefault="00CB2519" w:rsidP="00277C86">
            <w:pPr>
              <w:spacing w:line="254" w:lineRule="auto"/>
              <w:jc w:val="right"/>
              <w:rPr>
                <w:color w:val="000000"/>
                <w:sz w:val="20"/>
                <w:szCs w:val="20"/>
              </w:rPr>
            </w:pPr>
            <w:r>
              <w:rPr>
                <w:color w:val="000000"/>
                <w:sz w:val="20"/>
                <w:szCs w:val="20"/>
              </w:rPr>
              <w:t>179,393,416.00</w:t>
            </w:r>
          </w:p>
        </w:tc>
      </w:tr>
      <w:tr w:rsidR="00CB2519" w:rsidTr="00277C86">
        <w:trPr>
          <w:trHeight w:val="300"/>
          <w:jc w:val="center"/>
        </w:trPr>
        <w:tc>
          <w:tcPr>
            <w:tcW w:w="42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bottom"/>
            <w:hideMark/>
          </w:tcPr>
          <w:p w:rsidR="00CB2519" w:rsidRDefault="00CB2519" w:rsidP="00277C86">
            <w:pPr>
              <w:spacing w:line="360" w:lineRule="auto"/>
              <w:rPr>
                <w:color w:val="000000"/>
                <w:sz w:val="20"/>
                <w:szCs w:val="20"/>
                <w:lang w:val="es-MX" w:eastAsia="es-MX"/>
              </w:rPr>
            </w:pPr>
            <w:r>
              <w:rPr>
                <w:color w:val="000000"/>
                <w:sz w:val="20"/>
                <w:szCs w:val="20"/>
                <w:lang w:val="es-MX" w:eastAsia="es-MX"/>
              </w:rPr>
              <w:t>Fondo General de Participaciones</w:t>
            </w:r>
          </w:p>
        </w:tc>
        <w:tc>
          <w:tcPr>
            <w:tcW w:w="164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CB2519" w:rsidRDefault="00CB2519" w:rsidP="00277C86">
            <w:pPr>
              <w:spacing w:line="254" w:lineRule="auto"/>
              <w:jc w:val="right"/>
              <w:rPr>
                <w:color w:val="000000"/>
                <w:sz w:val="20"/>
                <w:szCs w:val="20"/>
              </w:rPr>
            </w:pPr>
            <w:r>
              <w:rPr>
                <w:color w:val="000000"/>
                <w:sz w:val="20"/>
                <w:szCs w:val="20"/>
              </w:rPr>
              <w:t>9,138,220,642.00</w:t>
            </w:r>
          </w:p>
        </w:tc>
      </w:tr>
      <w:tr w:rsidR="00CB2519" w:rsidTr="00277C86">
        <w:trPr>
          <w:trHeight w:val="300"/>
          <w:jc w:val="center"/>
        </w:trPr>
        <w:tc>
          <w:tcPr>
            <w:tcW w:w="42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bottom"/>
            <w:hideMark/>
          </w:tcPr>
          <w:p w:rsidR="00CB2519" w:rsidRDefault="00CB2519" w:rsidP="00277C86">
            <w:pPr>
              <w:spacing w:line="360" w:lineRule="auto"/>
              <w:rPr>
                <w:color w:val="000000"/>
                <w:sz w:val="20"/>
                <w:szCs w:val="20"/>
                <w:lang w:val="es-MX" w:eastAsia="es-MX"/>
              </w:rPr>
            </w:pPr>
            <w:r>
              <w:rPr>
                <w:color w:val="000000"/>
                <w:sz w:val="20"/>
                <w:szCs w:val="20"/>
                <w:lang w:val="es-MX" w:eastAsia="es-MX"/>
              </w:rPr>
              <w:t>Fondo de Compensación</w:t>
            </w:r>
          </w:p>
        </w:tc>
        <w:tc>
          <w:tcPr>
            <w:tcW w:w="164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CB2519" w:rsidRDefault="00CB2519" w:rsidP="00277C86">
            <w:pPr>
              <w:spacing w:line="254" w:lineRule="auto"/>
              <w:jc w:val="right"/>
              <w:rPr>
                <w:color w:val="000000"/>
                <w:sz w:val="20"/>
                <w:szCs w:val="20"/>
              </w:rPr>
            </w:pPr>
            <w:r>
              <w:rPr>
                <w:color w:val="000000"/>
                <w:sz w:val="20"/>
                <w:szCs w:val="20"/>
              </w:rPr>
              <w:t>556,477,353.00</w:t>
            </w:r>
          </w:p>
        </w:tc>
      </w:tr>
      <w:tr w:rsidR="00CB2519" w:rsidTr="00277C86">
        <w:trPr>
          <w:trHeight w:val="300"/>
          <w:jc w:val="center"/>
        </w:trPr>
        <w:tc>
          <w:tcPr>
            <w:tcW w:w="42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bottom"/>
            <w:hideMark/>
          </w:tcPr>
          <w:p w:rsidR="00CB2519" w:rsidRDefault="00CB2519" w:rsidP="00277C86">
            <w:pPr>
              <w:spacing w:line="360" w:lineRule="auto"/>
              <w:rPr>
                <w:color w:val="000000"/>
                <w:sz w:val="20"/>
                <w:szCs w:val="20"/>
                <w:lang w:val="es-MX" w:eastAsia="es-MX"/>
              </w:rPr>
            </w:pPr>
            <w:r>
              <w:rPr>
                <w:color w:val="000000"/>
                <w:sz w:val="20"/>
                <w:szCs w:val="20"/>
                <w:lang w:val="es-MX" w:eastAsia="es-MX"/>
              </w:rPr>
              <w:t>Incentivo para la Venta Final de Gasolina y Diesel</w:t>
            </w:r>
          </w:p>
        </w:tc>
        <w:tc>
          <w:tcPr>
            <w:tcW w:w="164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CB2519" w:rsidRDefault="00CB2519" w:rsidP="00277C86">
            <w:pPr>
              <w:spacing w:line="254" w:lineRule="auto"/>
              <w:jc w:val="right"/>
              <w:rPr>
                <w:color w:val="000000"/>
                <w:sz w:val="20"/>
                <w:szCs w:val="20"/>
              </w:rPr>
            </w:pPr>
            <w:r>
              <w:rPr>
                <w:color w:val="000000"/>
                <w:sz w:val="20"/>
                <w:szCs w:val="20"/>
              </w:rPr>
              <w:t>222,558,841.00</w:t>
            </w:r>
          </w:p>
        </w:tc>
      </w:tr>
      <w:tr w:rsidR="00CB2519" w:rsidTr="00277C86">
        <w:trPr>
          <w:trHeight w:val="300"/>
          <w:jc w:val="center"/>
        </w:trPr>
        <w:tc>
          <w:tcPr>
            <w:tcW w:w="42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bottom"/>
            <w:hideMark/>
          </w:tcPr>
          <w:p w:rsidR="00CB2519" w:rsidRDefault="00CB2519" w:rsidP="00277C86">
            <w:pPr>
              <w:spacing w:line="360" w:lineRule="auto"/>
              <w:rPr>
                <w:color w:val="000000"/>
                <w:sz w:val="20"/>
                <w:szCs w:val="20"/>
                <w:lang w:val="es-MX" w:eastAsia="es-MX"/>
              </w:rPr>
            </w:pPr>
            <w:r>
              <w:rPr>
                <w:color w:val="000000"/>
                <w:sz w:val="20"/>
                <w:szCs w:val="20"/>
                <w:lang w:val="es-MX" w:eastAsia="es-MX"/>
              </w:rPr>
              <w:t>Fondo de Fomento Municipal</w:t>
            </w:r>
          </w:p>
        </w:tc>
        <w:tc>
          <w:tcPr>
            <w:tcW w:w="164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CB2519" w:rsidRDefault="00CB2519" w:rsidP="00277C86">
            <w:pPr>
              <w:spacing w:line="254" w:lineRule="auto"/>
              <w:jc w:val="right"/>
              <w:rPr>
                <w:color w:val="000000"/>
                <w:sz w:val="20"/>
                <w:szCs w:val="20"/>
              </w:rPr>
            </w:pPr>
            <w:r>
              <w:rPr>
                <w:color w:val="000000"/>
                <w:sz w:val="20"/>
                <w:szCs w:val="20"/>
              </w:rPr>
              <w:t>549,276,091.00</w:t>
            </w:r>
          </w:p>
        </w:tc>
      </w:tr>
      <w:tr w:rsidR="00CB2519" w:rsidTr="00277C86">
        <w:trPr>
          <w:trHeight w:val="300"/>
          <w:jc w:val="center"/>
        </w:trPr>
        <w:tc>
          <w:tcPr>
            <w:tcW w:w="42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bottom"/>
            <w:hideMark/>
          </w:tcPr>
          <w:p w:rsidR="00CB2519" w:rsidRDefault="00CB2519" w:rsidP="00277C86">
            <w:pPr>
              <w:spacing w:line="360" w:lineRule="auto"/>
              <w:rPr>
                <w:color w:val="000000"/>
                <w:sz w:val="20"/>
                <w:szCs w:val="20"/>
                <w:lang w:val="es-MX" w:eastAsia="es-MX"/>
              </w:rPr>
            </w:pPr>
            <w:r>
              <w:rPr>
                <w:color w:val="000000"/>
                <w:sz w:val="20"/>
                <w:szCs w:val="20"/>
                <w:lang w:val="es-MX" w:eastAsia="es-MX"/>
              </w:rPr>
              <w:t>Fondo ISR</w:t>
            </w:r>
          </w:p>
        </w:tc>
        <w:tc>
          <w:tcPr>
            <w:tcW w:w="164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CB2519" w:rsidRDefault="00CB2519" w:rsidP="00277C86">
            <w:pPr>
              <w:spacing w:line="254" w:lineRule="auto"/>
              <w:jc w:val="right"/>
              <w:rPr>
                <w:color w:val="000000"/>
                <w:sz w:val="20"/>
                <w:szCs w:val="20"/>
              </w:rPr>
            </w:pPr>
            <w:r>
              <w:rPr>
                <w:color w:val="000000"/>
                <w:sz w:val="20"/>
                <w:szCs w:val="20"/>
              </w:rPr>
              <w:t>672,787,133.00</w:t>
            </w:r>
          </w:p>
        </w:tc>
      </w:tr>
      <w:tr w:rsidR="00CB2519" w:rsidTr="00277C86">
        <w:trPr>
          <w:trHeight w:val="300"/>
          <w:jc w:val="center"/>
        </w:trPr>
        <w:tc>
          <w:tcPr>
            <w:tcW w:w="42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bottom"/>
            <w:hideMark/>
          </w:tcPr>
          <w:p w:rsidR="00CB2519" w:rsidRDefault="00CB2519" w:rsidP="00277C86">
            <w:pPr>
              <w:spacing w:line="360" w:lineRule="auto"/>
              <w:rPr>
                <w:color w:val="000000"/>
                <w:sz w:val="20"/>
                <w:szCs w:val="20"/>
                <w:lang w:val="es-MX" w:eastAsia="es-MX"/>
              </w:rPr>
            </w:pPr>
            <w:r>
              <w:rPr>
                <w:color w:val="000000"/>
                <w:sz w:val="20"/>
                <w:szCs w:val="20"/>
                <w:lang w:val="es-MX" w:eastAsia="es-MX"/>
              </w:rPr>
              <w:t>Impuesto Especial sobre Producción y Servicios</w:t>
            </w:r>
          </w:p>
        </w:tc>
        <w:tc>
          <w:tcPr>
            <w:tcW w:w="164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CB2519" w:rsidRDefault="00CB2519" w:rsidP="00277C86">
            <w:pPr>
              <w:spacing w:line="254" w:lineRule="auto"/>
              <w:jc w:val="right"/>
              <w:rPr>
                <w:color w:val="000000"/>
                <w:sz w:val="20"/>
                <w:szCs w:val="20"/>
              </w:rPr>
            </w:pPr>
            <w:r>
              <w:rPr>
                <w:color w:val="000000"/>
                <w:sz w:val="20"/>
                <w:szCs w:val="20"/>
              </w:rPr>
              <w:t>80,229,788.00</w:t>
            </w:r>
          </w:p>
        </w:tc>
      </w:tr>
      <w:tr w:rsidR="00CB2519" w:rsidTr="00277C86">
        <w:trPr>
          <w:trHeight w:val="300"/>
          <w:jc w:val="center"/>
        </w:trPr>
        <w:tc>
          <w:tcPr>
            <w:tcW w:w="42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bottom"/>
            <w:hideMark/>
          </w:tcPr>
          <w:p w:rsidR="00CB2519" w:rsidRDefault="00CB2519" w:rsidP="00277C86">
            <w:pPr>
              <w:spacing w:line="360" w:lineRule="auto"/>
              <w:rPr>
                <w:color w:val="000000"/>
                <w:sz w:val="20"/>
                <w:szCs w:val="20"/>
                <w:lang w:val="es-MX" w:eastAsia="es-MX"/>
              </w:rPr>
            </w:pPr>
            <w:r>
              <w:rPr>
                <w:color w:val="000000"/>
                <w:sz w:val="20"/>
                <w:szCs w:val="20"/>
                <w:lang w:val="es-MX" w:eastAsia="es-MX"/>
              </w:rPr>
              <w:t>Fondo de Fiscalización</w:t>
            </w:r>
          </w:p>
        </w:tc>
        <w:tc>
          <w:tcPr>
            <w:tcW w:w="164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CB2519" w:rsidRDefault="00CB2519" w:rsidP="00277C86">
            <w:pPr>
              <w:spacing w:line="254" w:lineRule="auto"/>
              <w:jc w:val="right"/>
              <w:rPr>
                <w:color w:val="000000"/>
                <w:sz w:val="20"/>
                <w:szCs w:val="20"/>
              </w:rPr>
            </w:pPr>
            <w:r>
              <w:rPr>
                <w:color w:val="000000"/>
                <w:sz w:val="20"/>
                <w:szCs w:val="20"/>
              </w:rPr>
              <w:t>501,179,664.00</w:t>
            </w:r>
          </w:p>
        </w:tc>
      </w:tr>
      <w:tr w:rsidR="00CB2519" w:rsidTr="00277C86">
        <w:trPr>
          <w:trHeight w:val="300"/>
          <w:jc w:val="center"/>
        </w:trPr>
        <w:tc>
          <w:tcPr>
            <w:tcW w:w="42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bottom"/>
            <w:hideMark/>
          </w:tcPr>
          <w:p w:rsidR="00CB2519" w:rsidRDefault="00CB2519" w:rsidP="00277C86">
            <w:pPr>
              <w:spacing w:line="360" w:lineRule="auto"/>
              <w:rPr>
                <w:color w:val="000000"/>
                <w:sz w:val="20"/>
                <w:szCs w:val="20"/>
                <w:lang w:val="es-MX" w:eastAsia="es-MX"/>
              </w:rPr>
            </w:pPr>
            <w:r>
              <w:rPr>
                <w:color w:val="000000"/>
                <w:sz w:val="20"/>
                <w:szCs w:val="20"/>
                <w:lang w:val="es-MX" w:eastAsia="es-MX"/>
              </w:rPr>
              <w:t>Fondo de Compensación ISAN</w:t>
            </w:r>
          </w:p>
        </w:tc>
        <w:tc>
          <w:tcPr>
            <w:tcW w:w="164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CB2519" w:rsidRDefault="00CB2519" w:rsidP="00277C86">
            <w:pPr>
              <w:spacing w:line="254" w:lineRule="auto"/>
              <w:jc w:val="right"/>
              <w:rPr>
                <w:color w:val="000000"/>
                <w:sz w:val="20"/>
                <w:szCs w:val="20"/>
              </w:rPr>
            </w:pPr>
            <w:r>
              <w:rPr>
                <w:color w:val="000000"/>
                <w:sz w:val="20"/>
                <w:szCs w:val="20"/>
              </w:rPr>
              <w:t>12,067,676.00</w:t>
            </w:r>
          </w:p>
        </w:tc>
      </w:tr>
      <w:tr w:rsidR="00CB2519" w:rsidTr="00277C86">
        <w:trPr>
          <w:trHeight w:val="300"/>
          <w:jc w:val="center"/>
        </w:trPr>
        <w:tc>
          <w:tcPr>
            <w:tcW w:w="42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bottom"/>
            <w:hideMark/>
          </w:tcPr>
          <w:p w:rsidR="00CB2519" w:rsidRDefault="00CB2519" w:rsidP="00277C86">
            <w:pPr>
              <w:spacing w:line="360" w:lineRule="auto"/>
              <w:rPr>
                <w:color w:val="000000"/>
                <w:sz w:val="20"/>
                <w:szCs w:val="20"/>
                <w:lang w:val="es-MX" w:eastAsia="es-MX"/>
              </w:rPr>
            </w:pPr>
            <w:r>
              <w:rPr>
                <w:color w:val="000000"/>
                <w:sz w:val="20"/>
                <w:szCs w:val="20"/>
                <w:lang w:val="es-MX" w:eastAsia="es-MX"/>
              </w:rPr>
              <w:t>Fondo Repecos e Intermedios</w:t>
            </w:r>
          </w:p>
        </w:tc>
        <w:tc>
          <w:tcPr>
            <w:tcW w:w="164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CB2519" w:rsidRDefault="00CB2519" w:rsidP="00277C86">
            <w:pPr>
              <w:spacing w:line="254" w:lineRule="auto"/>
              <w:jc w:val="right"/>
              <w:rPr>
                <w:color w:val="000000"/>
                <w:sz w:val="20"/>
                <w:szCs w:val="20"/>
              </w:rPr>
            </w:pPr>
            <w:r>
              <w:rPr>
                <w:color w:val="000000"/>
                <w:sz w:val="20"/>
                <w:szCs w:val="20"/>
              </w:rPr>
              <w:t>3,030,858.00</w:t>
            </w:r>
          </w:p>
        </w:tc>
      </w:tr>
      <w:tr w:rsidR="00CB2519" w:rsidTr="00277C86">
        <w:trPr>
          <w:trHeight w:val="300"/>
          <w:jc w:val="center"/>
        </w:trPr>
        <w:tc>
          <w:tcPr>
            <w:tcW w:w="42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bottom"/>
            <w:hideMark/>
          </w:tcPr>
          <w:p w:rsidR="00CB2519" w:rsidRDefault="00CB2519" w:rsidP="00277C86">
            <w:pPr>
              <w:spacing w:line="360" w:lineRule="auto"/>
              <w:rPr>
                <w:color w:val="000000"/>
                <w:sz w:val="20"/>
                <w:szCs w:val="20"/>
                <w:lang w:val="es-MX" w:eastAsia="es-MX"/>
              </w:rPr>
            </w:pPr>
            <w:r>
              <w:rPr>
                <w:color w:val="000000"/>
                <w:sz w:val="20"/>
                <w:szCs w:val="20"/>
                <w:lang w:val="es-MX" w:eastAsia="es-MX"/>
              </w:rPr>
              <w:t>Incentivos Derivados de Colaboración Fiscal</w:t>
            </w:r>
          </w:p>
        </w:tc>
        <w:tc>
          <w:tcPr>
            <w:tcW w:w="164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CB2519" w:rsidRDefault="00CB2519" w:rsidP="00277C86">
            <w:pPr>
              <w:spacing w:line="254" w:lineRule="auto"/>
              <w:jc w:val="right"/>
              <w:rPr>
                <w:color w:val="000000"/>
                <w:sz w:val="20"/>
                <w:szCs w:val="20"/>
              </w:rPr>
            </w:pPr>
            <w:r>
              <w:rPr>
                <w:color w:val="000000"/>
                <w:sz w:val="20"/>
                <w:szCs w:val="20"/>
              </w:rPr>
              <w:t>130,052,523.00</w:t>
            </w:r>
          </w:p>
        </w:tc>
      </w:tr>
      <w:tr w:rsidR="00CB2519" w:rsidTr="00277C86">
        <w:trPr>
          <w:trHeight w:val="300"/>
          <w:jc w:val="center"/>
        </w:trPr>
        <w:tc>
          <w:tcPr>
            <w:tcW w:w="42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bottom"/>
            <w:hideMark/>
          </w:tcPr>
          <w:p w:rsidR="00CB2519" w:rsidRDefault="00CB2519" w:rsidP="00277C86">
            <w:pPr>
              <w:spacing w:line="360" w:lineRule="auto"/>
              <w:jc w:val="center"/>
              <w:rPr>
                <w:b/>
                <w:bCs/>
                <w:color w:val="000000"/>
                <w:sz w:val="20"/>
                <w:szCs w:val="20"/>
                <w:lang w:val="es-MX" w:eastAsia="es-MX"/>
              </w:rPr>
            </w:pPr>
            <w:r>
              <w:rPr>
                <w:b/>
                <w:bCs/>
                <w:color w:val="000000"/>
                <w:sz w:val="20"/>
                <w:szCs w:val="20"/>
                <w:lang w:val="es-MX" w:eastAsia="es-MX"/>
              </w:rPr>
              <w:t>SUBTOTAL</w:t>
            </w:r>
          </w:p>
        </w:tc>
        <w:tc>
          <w:tcPr>
            <w:tcW w:w="164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center"/>
            <w:hideMark/>
          </w:tcPr>
          <w:p w:rsidR="00CB2519" w:rsidRDefault="00CB2519" w:rsidP="00277C86">
            <w:pPr>
              <w:spacing w:line="254" w:lineRule="auto"/>
              <w:jc w:val="right"/>
              <w:rPr>
                <w:b/>
                <w:bCs/>
                <w:color w:val="000000"/>
                <w:sz w:val="20"/>
                <w:szCs w:val="20"/>
              </w:rPr>
            </w:pPr>
            <w:r>
              <w:rPr>
                <w:b/>
                <w:bCs/>
                <w:color w:val="000000"/>
                <w:sz w:val="20"/>
                <w:szCs w:val="20"/>
              </w:rPr>
              <w:t>13,738,186,103.00</w:t>
            </w:r>
          </w:p>
        </w:tc>
      </w:tr>
      <w:tr w:rsidR="00CB2519" w:rsidTr="00277C86">
        <w:trPr>
          <w:trHeight w:val="300"/>
          <w:jc w:val="center"/>
        </w:trPr>
        <w:tc>
          <w:tcPr>
            <w:tcW w:w="42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bottom"/>
            <w:hideMark/>
          </w:tcPr>
          <w:p w:rsidR="00CB2519" w:rsidRDefault="00CB2519" w:rsidP="00277C86">
            <w:pPr>
              <w:spacing w:line="360" w:lineRule="auto"/>
              <w:rPr>
                <w:color w:val="000000"/>
                <w:sz w:val="20"/>
                <w:szCs w:val="20"/>
                <w:lang w:val="es-MX" w:eastAsia="es-MX"/>
              </w:rPr>
            </w:pPr>
            <w:r>
              <w:rPr>
                <w:color w:val="000000"/>
                <w:sz w:val="20"/>
                <w:szCs w:val="20"/>
                <w:lang w:val="es-MX" w:eastAsia="es-MX"/>
              </w:rPr>
              <w:t>Aportaciones Federales</w:t>
            </w:r>
          </w:p>
        </w:tc>
        <w:tc>
          <w:tcPr>
            <w:tcW w:w="164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CB2519" w:rsidRDefault="00CB2519" w:rsidP="00277C86">
            <w:pPr>
              <w:spacing w:line="254" w:lineRule="auto"/>
              <w:jc w:val="right"/>
              <w:rPr>
                <w:color w:val="000000"/>
                <w:sz w:val="20"/>
                <w:szCs w:val="20"/>
              </w:rPr>
            </w:pPr>
            <w:r>
              <w:rPr>
                <w:color w:val="000000"/>
                <w:sz w:val="20"/>
                <w:szCs w:val="20"/>
              </w:rPr>
              <w:t>13,906,644,347.00</w:t>
            </w:r>
          </w:p>
        </w:tc>
      </w:tr>
      <w:tr w:rsidR="00CB2519" w:rsidTr="00277C86">
        <w:trPr>
          <w:trHeight w:val="300"/>
          <w:jc w:val="center"/>
        </w:trPr>
        <w:tc>
          <w:tcPr>
            <w:tcW w:w="42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bottom"/>
            <w:hideMark/>
          </w:tcPr>
          <w:p w:rsidR="00CB2519" w:rsidRDefault="00CB2519" w:rsidP="00277C86">
            <w:pPr>
              <w:spacing w:line="360" w:lineRule="auto"/>
              <w:jc w:val="center"/>
              <w:rPr>
                <w:b/>
                <w:bCs/>
                <w:color w:val="000000"/>
                <w:sz w:val="20"/>
                <w:szCs w:val="20"/>
                <w:lang w:val="es-MX" w:eastAsia="es-MX"/>
              </w:rPr>
            </w:pPr>
            <w:r>
              <w:rPr>
                <w:b/>
                <w:bCs/>
                <w:color w:val="000000"/>
                <w:sz w:val="20"/>
                <w:szCs w:val="20"/>
                <w:lang w:val="es-MX" w:eastAsia="es-MX"/>
              </w:rPr>
              <w:t>TOTAL</w:t>
            </w:r>
          </w:p>
        </w:tc>
        <w:tc>
          <w:tcPr>
            <w:tcW w:w="164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center"/>
            <w:hideMark/>
          </w:tcPr>
          <w:p w:rsidR="00CB2519" w:rsidRDefault="00CB2519" w:rsidP="00277C86">
            <w:pPr>
              <w:spacing w:line="254" w:lineRule="auto"/>
              <w:jc w:val="right"/>
              <w:rPr>
                <w:b/>
                <w:bCs/>
                <w:color w:val="000000"/>
                <w:sz w:val="20"/>
                <w:szCs w:val="20"/>
              </w:rPr>
            </w:pPr>
            <w:r>
              <w:rPr>
                <w:b/>
                <w:bCs/>
                <w:color w:val="000000"/>
                <w:sz w:val="20"/>
                <w:szCs w:val="20"/>
              </w:rPr>
              <w:t>27,644,830,450.00</w:t>
            </w:r>
          </w:p>
        </w:tc>
      </w:tr>
    </w:tbl>
    <w:p w:rsidR="00CB2519" w:rsidRDefault="00CB2519" w:rsidP="00CB2519">
      <w:pPr>
        <w:spacing w:line="360" w:lineRule="auto"/>
        <w:rPr>
          <w:sz w:val="20"/>
          <w:szCs w:val="20"/>
        </w:rPr>
      </w:pPr>
    </w:p>
    <w:p w:rsidR="00CB2519" w:rsidRDefault="00CB2519" w:rsidP="00CB2519">
      <w:pPr>
        <w:spacing w:line="360" w:lineRule="auto"/>
        <w:rPr>
          <w:sz w:val="20"/>
          <w:szCs w:val="20"/>
        </w:rPr>
      </w:pPr>
    </w:p>
    <w:p w:rsidR="00CB2519" w:rsidRDefault="00CB2519" w:rsidP="00CB2519">
      <w:pPr>
        <w:spacing w:after="200" w:line="360" w:lineRule="auto"/>
        <w:jc w:val="center"/>
        <w:rPr>
          <w:rFonts w:eastAsia="Calibri"/>
          <w:b/>
          <w:sz w:val="20"/>
          <w:szCs w:val="20"/>
        </w:rPr>
      </w:pPr>
      <w:r>
        <w:rPr>
          <w:rFonts w:eastAsia="Calibri"/>
          <w:b/>
          <w:sz w:val="20"/>
          <w:szCs w:val="20"/>
        </w:rPr>
        <w:t>PRESUPUESTO POR RAMO</w:t>
      </w:r>
    </w:p>
    <w:p w:rsidR="00CB2519" w:rsidRDefault="00CB2519" w:rsidP="00CB2519">
      <w:pPr>
        <w:spacing w:after="200" w:line="360" w:lineRule="auto"/>
        <w:jc w:val="both"/>
        <w:rPr>
          <w:rFonts w:eastAsia="Calibri"/>
          <w:sz w:val="20"/>
          <w:szCs w:val="20"/>
        </w:rPr>
      </w:pPr>
      <w:r>
        <w:rPr>
          <w:rFonts w:eastAsia="Calibri"/>
          <w:sz w:val="20"/>
          <w:szCs w:val="20"/>
        </w:rPr>
        <w:t>El Proyecto de Decreto de Presupuesto de Egresos del Estado de Tlaxcala para el ejercicio fiscal 2024, distribuido por Ramo, se integra como sigue:</w:t>
      </w:r>
    </w:p>
    <w:tbl>
      <w:tblPr>
        <w:tblW w:w="5083" w:type="pct"/>
        <w:tblCellMar>
          <w:left w:w="70" w:type="dxa"/>
          <w:right w:w="70" w:type="dxa"/>
        </w:tblCellMar>
        <w:tblLook w:val="04A0" w:firstRow="1" w:lastRow="0" w:firstColumn="1" w:lastColumn="0" w:noHBand="0" w:noVBand="1"/>
      </w:tblPr>
      <w:tblGrid>
        <w:gridCol w:w="1890"/>
        <w:gridCol w:w="362"/>
        <w:gridCol w:w="1806"/>
        <w:gridCol w:w="306"/>
        <w:gridCol w:w="1806"/>
        <w:gridCol w:w="414"/>
        <w:gridCol w:w="1640"/>
      </w:tblGrid>
      <w:tr w:rsidR="00CB2519" w:rsidTr="00277C86">
        <w:trPr>
          <w:trHeight w:val="475"/>
          <w:tblHeader/>
        </w:trPr>
        <w:tc>
          <w:tcPr>
            <w:tcW w:w="11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CCCCC"/>
            <w:vAlign w:val="center"/>
            <w:hideMark/>
          </w:tcPr>
          <w:p w:rsidR="00CB2519" w:rsidRDefault="00CB2519" w:rsidP="00277C86">
            <w:pPr>
              <w:spacing w:line="360" w:lineRule="auto"/>
              <w:jc w:val="center"/>
              <w:rPr>
                <w:b/>
                <w:bCs/>
                <w:sz w:val="20"/>
                <w:szCs w:val="20"/>
                <w:lang w:eastAsia="es-MX"/>
              </w:rPr>
            </w:pPr>
            <w:r>
              <w:rPr>
                <w:b/>
                <w:bCs/>
                <w:sz w:val="20"/>
                <w:szCs w:val="20"/>
                <w:lang w:eastAsia="es-MX"/>
              </w:rPr>
              <w:t>RAMO</w:t>
            </w:r>
          </w:p>
        </w:tc>
        <w:tc>
          <w:tcPr>
            <w:tcW w:w="220" w:type="pct"/>
            <w:tcBorders>
              <w:top w:val="nil"/>
              <w:left w:val="single" w:sz="4" w:space="0" w:color="A6A6A6" w:themeColor="background1" w:themeShade="A6"/>
              <w:bottom w:val="nil"/>
              <w:right w:val="single" w:sz="4" w:space="0" w:color="A6A6A6" w:themeColor="background1" w:themeShade="A6"/>
            </w:tcBorders>
            <w:noWrap/>
            <w:vAlign w:val="bottom"/>
            <w:hideMark/>
          </w:tcPr>
          <w:p w:rsidR="00CB2519" w:rsidRDefault="00CB2519" w:rsidP="00277C86">
            <w:pPr>
              <w:rPr>
                <w:b/>
                <w:bCs/>
                <w:sz w:val="20"/>
                <w:szCs w:val="20"/>
                <w:lang w:eastAsia="es-MX"/>
              </w:rPr>
            </w:pPr>
          </w:p>
        </w:tc>
        <w:tc>
          <w:tcPr>
            <w:tcW w:w="109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CCCCC"/>
            <w:vAlign w:val="center"/>
            <w:hideMark/>
          </w:tcPr>
          <w:p w:rsidR="00CB2519" w:rsidRDefault="00CB2519" w:rsidP="00277C86">
            <w:pPr>
              <w:spacing w:line="360" w:lineRule="auto"/>
              <w:jc w:val="center"/>
              <w:rPr>
                <w:b/>
                <w:bCs/>
                <w:color w:val="000000"/>
                <w:sz w:val="20"/>
                <w:szCs w:val="20"/>
              </w:rPr>
            </w:pPr>
            <w:r>
              <w:rPr>
                <w:b/>
                <w:bCs/>
                <w:color w:val="000000"/>
                <w:sz w:val="20"/>
                <w:szCs w:val="20"/>
              </w:rPr>
              <w:t>ESTATAL</w:t>
            </w:r>
          </w:p>
          <w:p w:rsidR="00CB2519" w:rsidRDefault="00CB2519" w:rsidP="00277C86">
            <w:pPr>
              <w:spacing w:line="360" w:lineRule="auto"/>
              <w:jc w:val="center"/>
              <w:rPr>
                <w:b/>
                <w:bCs/>
                <w:color w:val="000000"/>
                <w:sz w:val="20"/>
                <w:szCs w:val="20"/>
                <w:lang w:val="es-MX" w:eastAsia="es-MX"/>
              </w:rPr>
            </w:pPr>
            <w:r>
              <w:rPr>
                <w:b/>
                <w:bCs/>
                <w:color w:val="000000"/>
                <w:sz w:val="20"/>
                <w:szCs w:val="20"/>
              </w:rPr>
              <w:t>($)</w:t>
            </w:r>
          </w:p>
        </w:tc>
        <w:tc>
          <w:tcPr>
            <w:tcW w:w="186" w:type="pct"/>
            <w:tcBorders>
              <w:top w:val="nil"/>
              <w:left w:val="single" w:sz="4" w:space="0" w:color="A6A6A6" w:themeColor="background1" w:themeShade="A6"/>
              <w:bottom w:val="nil"/>
              <w:right w:val="single" w:sz="4" w:space="0" w:color="A6A6A6" w:themeColor="background1" w:themeShade="A6"/>
            </w:tcBorders>
            <w:noWrap/>
            <w:vAlign w:val="bottom"/>
            <w:hideMark/>
          </w:tcPr>
          <w:p w:rsidR="00CB2519" w:rsidRDefault="00CB2519" w:rsidP="00277C86">
            <w:pPr>
              <w:rPr>
                <w:b/>
                <w:bCs/>
                <w:color w:val="000000"/>
                <w:sz w:val="20"/>
                <w:szCs w:val="20"/>
                <w:lang w:val="es-MX" w:eastAsia="es-MX"/>
              </w:rPr>
            </w:pPr>
          </w:p>
        </w:tc>
        <w:tc>
          <w:tcPr>
            <w:tcW w:w="109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CCCCC"/>
            <w:vAlign w:val="center"/>
            <w:hideMark/>
          </w:tcPr>
          <w:p w:rsidR="00CB2519" w:rsidRDefault="00CB2519" w:rsidP="00277C86">
            <w:pPr>
              <w:spacing w:line="360" w:lineRule="auto"/>
              <w:jc w:val="center"/>
              <w:rPr>
                <w:b/>
                <w:bCs/>
                <w:color w:val="000000"/>
                <w:sz w:val="20"/>
                <w:szCs w:val="20"/>
              </w:rPr>
            </w:pPr>
            <w:r>
              <w:rPr>
                <w:b/>
                <w:bCs/>
                <w:color w:val="000000"/>
                <w:sz w:val="20"/>
                <w:szCs w:val="20"/>
              </w:rPr>
              <w:t>APORTACIONES FEDERALES</w:t>
            </w:r>
          </w:p>
          <w:p w:rsidR="00CB2519" w:rsidRDefault="00CB2519" w:rsidP="00277C86">
            <w:pPr>
              <w:spacing w:line="360" w:lineRule="auto"/>
              <w:jc w:val="center"/>
              <w:rPr>
                <w:b/>
                <w:bCs/>
                <w:color w:val="000000"/>
                <w:sz w:val="20"/>
                <w:szCs w:val="20"/>
                <w:lang w:val="es-MX" w:eastAsia="es-MX"/>
              </w:rPr>
            </w:pPr>
            <w:r>
              <w:rPr>
                <w:b/>
                <w:bCs/>
                <w:color w:val="000000"/>
                <w:sz w:val="20"/>
                <w:szCs w:val="20"/>
              </w:rPr>
              <w:t>($)</w:t>
            </w:r>
          </w:p>
        </w:tc>
        <w:tc>
          <w:tcPr>
            <w:tcW w:w="252" w:type="pct"/>
            <w:tcBorders>
              <w:top w:val="nil"/>
              <w:left w:val="single" w:sz="4" w:space="0" w:color="A6A6A6" w:themeColor="background1" w:themeShade="A6"/>
              <w:bottom w:val="nil"/>
              <w:right w:val="single" w:sz="4" w:space="0" w:color="A6A6A6" w:themeColor="background1" w:themeShade="A6"/>
            </w:tcBorders>
            <w:noWrap/>
            <w:vAlign w:val="bottom"/>
            <w:hideMark/>
          </w:tcPr>
          <w:p w:rsidR="00CB2519" w:rsidRDefault="00CB2519" w:rsidP="00277C86">
            <w:pPr>
              <w:rPr>
                <w:b/>
                <w:bCs/>
                <w:color w:val="000000"/>
                <w:sz w:val="20"/>
                <w:szCs w:val="20"/>
                <w:lang w:val="es-MX" w:eastAsia="es-MX"/>
              </w:rPr>
            </w:pPr>
          </w:p>
        </w:tc>
        <w:tc>
          <w:tcPr>
            <w:tcW w:w="99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CCCCC"/>
            <w:vAlign w:val="center"/>
            <w:hideMark/>
          </w:tcPr>
          <w:p w:rsidR="00CB2519" w:rsidRDefault="00CB2519" w:rsidP="00277C86">
            <w:pPr>
              <w:spacing w:line="360" w:lineRule="auto"/>
              <w:jc w:val="center"/>
              <w:rPr>
                <w:b/>
                <w:bCs/>
                <w:color w:val="000000"/>
                <w:sz w:val="20"/>
                <w:szCs w:val="20"/>
              </w:rPr>
            </w:pPr>
            <w:r>
              <w:rPr>
                <w:b/>
                <w:bCs/>
                <w:color w:val="000000"/>
                <w:sz w:val="20"/>
                <w:szCs w:val="20"/>
              </w:rPr>
              <w:t>TOTAL</w:t>
            </w:r>
          </w:p>
          <w:p w:rsidR="00CB2519" w:rsidRDefault="00CB2519" w:rsidP="00277C86">
            <w:pPr>
              <w:spacing w:line="360" w:lineRule="auto"/>
              <w:jc w:val="center"/>
              <w:rPr>
                <w:b/>
                <w:bCs/>
                <w:color w:val="000000"/>
                <w:sz w:val="20"/>
                <w:szCs w:val="20"/>
                <w:lang w:val="es-MX" w:eastAsia="es-MX"/>
              </w:rPr>
            </w:pPr>
            <w:r>
              <w:rPr>
                <w:b/>
                <w:bCs/>
                <w:color w:val="000000"/>
                <w:sz w:val="20"/>
                <w:szCs w:val="20"/>
              </w:rPr>
              <w:t>($)</w:t>
            </w:r>
          </w:p>
        </w:tc>
      </w:tr>
      <w:tr w:rsidR="00CB2519" w:rsidTr="00277C86">
        <w:trPr>
          <w:trHeight w:val="214"/>
        </w:trPr>
        <w:tc>
          <w:tcPr>
            <w:tcW w:w="11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CB2519" w:rsidRDefault="00CB2519" w:rsidP="00277C86">
            <w:pPr>
              <w:spacing w:line="360" w:lineRule="auto"/>
              <w:jc w:val="both"/>
              <w:rPr>
                <w:sz w:val="20"/>
                <w:szCs w:val="20"/>
                <w:lang w:eastAsia="es-MX"/>
              </w:rPr>
            </w:pPr>
            <w:r>
              <w:rPr>
                <w:sz w:val="20"/>
                <w:szCs w:val="20"/>
                <w:lang w:eastAsia="es-MX"/>
              </w:rPr>
              <w:t>Poder Legislativo</w:t>
            </w:r>
          </w:p>
        </w:tc>
        <w:tc>
          <w:tcPr>
            <w:tcW w:w="220" w:type="pct"/>
            <w:tcBorders>
              <w:top w:val="nil"/>
              <w:left w:val="single" w:sz="4" w:space="0" w:color="A6A6A6" w:themeColor="background1" w:themeShade="A6"/>
              <w:bottom w:val="nil"/>
              <w:right w:val="single" w:sz="4" w:space="0" w:color="A6A6A6" w:themeColor="background1" w:themeShade="A6"/>
            </w:tcBorders>
            <w:noWrap/>
            <w:vAlign w:val="bottom"/>
            <w:hideMark/>
          </w:tcPr>
          <w:p w:rsidR="00CB2519" w:rsidRDefault="00CB2519" w:rsidP="00277C86">
            <w:pPr>
              <w:rPr>
                <w:sz w:val="20"/>
                <w:szCs w:val="20"/>
                <w:lang w:eastAsia="es-MX"/>
              </w:rPr>
            </w:pPr>
          </w:p>
        </w:tc>
        <w:tc>
          <w:tcPr>
            <w:tcW w:w="109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CB2519" w:rsidRDefault="00CB2519" w:rsidP="00277C86">
            <w:pPr>
              <w:spacing w:line="254" w:lineRule="auto"/>
              <w:jc w:val="right"/>
              <w:rPr>
                <w:color w:val="000000"/>
                <w:sz w:val="20"/>
                <w:szCs w:val="20"/>
                <w:lang w:val="es-MX" w:eastAsia="es-MX"/>
              </w:rPr>
            </w:pPr>
            <w:r>
              <w:rPr>
                <w:color w:val="000000"/>
                <w:sz w:val="20"/>
                <w:szCs w:val="20"/>
              </w:rPr>
              <w:t>446,020,427.00</w:t>
            </w:r>
          </w:p>
        </w:tc>
        <w:tc>
          <w:tcPr>
            <w:tcW w:w="186" w:type="pct"/>
            <w:tcBorders>
              <w:top w:val="nil"/>
              <w:left w:val="single" w:sz="4" w:space="0" w:color="A6A6A6" w:themeColor="background1" w:themeShade="A6"/>
              <w:bottom w:val="nil"/>
              <w:right w:val="single" w:sz="4" w:space="0" w:color="A6A6A6" w:themeColor="background1" w:themeShade="A6"/>
            </w:tcBorders>
            <w:noWrap/>
            <w:vAlign w:val="bottom"/>
            <w:hideMark/>
          </w:tcPr>
          <w:p w:rsidR="00CB2519" w:rsidRDefault="00CB2519" w:rsidP="00277C86">
            <w:pPr>
              <w:rPr>
                <w:color w:val="000000"/>
                <w:sz w:val="20"/>
                <w:szCs w:val="20"/>
                <w:lang w:val="es-MX" w:eastAsia="es-MX"/>
              </w:rPr>
            </w:pPr>
          </w:p>
        </w:tc>
        <w:tc>
          <w:tcPr>
            <w:tcW w:w="109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CB2519" w:rsidRDefault="00CB2519" w:rsidP="00277C86">
            <w:pPr>
              <w:spacing w:line="254" w:lineRule="auto"/>
              <w:jc w:val="right"/>
              <w:rPr>
                <w:color w:val="000000"/>
                <w:sz w:val="20"/>
                <w:szCs w:val="20"/>
                <w:lang w:val="es-MX" w:eastAsia="es-MX"/>
              </w:rPr>
            </w:pPr>
            <w:r>
              <w:rPr>
                <w:color w:val="000000"/>
                <w:sz w:val="20"/>
                <w:szCs w:val="20"/>
              </w:rPr>
              <w:t>0.00</w:t>
            </w:r>
          </w:p>
        </w:tc>
        <w:tc>
          <w:tcPr>
            <w:tcW w:w="252" w:type="pct"/>
            <w:tcBorders>
              <w:top w:val="nil"/>
              <w:left w:val="single" w:sz="4" w:space="0" w:color="A6A6A6" w:themeColor="background1" w:themeShade="A6"/>
              <w:bottom w:val="nil"/>
              <w:right w:val="single" w:sz="4" w:space="0" w:color="A6A6A6" w:themeColor="background1" w:themeShade="A6"/>
            </w:tcBorders>
            <w:noWrap/>
            <w:vAlign w:val="bottom"/>
            <w:hideMark/>
          </w:tcPr>
          <w:p w:rsidR="00CB2519" w:rsidRDefault="00CB2519" w:rsidP="00277C86">
            <w:pPr>
              <w:rPr>
                <w:color w:val="000000"/>
                <w:sz w:val="20"/>
                <w:szCs w:val="20"/>
                <w:lang w:val="es-MX" w:eastAsia="es-MX"/>
              </w:rPr>
            </w:pPr>
          </w:p>
        </w:tc>
        <w:tc>
          <w:tcPr>
            <w:tcW w:w="99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CB2519" w:rsidRDefault="00CB2519" w:rsidP="00277C86">
            <w:pPr>
              <w:spacing w:line="254" w:lineRule="auto"/>
              <w:jc w:val="right"/>
              <w:rPr>
                <w:color w:val="000000"/>
                <w:sz w:val="20"/>
                <w:szCs w:val="20"/>
                <w:lang w:val="es-MX" w:eastAsia="es-MX"/>
              </w:rPr>
            </w:pPr>
            <w:r>
              <w:rPr>
                <w:color w:val="000000"/>
                <w:sz w:val="20"/>
                <w:szCs w:val="20"/>
              </w:rPr>
              <w:t>446,020,427.00</w:t>
            </w:r>
          </w:p>
        </w:tc>
      </w:tr>
      <w:tr w:rsidR="00CB2519" w:rsidTr="00277C86">
        <w:trPr>
          <w:trHeight w:val="147"/>
        </w:trPr>
        <w:tc>
          <w:tcPr>
            <w:tcW w:w="11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CB2519" w:rsidRDefault="00CB2519" w:rsidP="00277C86">
            <w:pPr>
              <w:spacing w:line="360" w:lineRule="auto"/>
              <w:jc w:val="both"/>
              <w:rPr>
                <w:sz w:val="20"/>
                <w:szCs w:val="20"/>
                <w:lang w:eastAsia="es-MX"/>
              </w:rPr>
            </w:pPr>
            <w:r>
              <w:rPr>
                <w:sz w:val="20"/>
                <w:szCs w:val="20"/>
                <w:lang w:eastAsia="es-MX"/>
              </w:rPr>
              <w:t>Poder Judicial</w:t>
            </w:r>
          </w:p>
        </w:tc>
        <w:tc>
          <w:tcPr>
            <w:tcW w:w="220" w:type="pct"/>
            <w:tcBorders>
              <w:top w:val="nil"/>
              <w:left w:val="single" w:sz="4" w:space="0" w:color="A6A6A6" w:themeColor="background1" w:themeShade="A6"/>
              <w:bottom w:val="nil"/>
              <w:right w:val="single" w:sz="4" w:space="0" w:color="A6A6A6" w:themeColor="background1" w:themeShade="A6"/>
            </w:tcBorders>
            <w:noWrap/>
            <w:vAlign w:val="bottom"/>
            <w:hideMark/>
          </w:tcPr>
          <w:p w:rsidR="00CB2519" w:rsidRDefault="00CB2519" w:rsidP="00277C86">
            <w:pPr>
              <w:rPr>
                <w:sz w:val="20"/>
                <w:szCs w:val="20"/>
                <w:lang w:eastAsia="es-MX"/>
              </w:rPr>
            </w:pPr>
          </w:p>
        </w:tc>
        <w:tc>
          <w:tcPr>
            <w:tcW w:w="109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CB2519" w:rsidRDefault="00CB2519" w:rsidP="00277C86">
            <w:pPr>
              <w:spacing w:line="254" w:lineRule="auto"/>
              <w:jc w:val="right"/>
              <w:rPr>
                <w:color w:val="000000"/>
                <w:sz w:val="20"/>
                <w:szCs w:val="20"/>
              </w:rPr>
            </w:pPr>
            <w:r>
              <w:rPr>
                <w:color w:val="000000"/>
                <w:sz w:val="20"/>
                <w:szCs w:val="20"/>
              </w:rPr>
              <w:t>482,152,720.00</w:t>
            </w:r>
          </w:p>
        </w:tc>
        <w:tc>
          <w:tcPr>
            <w:tcW w:w="186" w:type="pct"/>
            <w:tcBorders>
              <w:top w:val="nil"/>
              <w:left w:val="single" w:sz="4" w:space="0" w:color="A6A6A6" w:themeColor="background1" w:themeShade="A6"/>
              <w:bottom w:val="nil"/>
              <w:right w:val="single" w:sz="4" w:space="0" w:color="A6A6A6" w:themeColor="background1" w:themeShade="A6"/>
            </w:tcBorders>
            <w:noWrap/>
            <w:vAlign w:val="bottom"/>
            <w:hideMark/>
          </w:tcPr>
          <w:p w:rsidR="00CB2519" w:rsidRDefault="00CB2519" w:rsidP="00277C86">
            <w:pPr>
              <w:rPr>
                <w:color w:val="000000"/>
                <w:sz w:val="20"/>
                <w:szCs w:val="20"/>
              </w:rPr>
            </w:pPr>
          </w:p>
        </w:tc>
        <w:tc>
          <w:tcPr>
            <w:tcW w:w="109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CB2519" w:rsidRDefault="00CB2519" w:rsidP="00277C86">
            <w:pPr>
              <w:spacing w:line="254" w:lineRule="auto"/>
              <w:jc w:val="right"/>
              <w:rPr>
                <w:color w:val="000000"/>
                <w:sz w:val="20"/>
                <w:szCs w:val="20"/>
              </w:rPr>
            </w:pPr>
            <w:r>
              <w:rPr>
                <w:color w:val="000000"/>
                <w:sz w:val="20"/>
                <w:szCs w:val="20"/>
              </w:rPr>
              <w:t>0.00</w:t>
            </w:r>
          </w:p>
        </w:tc>
        <w:tc>
          <w:tcPr>
            <w:tcW w:w="252" w:type="pct"/>
            <w:tcBorders>
              <w:top w:val="nil"/>
              <w:left w:val="single" w:sz="4" w:space="0" w:color="A6A6A6" w:themeColor="background1" w:themeShade="A6"/>
              <w:bottom w:val="nil"/>
              <w:right w:val="single" w:sz="4" w:space="0" w:color="A6A6A6" w:themeColor="background1" w:themeShade="A6"/>
            </w:tcBorders>
            <w:noWrap/>
            <w:vAlign w:val="bottom"/>
            <w:hideMark/>
          </w:tcPr>
          <w:p w:rsidR="00CB2519" w:rsidRDefault="00CB2519" w:rsidP="00277C86">
            <w:pPr>
              <w:rPr>
                <w:color w:val="000000"/>
                <w:sz w:val="20"/>
                <w:szCs w:val="20"/>
              </w:rPr>
            </w:pPr>
          </w:p>
        </w:tc>
        <w:tc>
          <w:tcPr>
            <w:tcW w:w="99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CB2519" w:rsidRDefault="00CB2519" w:rsidP="00277C86">
            <w:pPr>
              <w:spacing w:line="254" w:lineRule="auto"/>
              <w:jc w:val="right"/>
              <w:rPr>
                <w:color w:val="000000"/>
                <w:sz w:val="20"/>
                <w:szCs w:val="20"/>
              </w:rPr>
            </w:pPr>
            <w:r>
              <w:rPr>
                <w:color w:val="000000"/>
                <w:sz w:val="20"/>
                <w:szCs w:val="20"/>
              </w:rPr>
              <w:t>482,152,720.00</w:t>
            </w:r>
          </w:p>
        </w:tc>
      </w:tr>
      <w:tr w:rsidR="00CB2519" w:rsidTr="00277C86">
        <w:trPr>
          <w:trHeight w:val="70"/>
        </w:trPr>
        <w:tc>
          <w:tcPr>
            <w:tcW w:w="11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CB2519" w:rsidRDefault="00CB2519" w:rsidP="00277C86">
            <w:pPr>
              <w:spacing w:line="360" w:lineRule="auto"/>
              <w:jc w:val="both"/>
              <w:rPr>
                <w:sz w:val="20"/>
                <w:szCs w:val="20"/>
                <w:lang w:eastAsia="es-MX"/>
              </w:rPr>
            </w:pPr>
            <w:r>
              <w:rPr>
                <w:sz w:val="20"/>
                <w:szCs w:val="20"/>
                <w:lang w:eastAsia="es-MX"/>
              </w:rPr>
              <w:lastRenderedPageBreak/>
              <w:t>Órganos Autónomos</w:t>
            </w:r>
          </w:p>
        </w:tc>
        <w:tc>
          <w:tcPr>
            <w:tcW w:w="220" w:type="pct"/>
            <w:tcBorders>
              <w:top w:val="nil"/>
              <w:left w:val="single" w:sz="4" w:space="0" w:color="A6A6A6" w:themeColor="background1" w:themeShade="A6"/>
              <w:bottom w:val="nil"/>
              <w:right w:val="single" w:sz="4" w:space="0" w:color="A6A6A6" w:themeColor="background1" w:themeShade="A6"/>
            </w:tcBorders>
            <w:noWrap/>
            <w:vAlign w:val="bottom"/>
            <w:hideMark/>
          </w:tcPr>
          <w:p w:rsidR="00CB2519" w:rsidRDefault="00CB2519" w:rsidP="00277C86">
            <w:pPr>
              <w:rPr>
                <w:sz w:val="20"/>
                <w:szCs w:val="20"/>
                <w:lang w:eastAsia="es-MX"/>
              </w:rPr>
            </w:pPr>
          </w:p>
        </w:tc>
        <w:tc>
          <w:tcPr>
            <w:tcW w:w="109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CB2519" w:rsidRDefault="00CB2519" w:rsidP="00277C86">
            <w:pPr>
              <w:spacing w:line="254" w:lineRule="auto"/>
              <w:jc w:val="right"/>
              <w:rPr>
                <w:color w:val="000000"/>
                <w:sz w:val="20"/>
                <w:szCs w:val="20"/>
              </w:rPr>
            </w:pPr>
            <w:r>
              <w:rPr>
                <w:color w:val="000000"/>
                <w:sz w:val="20"/>
                <w:szCs w:val="20"/>
              </w:rPr>
              <w:t>598,353,602.00</w:t>
            </w:r>
          </w:p>
        </w:tc>
        <w:tc>
          <w:tcPr>
            <w:tcW w:w="186" w:type="pct"/>
            <w:tcBorders>
              <w:top w:val="nil"/>
              <w:left w:val="single" w:sz="4" w:space="0" w:color="A6A6A6" w:themeColor="background1" w:themeShade="A6"/>
              <w:bottom w:val="nil"/>
              <w:right w:val="single" w:sz="4" w:space="0" w:color="A6A6A6" w:themeColor="background1" w:themeShade="A6"/>
            </w:tcBorders>
            <w:noWrap/>
            <w:vAlign w:val="bottom"/>
            <w:hideMark/>
          </w:tcPr>
          <w:p w:rsidR="00CB2519" w:rsidRDefault="00CB2519" w:rsidP="00277C86">
            <w:pPr>
              <w:rPr>
                <w:color w:val="000000"/>
                <w:sz w:val="20"/>
                <w:szCs w:val="20"/>
              </w:rPr>
            </w:pPr>
          </w:p>
        </w:tc>
        <w:tc>
          <w:tcPr>
            <w:tcW w:w="109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CB2519" w:rsidRDefault="00CB2519" w:rsidP="00277C86">
            <w:pPr>
              <w:spacing w:line="254" w:lineRule="auto"/>
              <w:jc w:val="right"/>
              <w:rPr>
                <w:color w:val="000000"/>
                <w:sz w:val="20"/>
                <w:szCs w:val="20"/>
              </w:rPr>
            </w:pPr>
            <w:r>
              <w:rPr>
                <w:color w:val="000000"/>
                <w:sz w:val="20"/>
                <w:szCs w:val="20"/>
              </w:rPr>
              <w:t>0.00</w:t>
            </w:r>
          </w:p>
        </w:tc>
        <w:tc>
          <w:tcPr>
            <w:tcW w:w="252" w:type="pct"/>
            <w:tcBorders>
              <w:top w:val="nil"/>
              <w:left w:val="single" w:sz="4" w:space="0" w:color="A6A6A6" w:themeColor="background1" w:themeShade="A6"/>
              <w:bottom w:val="nil"/>
              <w:right w:val="single" w:sz="4" w:space="0" w:color="A6A6A6" w:themeColor="background1" w:themeShade="A6"/>
            </w:tcBorders>
            <w:noWrap/>
            <w:vAlign w:val="bottom"/>
            <w:hideMark/>
          </w:tcPr>
          <w:p w:rsidR="00CB2519" w:rsidRDefault="00CB2519" w:rsidP="00277C86">
            <w:pPr>
              <w:rPr>
                <w:color w:val="000000"/>
                <w:sz w:val="20"/>
                <w:szCs w:val="20"/>
              </w:rPr>
            </w:pPr>
          </w:p>
        </w:tc>
        <w:tc>
          <w:tcPr>
            <w:tcW w:w="99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CB2519" w:rsidRDefault="00CB2519" w:rsidP="00277C86">
            <w:pPr>
              <w:spacing w:line="254" w:lineRule="auto"/>
              <w:jc w:val="right"/>
              <w:rPr>
                <w:color w:val="000000"/>
                <w:sz w:val="20"/>
                <w:szCs w:val="20"/>
              </w:rPr>
            </w:pPr>
            <w:r>
              <w:rPr>
                <w:color w:val="000000"/>
                <w:sz w:val="20"/>
                <w:szCs w:val="20"/>
              </w:rPr>
              <w:t>598,353,602.00</w:t>
            </w:r>
          </w:p>
        </w:tc>
      </w:tr>
      <w:tr w:rsidR="00CB2519" w:rsidTr="00277C86">
        <w:trPr>
          <w:trHeight w:val="216"/>
        </w:trPr>
        <w:tc>
          <w:tcPr>
            <w:tcW w:w="11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CB2519" w:rsidRDefault="00CB2519" w:rsidP="00277C86">
            <w:pPr>
              <w:spacing w:line="360" w:lineRule="auto"/>
              <w:jc w:val="both"/>
              <w:rPr>
                <w:sz w:val="20"/>
                <w:szCs w:val="20"/>
                <w:lang w:eastAsia="es-MX"/>
              </w:rPr>
            </w:pPr>
            <w:r>
              <w:rPr>
                <w:sz w:val="20"/>
                <w:szCs w:val="20"/>
                <w:lang w:eastAsia="es-MX"/>
              </w:rPr>
              <w:t>Poder Ejecutivo</w:t>
            </w:r>
          </w:p>
        </w:tc>
        <w:tc>
          <w:tcPr>
            <w:tcW w:w="220" w:type="pct"/>
            <w:tcBorders>
              <w:top w:val="nil"/>
              <w:left w:val="single" w:sz="4" w:space="0" w:color="A6A6A6" w:themeColor="background1" w:themeShade="A6"/>
              <w:bottom w:val="nil"/>
              <w:right w:val="single" w:sz="4" w:space="0" w:color="A6A6A6" w:themeColor="background1" w:themeShade="A6"/>
            </w:tcBorders>
            <w:noWrap/>
            <w:vAlign w:val="bottom"/>
            <w:hideMark/>
          </w:tcPr>
          <w:p w:rsidR="00CB2519" w:rsidRDefault="00CB2519" w:rsidP="00277C86">
            <w:pPr>
              <w:rPr>
                <w:sz w:val="20"/>
                <w:szCs w:val="20"/>
                <w:lang w:eastAsia="es-MX"/>
              </w:rPr>
            </w:pPr>
          </w:p>
        </w:tc>
        <w:tc>
          <w:tcPr>
            <w:tcW w:w="109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CB2519" w:rsidRDefault="00CB2519" w:rsidP="00277C86">
            <w:pPr>
              <w:spacing w:line="254" w:lineRule="auto"/>
              <w:jc w:val="right"/>
              <w:rPr>
                <w:color w:val="000000"/>
                <w:sz w:val="20"/>
                <w:szCs w:val="20"/>
              </w:rPr>
            </w:pPr>
            <w:r>
              <w:rPr>
                <w:color w:val="000000"/>
                <w:sz w:val="20"/>
                <w:szCs w:val="20"/>
              </w:rPr>
              <w:t>9,455,574,113.00</w:t>
            </w:r>
          </w:p>
        </w:tc>
        <w:tc>
          <w:tcPr>
            <w:tcW w:w="186" w:type="pct"/>
            <w:tcBorders>
              <w:top w:val="nil"/>
              <w:left w:val="single" w:sz="4" w:space="0" w:color="A6A6A6" w:themeColor="background1" w:themeShade="A6"/>
              <w:bottom w:val="nil"/>
              <w:right w:val="single" w:sz="4" w:space="0" w:color="A6A6A6" w:themeColor="background1" w:themeShade="A6"/>
            </w:tcBorders>
            <w:noWrap/>
            <w:vAlign w:val="bottom"/>
            <w:hideMark/>
          </w:tcPr>
          <w:p w:rsidR="00CB2519" w:rsidRDefault="00CB2519" w:rsidP="00277C86">
            <w:pPr>
              <w:rPr>
                <w:color w:val="000000"/>
                <w:sz w:val="20"/>
                <w:szCs w:val="20"/>
              </w:rPr>
            </w:pPr>
          </w:p>
        </w:tc>
        <w:tc>
          <w:tcPr>
            <w:tcW w:w="109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CB2519" w:rsidRDefault="00CB2519" w:rsidP="00277C86">
            <w:pPr>
              <w:spacing w:line="254" w:lineRule="auto"/>
              <w:jc w:val="right"/>
              <w:rPr>
                <w:color w:val="000000"/>
                <w:sz w:val="20"/>
                <w:szCs w:val="20"/>
              </w:rPr>
            </w:pPr>
            <w:r>
              <w:rPr>
                <w:color w:val="000000"/>
                <w:sz w:val="20"/>
                <w:szCs w:val="20"/>
              </w:rPr>
              <w:t>11,563,232,173.00</w:t>
            </w:r>
          </w:p>
        </w:tc>
        <w:tc>
          <w:tcPr>
            <w:tcW w:w="252" w:type="pct"/>
            <w:tcBorders>
              <w:top w:val="nil"/>
              <w:left w:val="single" w:sz="4" w:space="0" w:color="A6A6A6" w:themeColor="background1" w:themeShade="A6"/>
              <w:bottom w:val="nil"/>
              <w:right w:val="single" w:sz="4" w:space="0" w:color="A6A6A6" w:themeColor="background1" w:themeShade="A6"/>
            </w:tcBorders>
            <w:noWrap/>
            <w:vAlign w:val="bottom"/>
            <w:hideMark/>
          </w:tcPr>
          <w:p w:rsidR="00CB2519" w:rsidRDefault="00CB2519" w:rsidP="00277C86">
            <w:pPr>
              <w:rPr>
                <w:color w:val="000000"/>
                <w:sz w:val="20"/>
                <w:szCs w:val="20"/>
              </w:rPr>
            </w:pPr>
          </w:p>
        </w:tc>
        <w:tc>
          <w:tcPr>
            <w:tcW w:w="99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CB2519" w:rsidRDefault="00CB2519" w:rsidP="00277C86">
            <w:pPr>
              <w:spacing w:line="254" w:lineRule="auto"/>
              <w:jc w:val="right"/>
              <w:rPr>
                <w:color w:val="000000"/>
                <w:sz w:val="20"/>
                <w:szCs w:val="20"/>
              </w:rPr>
            </w:pPr>
            <w:r>
              <w:rPr>
                <w:color w:val="000000"/>
                <w:sz w:val="20"/>
                <w:szCs w:val="20"/>
              </w:rPr>
              <w:t>21,018,806,286.00</w:t>
            </w:r>
          </w:p>
        </w:tc>
      </w:tr>
      <w:tr w:rsidR="00CB2519" w:rsidTr="00277C86">
        <w:trPr>
          <w:trHeight w:val="414"/>
        </w:trPr>
        <w:tc>
          <w:tcPr>
            <w:tcW w:w="11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CB2519" w:rsidRDefault="00CB2519" w:rsidP="00277C86">
            <w:pPr>
              <w:spacing w:line="360" w:lineRule="auto"/>
              <w:jc w:val="both"/>
              <w:rPr>
                <w:sz w:val="20"/>
                <w:szCs w:val="20"/>
                <w:lang w:eastAsia="es-MX"/>
              </w:rPr>
            </w:pPr>
            <w:r>
              <w:rPr>
                <w:sz w:val="20"/>
                <w:szCs w:val="20"/>
                <w:lang w:eastAsia="es-MX"/>
              </w:rPr>
              <w:t>Municipios</w:t>
            </w:r>
          </w:p>
        </w:tc>
        <w:tc>
          <w:tcPr>
            <w:tcW w:w="220" w:type="pct"/>
            <w:tcBorders>
              <w:top w:val="nil"/>
              <w:left w:val="single" w:sz="4" w:space="0" w:color="A6A6A6" w:themeColor="background1" w:themeShade="A6"/>
              <w:bottom w:val="nil"/>
              <w:right w:val="single" w:sz="4" w:space="0" w:color="A6A6A6" w:themeColor="background1" w:themeShade="A6"/>
            </w:tcBorders>
            <w:noWrap/>
            <w:vAlign w:val="bottom"/>
            <w:hideMark/>
          </w:tcPr>
          <w:p w:rsidR="00CB2519" w:rsidRDefault="00CB2519" w:rsidP="00277C86">
            <w:pPr>
              <w:rPr>
                <w:sz w:val="20"/>
                <w:szCs w:val="20"/>
                <w:lang w:eastAsia="es-MX"/>
              </w:rPr>
            </w:pPr>
          </w:p>
        </w:tc>
        <w:tc>
          <w:tcPr>
            <w:tcW w:w="109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CB2519" w:rsidRDefault="00CB2519" w:rsidP="00277C86">
            <w:pPr>
              <w:spacing w:line="254" w:lineRule="auto"/>
              <w:jc w:val="right"/>
              <w:rPr>
                <w:color w:val="000000"/>
                <w:sz w:val="20"/>
                <w:szCs w:val="20"/>
              </w:rPr>
            </w:pPr>
            <w:r>
              <w:rPr>
                <w:color w:val="000000"/>
                <w:sz w:val="20"/>
                <w:szCs w:val="20"/>
              </w:rPr>
              <w:t>2,756,085,241.00</w:t>
            </w:r>
          </w:p>
        </w:tc>
        <w:tc>
          <w:tcPr>
            <w:tcW w:w="186" w:type="pct"/>
            <w:tcBorders>
              <w:top w:val="nil"/>
              <w:left w:val="single" w:sz="4" w:space="0" w:color="A6A6A6" w:themeColor="background1" w:themeShade="A6"/>
              <w:bottom w:val="nil"/>
              <w:right w:val="single" w:sz="4" w:space="0" w:color="A6A6A6" w:themeColor="background1" w:themeShade="A6"/>
            </w:tcBorders>
            <w:noWrap/>
            <w:vAlign w:val="bottom"/>
            <w:hideMark/>
          </w:tcPr>
          <w:p w:rsidR="00CB2519" w:rsidRDefault="00CB2519" w:rsidP="00277C86">
            <w:pPr>
              <w:rPr>
                <w:color w:val="000000"/>
                <w:sz w:val="20"/>
                <w:szCs w:val="20"/>
              </w:rPr>
            </w:pPr>
          </w:p>
        </w:tc>
        <w:tc>
          <w:tcPr>
            <w:tcW w:w="109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CB2519" w:rsidRDefault="00CB2519" w:rsidP="00277C86">
            <w:pPr>
              <w:spacing w:line="254" w:lineRule="auto"/>
              <w:jc w:val="right"/>
              <w:rPr>
                <w:color w:val="000000"/>
                <w:sz w:val="20"/>
                <w:szCs w:val="20"/>
              </w:rPr>
            </w:pPr>
            <w:r>
              <w:rPr>
                <w:color w:val="000000"/>
                <w:sz w:val="20"/>
                <w:szCs w:val="20"/>
              </w:rPr>
              <w:t>2,343,412,174.00</w:t>
            </w:r>
          </w:p>
        </w:tc>
        <w:tc>
          <w:tcPr>
            <w:tcW w:w="252" w:type="pct"/>
            <w:tcBorders>
              <w:top w:val="nil"/>
              <w:left w:val="single" w:sz="4" w:space="0" w:color="A6A6A6" w:themeColor="background1" w:themeShade="A6"/>
              <w:bottom w:val="nil"/>
              <w:right w:val="single" w:sz="4" w:space="0" w:color="A6A6A6" w:themeColor="background1" w:themeShade="A6"/>
            </w:tcBorders>
            <w:noWrap/>
            <w:vAlign w:val="bottom"/>
            <w:hideMark/>
          </w:tcPr>
          <w:p w:rsidR="00CB2519" w:rsidRDefault="00CB2519" w:rsidP="00277C86">
            <w:pPr>
              <w:rPr>
                <w:color w:val="000000"/>
                <w:sz w:val="20"/>
                <w:szCs w:val="20"/>
              </w:rPr>
            </w:pPr>
          </w:p>
        </w:tc>
        <w:tc>
          <w:tcPr>
            <w:tcW w:w="99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CB2519" w:rsidRDefault="00CB2519" w:rsidP="00277C86">
            <w:pPr>
              <w:spacing w:line="254" w:lineRule="auto"/>
              <w:jc w:val="right"/>
              <w:rPr>
                <w:color w:val="000000"/>
                <w:sz w:val="20"/>
                <w:szCs w:val="20"/>
              </w:rPr>
            </w:pPr>
            <w:r>
              <w:rPr>
                <w:color w:val="000000"/>
                <w:sz w:val="20"/>
                <w:szCs w:val="20"/>
              </w:rPr>
              <w:t>5,099,497,415.00</w:t>
            </w:r>
          </w:p>
        </w:tc>
      </w:tr>
      <w:tr w:rsidR="00CB2519" w:rsidTr="00277C86">
        <w:trPr>
          <w:trHeight w:val="330"/>
        </w:trPr>
        <w:tc>
          <w:tcPr>
            <w:tcW w:w="11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CCCCC"/>
            <w:vAlign w:val="center"/>
            <w:hideMark/>
          </w:tcPr>
          <w:p w:rsidR="00CB2519" w:rsidRDefault="00CB2519" w:rsidP="00277C86">
            <w:pPr>
              <w:spacing w:line="360" w:lineRule="auto"/>
              <w:jc w:val="center"/>
              <w:rPr>
                <w:b/>
                <w:bCs/>
                <w:sz w:val="20"/>
                <w:szCs w:val="20"/>
                <w:lang w:eastAsia="es-MX"/>
              </w:rPr>
            </w:pPr>
            <w:r>
              <w:rPr>
                <w:b/>
                <w:bCs/>
                <w:sz w:val="20"/>
                <w:szCs w:val="20"/>
                <w:lang w:eastAsia="es-MX"/>
              </w:rPr>
              <w:t>TOTAL</w:t>
            </w:r>
          </w:p>
        </w:tc>
        <w:tc>
          <w:tcPr>
            <w:tcW w:w="220" w:type="pct"/>
            <w:tcBorders>
              <w:top w:val="nil"/>
              <w:left w:val="single" w:sz="4" w:space="0" w:color="A6A6A6" w:themeColor="background1" w:themeShade="A6"/>
              <w:bottom w:val="nil"/>
              <w:right w:val="single" w:sz="4" w:space="0" w:color="A6A6A6" w:themeColor="background1" w:themeShade="A6"/>
            </w:tcBorders>
            <w:noWrap/>
            <w:vAlign w:val="bottom"/>
            <w:hideMark/>
          </w:tcPr>
          <w:p w:rsidR="00CB2519" w:rsidRDefault="00CB2519" w:rsidP="00277C86">
            <w:pPr>
              <w:rPr>
                <w:b/>
                <w:bCs/>
                <w:sz w:val="20"/>
                <w:szCs w:val="20"/>
                <w:lang w:eastAsia="es-MX"/>
              </w:rPr>
            </w:pPr>
          </w:p>
        </w:tc>
        <w:tc>
          <w:tcPr>
            <w:tcW w:w="109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CCCCC"/>
            <w:vAlign w:val="center"/>
            <w:hideMark/>
          </w:tcPr>
          <w:p w:rsidR="00CB2519" w:rsidRDefault="00CB2519" w:rsidP="00277C86">
            <w:pPr>
              <w:spacing w:line="254" w:lineRule="auto"/>
              <w:jc w:val="right"/>
              <w:rPr>
                <w:b/>
                <w:bCs/>
                <w:color w:val="000000"/>
                <w:sz w:val="20"/>
                <w:szCs w:val="20"/>
              </w:rPr>
            </w:pPr>
            <w:r>
              <w:rPr>
                <w:b/>
                <w:bCs/>
                <w:color w:val="000000"/>
                <w:sz w:val="20"/>
                <w:szCs w:val="20"/>
              </w:rPr>
              <w:t>13,738,186,103.00</w:t>
            </w:r>
          </w:p>
        </w:tc>
        <w:tc>
          <w:tcPr>
            <w:tcW w:w="186" w:type="pct"/>
            <w:tcBorders>
              <w:top w:val="nil"/>
              <w:left w:val="single" w:sz="4" w:space="0" w:color="A6A6A6" w:themeColor="background1" w:themeShade="A6"/>
              <w:bottom w:val="nil"/>
              <w:right w:val="single" w:sz="4" w:space="0" w:color="A6A6A6" w:themeColor="background1" w:themeShade="A6"/>
            </w:tcBorders>
            <w:noWrap/>
            <w:vAlign w:val="bottom"/>
            <w:hideMark/>
          </w:tcPr>
          <w:p w:rsidR="00CB2519" w:rsidRDefault="00CB2519" w:rsidP="00277C86">
            <w:pPr>
              <w:rPr>
                <w:b/>
                <w:bCs/>
                <w:color w:val="000000"/>
                <w:sz w:val="20"/>
                <w:szCs w:val="20"/>
              </w:rPr>
            </w:pPr>
          </w:p>
        </w:tc>
        <w:tc>
          <w:tcPr>
            <w:tcW w:w="109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CCCCC"/>
            <w:vAlign w:val="center"/>
            <w:hideMark/>
          </w:tcPr>
          <w:p w:rsidR="00CB2519" w:rsidRDefault="00CB2519" w:rsidP="00277C86">
            <w:pPr>
              <w:spacing w:line="254" w:lineRule="auto"/>
              <w:jc w:val="right"/>
              <w:rPr>
                <w:b/>
                <w:bCs/>
                <w:color w:val="000000"/>
                <w:sz w:val="20"/>
                <w:szCs w:val="20"/>
              </w:rPr>
            </w:pPr>
            <w:r>
              <w:rPr>
                <w:b/>
                <w:bCs/>
                <w:color w:val="000000"/>
                <w:sz w:val="20"/>
                <w:szCs w:val="20"/>
              </w:rPr>
              <w:t>13,906,644,347.00</w:t>
            </w:r>
          </w:p>
        </w:tc>
        <w:tc>
          <w:tcPr>
            <w:tcW w:w="252" w:type="pct"/>
            <w:tcBorders>
              <w:top w:val="nil"/>
              <w:left w:val="single" w:sz="4" w:space="0" w:color="A6A6A6" w:themeColor="background1" w:themeShade="A6"/>
              <w:bottom w:val="nil"/>
              <w:right w:val="single" w:sz="4" w:space="0" w:color="A6A6A6" w:themeColor="background1" w:themeShade="A6"/>
            </w:tcBorders>
            <w:noWrap/>
            <w:vAlign w:val="bottom"/>
            <w:hideMark/>
          </w:tcPr>
          <w:p w:rsidR="00CB2519" w:rsidRDefault="00CB2519" w:rsidP="00277C86">
            <w:pPr>
              <w:rPr>
                <w:b/>
                <w:bCs/>
                <w:color w:val="000000"/>
                <w:sz w:val="20"/>
                <w:szCs w:val="20"/>
              </w:rPr>
            </w:pPr>
          </w:p>
        </w:tc>
        <w:tc>
          <w:tcPr>
            <w:tcW w:w="99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CCCCC"/>
            <w:vAlign w:val="center"/>
            <w:hideMark/>
          </w:tcPr>
          <w:p w:rsidR="00CB2519" w:rsidRDefault="00CB2519" w:rsidP="00277C86">
            <w:pPr>
              <w:spacing w:line="254" w:lineRule="auto"/>
              <w:jc w:val="right"/>
              <w:rPr>
                <w:b/>
                <w:bCs/>
                <w:color w:val="000000"/>
                <w:sz w:val="20"/>
                <w:szCs w:val="20"/>
              </w:rPr>
            </w:pPr>
            <w:r>
              <w:rPr>
                <w:b/>
                <w:bCs/>
                <w:color w:val="000000"/>
                <w:sz w:val="20"/>
                <w:szCs w:val="20"/>
              </w:rPr>
              <w:t>27,644,830,450.00</w:t>
            </w:r>
          </w:p>
        </w:tc>
      </w:tr>
    </w:tbl>
    <w:p w:rsidR="00CB2519" w:rsidRDefault="00CB2519" w:rsidP="00CB2519">
      <w:pPr>
        <w:spacing w:after="200" w:line="360" w:lineRule="auto"/>
        <w:jc w:val="both"/>
        <w:rPr>
          <w:rFonts w:eastAsia="Calibri"/>
          <w:sz w:val="20"/>
          <w:szCs w:val="20"/>
        </w:rPr>
      </w:pPr>
    </w:p>
    <w:p w:rsidR="00CB2519" w:rsidRDefault="00CB2519" w:rsidP="00CB2519">
      <w:pPr>
        <w:spacing w:after="200" w:line="360" w:lineRule="auto"/>
        <w:jc w:val="both"/>
        <w:rPr>
          <w:rFonts w:eastAsia="Calibri"/>
          <w:sz w:val="20"/>
          <w:szCs w:val="20"/>
        </w:rPr>
      </w:pPr>
      <w:r>
        <w:rPr>
          <w:rFonts w:eastAsia="Calibri"/>
          <w:sz w:val="20"/>
          <w:szCs w:val="20"/>
        </w:rPr>
        <w:t xml:space="preserve">Para el Poder Legislativo, se estima un presupuesto </w:t>
      </w:r>
      <w:r>
        <w:rPr>
          <w:rFonts w:eastAsia="Calibri"/>
          <w:color w:val="000000" w:themeColor="text1"/>
          <w:sz w:val="20"/>
          <w:szCs w:val="20"/>
        </w:rPr>
        <w:t xml:space="preserve">total de $446,020,427.00, </w:t>
      </w:r>
      <w:r>
        <w:rPr>
          <w:rFonts w:eastAsia="Calibri"/>
          <w:sz w:val="20"/>
          <w:szCs w:val="20"/>
        </w:rPr>
        <w:t>que representaría un incremento del 6.5%</w:t>
      </w:r>
      <w:r>
        <w:rPr>
          <w:rFonts w:eastAsia="Calibri"/>
          <w:color w:val="FF0000"/>
          <w:sz w:val="20"/>
          <w:szCs w:val="20"/>
        </w:rPr>
        <w:t xml:space="preserve"> </w:t>
      </w:r>
      <w:r>
        <w:rPr>
          <w:rFonts w:eastAsia="Calibri"/>
          <w:sz w:val="20"/>
          <w:szCs w:val="20"/>
        </w:rPr>
        <w:t>respecto de 2023, integrado como sigue:</w:t>
      </w:r>
    </w:p>
    <w:tbl>
      <w:tblPr>
        <w:tblW w:w="5117" w:type="dxa"/>
        <w:jc w:val="center"/>
        <w:tblCellMar>
          <w:left w:w="70" w:type="dxa"/>
          <w:right w:w="70" w:type="dxa"/>
        </w:tblCellMar>
        <w:tblLook w:val="04A0" w:firstRow="1" w:lastRow="0" w:firstColumn="1" w:lastColumn="0" w:noHBand="0" w:noVBand="1"/>
      </w:tblPr>
      <w:tblGrid>
        <w:gridCol w:w="3685"/>
        <w:gridCol w:w="1432"/>
      </w:tblGrid>
      <w:tr w:rsidR="00CB2519" w:rsidTr="00277C86">
        <w:trPr>
          <w:trHeight w:val="532"/>
          <w:tblHeader/>
          <w:jc w:val="center"/>
        </w:trPr>
        <w:tc>
          <w:tcPr>
            <w:tcW w:w="3685" w:type="dxa"/>
            <w:tcBorders>
              <w:top w:val="single" w:sz="8" w:space="0" w:color="A6A6A6"/>
              <w:left w:val="single" w:sz="8" w:space="0" w:color="A6A6A6"/>
              <w:bottom w:val="nil"/>
              <w:right w:val="single" w:sz="8" w:space="0" w:color="A6A6A6"/>
            </w:tcBorders>
            <w:shd w:val="clear" w:color="auto" w:fill="CCCCCC"/>
            <w:vAlign w:val="center"/>
            <w:hideMark/>
          </w:tcPr>
          <w:p w:rsidR="00CB2519" w:rsidRDefault="00CB2519" w:rsidP="00277C86">
            <w:pPr>
              <w:spacing w:line="360" w:lineRule="auto"/>
              <w:jc w:val="center"/>
              <w:rPr>
                <w:b/>
                <w:bCs/>
                <w:sz w:val="20"/>
                <w:szCs w:val="20"/>
                <w:lang w:eastAsia="es-MX"/>
              </w:rPr>
            </w:pPr>
            <w:r>
              <w:rPr>
                <w:b/>
                <w:bCs/>
                <w:sz w:val="20"/>
                <w:szCs w:val="20"/>
                <w:lang w:eastAsia="es-MX"/>
              </w:rPr>
              <w:t>PODER LEGISLATIVO</w:t>
            </w:r>
          </w:p>
        </w:tc>
        <w:tc>
          <w:tcPr>
            <w:tcW w:w="1432" w:type="dxa"/>
            <w:tcBorders>
              <w:top w:val="single" w:sz="8" w:space="0" w:color="A6A6A6"/>
              <w:left w:val="nil"/>
              <w:bottom w:val="nil"/>
              <w:right w:val="single" w:sz="8" w:space="0" w:color="A6A6A6"/>
            </w:tcBorders>
            <w:shd w:val="clear" w:color="auto" w:fill="CCCCCC"/>
            <w:vAlign w:val="center"/>
            <w:hideMark/>
          </w:tcPr>
          <w:p w:rsidR="00CB2519" w:rsidRDefault="00CB2519" w:rsidP="00277C86">
            <w:pPr>
              <w:spacing w:line="360" w:lineRule="auto"/>
              <w:jc w:val="center"/>
              <w:rPr>
                <w:b/>
                <w:bCs/>
                <w:sz w:val="20"/>
                <w:szCs w:val="20"/>
                <w:lang w:eastAsia="es-MX"/>
              </w:rPr>
            </w:pPr>
            <w:r>
              <w:rPr>
                <w:b/>
                <w:bCs/>
                <w:sz w:val="20"/>
                <w:szCs w:val="20"/>
                <w:lang w:eastAsia="es-MX"/>
              </w:rPr>
              <w:t>MONTO</w:t>
            </w:r>
          </w:p>
          <w:p w:rsidR="00CB2519" w:rsidRDefault="00CB2519" w:rsidP="00277C86">
            <w:pPr>
              <w:spacing w:line="360" w:lineRule="auto"/>
              <w:jc w:val="center"/>
              <w:rPr>
                <w:b/>
                <w:bCs/>
                <w:sz w:val="20"/>
                <w:szCs w:val="20"/>
                <w:lang w:eastAsia="es-MX"/>
              </w:rPr>
            </w:pPr>
            <w:r>
              <w:rPr>
                <w:b/>
                <w:bCs/>
                <w:sz w:val="20"/>
                <w:szCs w:val="20"/>
                <w:lang w:eastAsia="es-MX"/>
              </w:rPr>
              <w:t xml:space="preserve"> ($)</w:t>
            </w:r>
          </w:p>
        </w:tc>
      </w:tr>
      <w:tr w:rsidR="00CB2519" w:rsidTr="00277C86">
        <w:trPr>
          <w:trHeight w:val="102"/>
          <w:jc w:val="center"/>
        </w:trPr>
        <w:tc>
          <w:tcPr>
            <w:tcW w:w="3685" w:type="dxa"/>
            <w:tcBorders>
              <w:top w:val="single" w:sz="8" w:space="0" w:color="A6A6A6"/>
              <w:left w:val="single" w:sz="8" w:space="0" w:color="A6A6A6"/>
              <w:bottom w:val="single" w:sz="8" w:space="0" w:color="A6A6A6"/>
              <w:right w:val="single" w:sz="8" w:space="0" w:color="A6A6A6"/>
            </w:tcBorders>
            <w:vAlign w:val="center"/>
            <w:hideMark/>
          </w:tcPr>
          <w:p w:rsidR="00CB2519" w:rsidRDefault="00CB2519" w:rsidP="00277C86">
            <w:pPr>
              <w:spacing w:line="360" w:lineRule="auto"/>
              <w:jc w:val="both"/>
              <w:rPr>
                <w:sz w:val="20"/>
                <w:szCs w:val="20"/>
                <w:lang w:eastAsia="es-MX"/>
              </w:rPr>
            </w:pPr>
            <w:r>
              <w:rPr>
                <w:sz w:val="20"/>
                <w:szCs w:val="20"/>
                <w:lang w:eastAsia="es-MX"/>
              </w:rPr>
              <w:t>Congreso del Estado</w:t>
            </w:r>
          </w:p>
        </w:tc>
        <w:tc>
          <w:tcPr>
            <w:tcW w:w="1432" w:type="dxa"/>
            <w:tcBorders>
              <w:top w:val="single" w:sz="8" w:space="0" w:color="A6A6A6"/>
              <w:left w:val="nil"/>
              <w:bottom w:val="single" w:sz="8" w:space="0" w:color="A6A6A6"/>
              <w:right w:val="single" w:sz="8" w:space="0" w:color="A6A6A6"/>
            </w:tcBorders>
            <w:vAlign w:val="center"/>
            <w:hideMark/>
          </w:tcPr>
          <w:p w:rsidR="00CB2519" w:rsidRDefault="00CB2519" w:rsidP="00277C86">
            <w:pPr>
              <w:spacing w:line="254" w:lineRule="auto"/>
              <w:jc w:val="right"/>
              <w:rPr>
                <w:color w:val="000000"/>
                <w:sz w:val="20"/>
                <w:szCs w:val="20"/>
                <w:lang w:val="es-MX" w:eastAsia="es-MX"/>
              </w:rPr>
            </w:pPr>
            <w:r>
              <w:rPr>
                <w:color w:val="000000"/>
                <w:sz w:val="20"/>
                <w:szCs w:val="20"/>
              </w:rPr>
              <w:t>356,742,695.00</w:t>
            </w:r>
          </w:p>
        </w:tc>
      </w:tr>
      <w:tr w:rsidR="00CB2519" w:rsidTr="00277C86">
        <w:trPr>
          <w:trHeight w:val="319"/>
          <w:jc w:val="center"/>
        </w:trPr>
        <w:tc>
          <w:tcPr>
            <w:tcW w:w="3685" w:type="dxa"/>
            <w:tcBorders>
              <w:top w:val="nil"/>
              <w:left w:val="single" w:sz="8" w:space="0" w:color="A6A6A6"/>
              <w:bottom w:val="single" w:sz="8" w:space="0" w:color="A6A6A6"/>
              <w:right w:val="single" w:sz="8" w:space="0" w:color="A6A6A6"/>
            </w:tcBorders>
            <w:vAlign w:val="center"/>
            <w:hideMark/>
          </w:tcPr>
          <w:p w:rsidR="00CB2519" w:rsidRDefault="00CB2519" w:rsidP="00277C86">
            <w:pPr>
              <w:spacing w:line="360" w:lineRule="auto"/>
              <w:jc w:val="both"/>
              <w:rPr>
                <w:sz w:val="20"/>
                <w:szCs w:val="20"/>
                <w:lang w:eastAsia="es-MX"/>
              </w:rPr>
            </w:pPr>
            <w:r>
              <w:rPr>
                <w:sz w:val="20"/>
                <w:szCs w:val="20"/>
                <w:lang w:eastAsia="es-MX"/>
              </w:rPr>
              <w:t xml:space="preserve">Órgano de Fiscalización Superior </w:t>
            </w:r>
          </w:p>
        </w:tc>
        <w:tc>
          <w:tcPr>
            <w:tcW w:w="1432" w:type="dxa"/>
            <w:tcBorders>
              <w:top w:val="nil"/>
              <w:left w:val="nil"/>
              <w:bottom w:val="single" w:sz="8" w:space="0" w:color="A6A6A6"/>
              <w:right w:val="single" w:sz="8" w:space="0" w:color="A6A6A6"/>
            </w:tcBorders>
            <w:vAlign w:val="center"/>
            <w:hideMark/>
          </w:tcPr>
          <w:p w:rsidR="00CB2519" w:rsidRDefault="00CB2519" w:rsidP="00277C86">
            <w:pPr>
              <w:spacing w:line="254" w:lineRule="auto"/>
              <w:jc w:val="right"/>
              <w:rPr>
                <w:color w:val="000000"/>
                <w:sz w:val="20"/>
                <w:szCs w:val="20"/>
              </w:rPr>
            </w:pPr>
            <w:r>
              <w:rPr>
                <w:color w:val="000000"/>
                <w:sz w:val="20"/>
                <w:szCs w:val="20"/>
              </w:rPr>
              <w:t>89,277,732.00</w:t>
            </w:r>
          </w:p>
        </w:tc>
      </w:tr>
      <w:tr w:rsidR="00CB2519" w:rsidTr="00277C86">
        <w:trPr>
          <w:trHeight w:val="84"/>
          <w:jc w:val="center"/>
        </w:trPr>
        <w:tc>
          <w:tcPr>
            <w:tcW w:w="3685" w:type="dxa"/>
            <w:tcBorders>
              <w:top w:val="nil"/>
              <w:left w:val="single" w:sz="8" w:space="0" w:color="A6A6A6"/>
              <w:bottom w:val="single" w:sz="8" w:space="0" w:color="A6A6A6"/>
              <w:right w:val="single" w:sz="8" w:space="0" w:color="A6A6A6"/>
            </w:tcBorders>
            <w:shd w:val="clear" w:color="auto" w:fill="CCCCCC"/>
            <w:vAlign w:val="center"/>
            <w:hideMark/>
          </w:tcPr>
          <w:p w:rsidR="00CB2519" w:rsidRDefault="00CB2519" w:rsidP="00277C86">
            <w:pPr>
              <w:spacing w:line="360" w:lineRule="auto"/>
              <w:jc w:val="center"/>
              <w:rPr>
                <w:b/>
                <w:bCs/>
                <w:sz w:val="20"/>
                <w:szCs w:val="20"/>
                <w:lang w:eastAsia="es-MX"/>
              </w:rPr>
            </w:pPr>
            <w:r>
              <w:rPr>
                <w:b/>
                <w:bCs/>
                <w:sz w:val="20"/>
                <w:szCs w:val="20"/>
                <w:lang w:eastAsia="es-MX"/>
              </w:rPr>
              <w:t>TOTAL</w:t>
            </w:r>
          </w:p>
        </w:tc>
        <w:tc>
          <w:tcPr>
            <w:tcW w:w="1432" w:type="dxa"/>
            <w:tcBorders>
              <w:top w:val="nil"/>
              <w:left w:val="nil"/>
              <w:bottom w:val="single" w:sz="8" w:space="0" w:color="A6A6A6"/>
              <w:right w:val="single" w:sz="8" w:space="0" w:color="A6A6A6"/>
            </w:tcBorders>
            <w:shd w:val="clear" w:color="auto" w:fill="CCCCCC"/>
            <w:vAlign w:val="center"/>
            <w:hideMark/>
          </w:tcPr>
          <w:p w:rsidR="00CB2519" w:rsidRDefault="00CB2519" w:rsidP="00277C86">
            <w:pPr>
              <w:spacing w:line="254" w:lineRule="auto"/>
              <w:jc w:val="right"/>
              <w:rPr>
                <w:b/>
                <w:bCs/>
                <w:color w:val="000000"/>
                <w:sz w:val="20"/>
                <w:szCs w:val="20"/>
              </w:rPr>
            </w:pPr>
            <w:r>
              <w:rPr>
                <w:b/>
                <w:bCs/>
                <w:color w:val="000000"/>
                <w:sz w:val="20"/>
                <w:szCs w:val="20"/>
              </w:rPr>
              <w:t>446,020,427.00</w:t>
            </w:r>
          </w:p>
        </w:tc>
      </w:tr>
    </w:tbl>
    <w:p w:rsidR="00CB2519" w:rsidRDefault="00CB2519" w:rsidP="00CB2519">
      <w:pPr>
        <w:spacing w:after="200" w:line="360" w:lineRule="auto"/>
        <w:jc w:val="both"/>
        <w:rPr>
          <w:rFonts w:eastAsia="Calibri"/>
          <w:sz w:val="20"/>
          <w:szCs w:val="20"/>
        </w:rPr>
      </w:pPr>
    </w:p>
    <w:p w:rsidR="00CB2519" w:rsidRDefault="00CB2519" w:rsidP="00CB2519">
      <w:pPr>
        <w:spacing w:after="200" w:line="360" w:lineRule="auto"/>
        <w:jc w:val="center"/>
        <w:rPr>
          <w:rFonts w:eastAsia="Calibri"/>
          <w:b/>
          <w:sz w:val="20"/>
          <w:szCs w:val="20"/>
        </w:rPr>
      </w:pPr>
      <w:r>
        <w:rPr>
          <w:rFonts w:eastAsia="Calibri"/>
          <w:b/>
          <w:sz w:val="20"/>
          <w:szCs w:val="20"/>
        </w:rPr>
        <w:t>ÓRGANOS AUTÓNOMOS</w:t>
      </w:r>
      <w:r>
        <w:rPr>
          <w:rFonts w:eastAsia="Calibri"/>
          <w:sz w:val="20"/>
          <w:szCs w:val="20"/>
        </w:rPr>
        <w:t xml:space="preserve">.  </w:t>
      </w:r>
    </w:p>
    <w:p w:rsidR="00CB2519" w:rsidRDefault="00CB2519" w:rsidP="00CB2519">
      <w:pPr>
        <w:spacing w:after="200" w:line="360" w:lineRule="auto"/>
        <w:jc w:val="both"/>
        <w:rPr>
          <w:rFonts w:eastAsia="Calibri"/>
          <w:sz w:val="20"/>
          <w:szCs w:val="20"/>
        </w:rPr>
      </w:pPr>
      <w:r>
        <w:rPr>
          <w:rFonts w:eastAsia="Calibri"/>
          <w:sz w:val="20"/>
          <w:szCs w:val="20"/>
        </w:rPr>
        <w:t>Para los Órganos Autónomos, se estima un presupuesto global de $598,353,602.00, como a continuación se detalla:</w:t>
      </w:r>
    </w:p>
    <w:tbl>
      <w:tblPr>
        <w:tblW w:w="6015" w:type="dxa"/>
        <w:jc w:val="center"/>
        <w:tblCellMar>
          <w:left w:w="70" w:type="dxa"/>
          <w:right w:w="70" w:type="dxa"/>
        </w:tblCellMar>
        <w:tblLook w:val="04A0" w:firstRow="1" w:lastRow="0" w:firstColumn="1" w:lastColumn="0" w:noHBand="0" w:noVBand="1"/>
      </w:tblPr>
      <w:tblGrid>
        <w:gridCol w:w="4625"/>
        <w:gridCol w:w="1390"/>
      </w:tblGrid>
      <w:tr w:rsidR="00CB2519" w:rsidTr="00277C86">
        <w:trPr>
          <w:trHeight w:val="396"/>
          <w:tblHeader/>
          <w:jc w:val="center"/>
        </w:trPr>
        <w:tc>
          <w:tcPr>
            <w:tcW w:w="4625" w:type="dxa"/>
            <w:tcBorders>
              <w:top w:val="single" w:sz="8" w:space="0" w:color="A6A6A6"/>
              <w:left w:val="single" w:sz="8" w:space="0" w:color="A6A6A6"/>
              <w:bottom w:val="nil"/>
              <w:right w:val="single" w:sz="8" w:space="0" w:color="A6A6A6"/>
            </w:tcBorders>
            <w:shd w:val="clear" w:color="auto" w:fill="CCCCCC"/>
            <w:vAlign w:val="center"/>
            <w:hideMark/>
          </w:tcPr>
          <w:p w:rsidR="00CB2519" w:rsidRDefault="00CB2519" w:rsidP="00277C86">
            <w:pPr>
              <w:spacing w:line="360" w:lineRule="auto"/>
              <w:jc w:val="center"/>
              <w:rPr>
                <w:b/>
                <w:bCs/>
                <w:sz w:val="20"/>
                <w:szCs w:val="20"/>
                <w:lang w:eastAsia="es-MX"/>
              </w:rPr>
            </w:pPr>
            <w:r>
              <w:rPr>
                <w:b/>
                <w:bCs/>
                <w:sz w:val="20"/>
                <w:szCs w:val="20"/>
                <w:lang w:eastAsia="es-MX"/>
              </w:rPr>
              <w:t>AUTÓNOMOS</w:t>
            </w:r>
          </w:p>
        </w:tc>
        <w:tc>
          <w:tcPr>
            <w:tcW w:w="1390" w:type="dxa"/>
            <w:tcBorders>
              <w:top w:val="single" w:sz="8" w:space="0" w:color="A6A6A6"/>
              <w:left w:val="nil"/>
              <w:bottom w:val="nil"/>
              <w:right w:val="single" w:sz="8" w:space="0" w:color="A6A6A6"/>
            </w:tcBorders>
            <w:shd w:val="clear" w:color="auto" w:fill="CCCCCC"/>
            <w:vAlign w:val="center"/>
            <w:hideMark/>
          </w:tcPr>
          <w:p w:rsidR="00CB2519" w:rsidRDefault="00CB2519" w:rsidP="00277C86">
            <w:pPr>
              <w:spacing w:line="360" w:lineRule="auto"/>
              <w:jc w:val="center"/>
              <w:rPr>
                <w:b/>
                <w:bCs/>
                <w:sz w:val="20"/>
                <w:szCs w:val="20"/>
                <w:lang w:eastAsia="es-MX"/>
              </w:rPr>
            </w:pPr>
            <w:r>
              <w:rPr>
                <w:b/>
                <w:bCs/>
                <w:sz w:val="20"/>
                <w:szCs w:val="20"/>
                <w:lang w:eastAsia="es-MX"/>
              </w:rPr>
              <w:t xml:space="preserve">MONTO  </w:t>
            </w:r>
          </w:p>
          <w:p w:rsidR="00CB2519" w:rsidRDefault="00CB2519" w:rsidP="00277C86">
            <w:pPr>
              <w:spacing w:line="360" w:lineRule="auto"/>
              <w:jc w:val="center"/>
              <w:rPr>
                <w:b/>
                <w:bCs/>
                <w:sz w:val="20"/>
                <w:szCs w:val="20"/>
                <w:lang w:eastAsia="es-MX"/>
              </w:rPr>
            </w:pPr>
            <w:r>
              <w:rPr>
                <w:b/>
                <w:bCs/>
                <w:sz w:val="20"/>
                <w:szCs w:val="20"/>
                <w:lang w:eastAsia="es-MX"/>
              </w:rPr>
              <w:t>($)</w:t>
            </w:r>
          </w:p>
        </w:tc>
      </w:tr>
      <w:tr w:rsidR="00CB2519" w:rsidTr="00277C86">
        <w:trPr>
          <w:trHeight w:val="315"/>
          <w:jc w:val="center"/>
        </w:trPr>
        <w:tc>
          <w:tcPr>
            <w:tcW w:w="4625" w:type="dxa"/>
            <w:tcBorders>
              <w:top w:val="single" w:sz="8" w:space="0" w:color="A6A6A6"/>
              <w:left w:val="single" w:sz="8" w:space="0" w:color="A6A6A6"/>
              <w:bottom w:val="single" w:sz="8" w:space="0" w:color="A6A6A6"/>
              <w:right w:val="single" w:sz="8" w:space="0" w:color="A6A6A6"/>
            </w:tcBorders>
            <w:vAlign w:val="center"/>
            <w:hideMark/>
          </w:tcPr>
          <w:p w:rsidR="00CB2519" w:rsidRDefault="00CB2519" w:rsidP="00277C86">
            <w:pPr>
              <w:spacing w:line="360" w:lineRule="auto"/>
              <w:jc w:val="both"/>
              <w:rPr>
                <w:sz w:val="20"/>
                <w:szCs w:val="20"/>
                <w:lang w:eastAsia="es-MX"/>
              </w:rPr>
            </w:pPr>
            <w:r>
              <w:rPr>
                <w:sz w:val="20"/>
                <w:szCs w:val="20"/>
                <w:lang w:eastAsia="es-MX"/>
              </w:rPr>
              <w:t>Universidad Autónoma de Tlaxcala</w:t>
            </w:r>
          </w:p>
        </w:tc>
        <w:tc>
          <w:tcPr>
            <w:tcW w:w="1390" w:type="dxa"/>
            <w:tcBorders>
              <w:top w:val="single" w:sz="8" w:space="0" w:color="A6A6A6"/>
              <w:left w:val="nil"/>
              <w:bottom w:val="single" w:sz="8" w:space="0" w:color="A6A6A6"/>
              <w:right w:val="single" w:sz="8" w:space="0" w:color="A6A6A6"/>
            </w:tcBorders>
            <w:vAlign w:val="center"/>
            <w:hideMark/>
          </w:tcPr>
          <w:p w:rsidR="00CB2519" w:rsidRDefault="00CB2519" w:rsidP="00277C86">
            <w:pPr>
              <w:spacing w:line="254" w:lineRule="auto"/>
              <w:jc w:val="right"/>
              <w:rPr>
                <w:color w:val="000000"/>
                <w:sz w:val="20"/>
                <w:szCs w:val="20"/>
                <w:lang w:val="es-MX" w:eastAsia="es-MX"/>
              </w:rPr>
            </w:pPr>
            <w:r>
              <w:rPr>
                <w:color w:val="000000"/>
                <w:sz w:val="20"/>
                <w:szCs w:val="20"/>
              </w:rPr>
              <w:t>133,394,782.00</w:t>
            </w:r>
          </w:p>
        </w:tc>
      </w:tr>
      <w:tr w:rsidR="00CB2519" w:rsidTr="00277C86">
        <w:trPr>
          <w:trHeight w:val="615"/>
          <w:jc w:val="center"/>
        </w:trPr>
        <w:tc>
          <w:tcPr>
            <w:tcW w:w="4625" w:type="dxa"/>
            <w:tcBorders>
              <w:top w:val="nil"/>
              <w:left w:val="single" w:sz="8" w:space="0" w:color="A6A6A6"/>
              <w:bottom w:val="single" w:sz="8" w:space="0" w:color="A6A6A6"/>
              <w:right w:val="single" w:sz="8" w:space="0" w:color="A6A6A6"/>
            </w:tcBorders>
            <w:vAlign w:val="center"/>
            <w:hideMark/>
          </w:tcPr>
          <w:p w:rsidR="00CB2519" w:rsidRDefault="00CB2519" w:rsidP="00277C86">
            <w:pPr>
              <w:spacing w:line="360" w:lineRule="auto"/>
              <w:jc w:val="both"/>
              <w:rPr>
                <w:sz w:val="20"/>
                <w:szCs w:val="20"/>
                <w:lang w:eastAsia="es-MX"/>
              </w:rPr>
            </w:pPr>
            <w:r>
              <w:rPr>
                <w:sz w:val="20"/>
                <w:szCs w:val="20"/>
                <w:lang w:eastAsia="es-MX"/>
              </w:rPr>
              <w:t>Comisión Estatal de Derechos Humanos</w:t>
            </w:r>
          </w:p>
        </w:tc>
        <w:tc>
          <w:tcPr>
            <w:tcW w:w="1390" w:type="dxa"/>
            <w:tcBorders>
              <w:top w:val="nil"/>
              <w:left w:val="nil"/>
              <w:bottom w:val="single" w:sz="8" w:space="0" w:color="A6A6A6"/>
              <w:right w:val="single" w:sz="8" w:space="0" w:color="A6A6A6"/>
            </w:tcBorders>
            <w:vAlign w:val="center"/>
            <w:hideMark/>
          </w:tcPr>
          <w:p w:rsidR="00CB2519" w:rsidRDefault="00CB2519" w:rsidP="00277C86">
            <w:pPr>
              <w:spacing w:line="254" w:lineRule="auto"/>
              <w:jc w:val="right"/>
              <w:rPr>
                <w:color w:val="000000"/>
                <w:sz w:val="20"/>
                <w:szCs w:val="20"/>
              </w:rPr>
            </w:pPr>
            <w:r>
              <w:rPr>
                <w:color w:val="000000"/>
                <w:sz w:val="20"/>
                <w:szCs w:val="20"/>
              </w:rPr>
              <w:t>26,095,253.00</w:t>
            </w:r>
          </w:p>
        </w:tc>
      </w:tr>
      <w:tr w:rsidR="00CB2519" w:rsidTr="00277C86">
        <w:trPr>
          <w:trHeight w:val="315"/>
          <w:jc w:val="center"/>
        </w:trPr>
        <w:tc>
          <w:tcPr>
            <w:tcW w:w="4625" w:type="dxa"/>
            <w:tcBorders>
              <w:top w:val="nil"/>
              <w:left w:val="single" w:sz="8" w:space="0" w:color="A6A6A6"/>
              <w:bottom w:val="single" w:sz="8" w:space="0" w:color="A6A6A6"/>
              <w:right w:val="single" w:sz="8" w:space="0" w:color="A6A6A6"/>
            </w:tcBorders>
            <w:vAlign w:val="center"/>
            <w:hideMark/>
          </w:tcPr>
          <w:p w:rsidR="00CB2519" w:rsidRDefault="00CB2519" w:rsidP="00277C86">
            <w:pPr>
              <w:spacing w:line="360" w:lineRule="auto"/>
              <w:jc w:val="both"/>
              <w:rPr>
                <w:sz w:val="20"/>
                <w:szCs w:val="20"/>
                <w:lang w:eastAsia="es-MX"/>
              </w:rPr>
            </w:pPr>
            <w:r>
              <w:rPr>
                <w:sz w:val="20"/>
                <w:szCs w:val="20"/>
                <w:lang w:eastAsia="es-MX"/>
              </w:rPr>
              <w:t>Instituto Tlaxcalteca de Elecciones</w:t>
            </w:r>
          </w:p>
        </w:tc>
        <w:tc>
          <w:tcPr>
            <w:tcW w:w="1390" w:type="dxa"/>
            <w:tcBorders>
              <w:top w:val="nil"/>
              <w:left w:val="nil"/>
              <w:bottom w:val="single" w:sz="8" w:space="0" w:color="A6A6A6"/>
              <w:right w:val="single" w:sz="8" w:space="0" w:color="A6A6A6"/>
            </w:tcBorders>
            <w:vAlign w:val="center"/>
            <w:hideMark/>
          </w:tcPr>
          <w:p w:rsidR="00CB2519" w:rsidRDefault="00CB2519" w:rsidP="00277C86">
            <w:pPr>
              <w:spacing w:line="254" w:lineRule="auto"/>
              <w:jc w:val="right"/>
              <w:rPr>
                <w:color w:val="000000"/>
                <w:sz w:val="20"/>
                <w:szCs w:val="20"/>
              </w:rPr>
            </w:pPr>
            <w:r>
              <w:rPr>
                <w:color w:val="000000"/>
                <w:sz w:val="20"/>
                <w:szCs w:val="20"/>
              </w:rPr>
              <w:t>275,689,154.00</w:t>
            </w:r>
          </w:p>
        </w:tc>
      </w:tr>
      <w:tr w:rsidR="00CB2519" w:rsidTr="00277C86">
        <w:trPr>
          <w:trHeight w:val="521"/>
          <w:jc w:val="center"/>
        </w:trPr>
        <w:tc>
          <w:tcPr>
            <w:tcW w:w="4625" w:type="dxa"/>
            <w:tcBorders>
              <w:top w:val="nil"/>
              <w:left w:val="single" w:sz="8" w:space="0" w:color="A6A6A6"/>
              <w:bottom w:val="single" w:sz="8" w:space="0" w:color="A6A6A6"/>
              <w:right w:val="single" w:sz="8" w:space="0" w:color="A6A6A6"/>
            </w:tcBorders>
            <w:vAlign w:val="center"/>
            <w:hideMark/>
          </w:tcPr>
          <w:p w:rsidR="00CB2519" w:rsidRDefault="00CB2519" w:rsidP="00277C86">
            <w:pPr>
              <w:spacing w:line="360" w:lineRule="auto"/>
              <w:jc w:val="both"/>
              <w:rPr>
                <w:sz w:val="20"/>
                <w:szCs w:val="20"/>
                <w:lang w:eastAsia="es-MX"/>
              </w:rPr>
            </w:pPr>
            <w:r>
              <w:rPr>
                <w:sz w:val="20"/>
                <w:szCs w:val="20"/>
                <w:lang w:eastAsia="es-MX"/>
              </w:rPr>
              <w:t>Instituto de Acceso a la Información Pública y Protección de Datos Personales para el Estado de Tlaxcala</w:t>
            </w:r>
          </w:p>
        </w:tc>
        <w:tc>
          <w:tcPr>
            <w:tcW w:w="1390" w:type="dxa"/>
            <w:tcBorders>
              <w:top w:val="nil"/>
              <w:left w:val="nil"/>
              <w:bottom w:val="single" w:sz="8" w:space="0" w:color="A6A6A6"/>
              <w:right w:val="single" w:sz="8" w:space="0" w:color="A6A6A6"/>
            </w:tcBorders>
            <w:vAlign w:val="center"/>
            <w:hideMark/>
          </w:tcPr>
          <w:p w:rsidR="00CB2519" w:rsidRDefault="00CB2519" w:rsidP="00277C86">
            <w:pPr>
              <w:spacing w:line="254" w:lineRule="auto"/>
              <w:jc w:val="right"/>
              <w:rPr>
                <w:color w:val="000000"/>
                <w:sz w:val="20"/>
                <w:szCs w:val="20"/>
              </w:rPr>
            </w:pPr>
            <w:r>
              <w:rPr>
                <w:color w:val="000000"/>
                <w:sz w:val="20"/>
                <w:szCs w:val="20"/>
              </w:rPr>
              <w:t>21,043,057.00</w:t>
            </w:r>
          </w:p>
        </w:tc>
      </w:tr>
      <w:tr w:rsidR="00CB2519" w:rsidTr="00277C86">
        <w:trPr>
          <w:trHeight w:val="315"/>
          <w:jc w:val="center"/>
        </w:trPr>
        <w:tc>
          <w:tcPr>
            <w:tcW w:w="4625" w:type="dxa"/>
            <w:tcBorders>
              <w:top w:val="nil"/>
              <w:left w:val="single" w:sz="8" w:space="0" w:color="A6A6A6"/>
              <w:bottom w:val="single" w:sz="8" w:space="0" w:color="A6A6A6"/>
              <w:right w:val="single" w:sz="8" w:space="0" w:color="A6A6A6"/>
            </w:tcBorders>
            <w:vAlign w:val="center"/>
            <w:hideMark/>
          </w:tcPr>
          <w:p w:rsidR="00CB2519" w:rsidRDefault="00CB2519" w:rsidP="00277C86">
            <w:pPr>
              <w:spacing w:line="360" w:lineRule="auto"/>
              <w:jc w:val="both"/>
              <w:rPr>
                <w:sz w:val="20"/>
                <w:szCs w:val="20"/>
                <w:lang w:eastAsia="es-MX"/>
              </w:rPr>
            </w:pPr>
            <w:r>
              <w:rPr>
                <w:sz w:val="20"/>
                <w:szCs w:val="20"/>
                <w:lang w:eastAsia="es-MX"/>
              </w:rPr>
              <w:lastRenderedPageBreak/>
              <w:t>Tribunal de Conciliación y Arbitraje del Estado</w:t>
            </w:r>
          </w:p>
        </w:tc>
        <w:tc>
          <w:tcPr>
            <w:tcW w:w="1390" w:type="dxa"/>
            <w:tcBorders>
              <w:top w:val="nil"/>
              <w:left w:val="nil"/>
              <w:bottom w:val="single" w:sz="8" w:space="0" w:color="A6A6A6"/>
              <w:right w:val="single" w:sz="8" w:space="0" w:color="A6A6A6"/>
            </w:tcBorders>
            <w:vAlign w:val="center"/>
            <w:hideMark/>
          </w:tcPr>
          <w:p w:rsidR="00CB2519" w:rsidRDefault="00CB2519" w:rsidP="00277C86">
            <w:pPr>
              <w:spacing w:line="254" w:lineRule="auto"/>
              <w:jc w:val="right"/>
              <w:rPr>
                <w:color w:val="000000"/>
                <w:sz w:val="20"/>
                <w:szCs w:val="20"/>
              </w:rPr>
            </w:pPr>
            <w:r>
              <w:rPr>
                <w:color w:val="000000"/>
                <w:sz w:val="20"/>
                <w:szCs w:val="20"/>
              </w:rPr>
              <w:t>18,331,909.00</w:t>
            </w:r>
          </w:p>
        </w:tc>
      </w:tr>
      <w:tr w:rsidR="00CB2519" w:rsidTr="00277C86">
        <w:trPr>
          <w:trHeight w:val="315"/>
          <w:jc w:val="center"/>
        </w:trPr>
        <w:tc>
          <w:tcPr>
            <w:tcW w:w="4625" w:type="dxa"/>
            <w:tcBorders>
              <w:top w:val="nil"/>
              <w:left w:val="single" w:sz="8" w:space="0" w:color="A6A6A6"/>
              <w:bottom w:val="single" w:sz="8" w:space="0" w:color="A6A6A6"/>
              <w:right w:val="single" w:sz="8" w:space="0" w:color="A6A6A6"/>
            </w:tcBorders>
            <w:vAlign w:val="center"/>
            <w:hideMark/>
          </w:tcPr>
          <w:p w:rsidR="00CB2519" w:rsidRDefault="00CB2519" w:rsidP="00277C86">
            <w:pPr>
              <w:spacing w:line="360" w:lineRule="auto"/>
              <w:jc w:val="both"/>
              <w:rPr>
                <w:sz w:val="20"/>
                <w:szCs w:val="20"/>
                <w:lang w:eastAsia="es-MX"/>
              </w:rPr>
            </w:pPr>
            <w:r>
              <w:rPr>
                <w:sz w:val="20"/>
                <w:szCs w:val="20"/>
                <w:lang w:eastAsia="es-MX"/>
              </w:rPr>
              <w:t>Tribunal Electoral de Tlaxcala</w:t>
            </w:r>
          </w:p>
        </w:tc>
        <w:tc>
          <w:tcPr>
            <w:tcW w:w="1390" w:type="dxa"/>
            <w:tcBorders>
              <w:top w:val="nil"/>
              <w:left w:val="nil"/>
              <w:bottom w:val="single" w:sz="8" w:space="0" w:color="A6A6A6"/>
              <w:right w:val="single" w:sz="8" w:space="0" w:color="A6A6A6"/>
            </w:tcBorders>
            <w:vAlign w:val="center"/>
            <w:hideMark/>
          </w:tcPr>
          <w:p w:rsidR="00CB2519" w:rsidRDefault="00CB2519" w:rsidP="00277C86">
            <w:pPr>
              <w:spacing w:line="254" w:lineRule="auto"/>
              <w:jc w:val="right"/>
              <w:rPr>
                <w:color w:val="000000"/>
                <w:sz w:val="20"/>
                <w:szCs w:val="20"/>
              </w:rPr>
            </w:pPr>
            <w:r>
              <w:rPr>
                <w:color w:val="000000"/>
                <w:sz w:val="20"/>
                <w:szCs w:val="20"/>
              </w:rPr>
              <w:t>45,907,570.00</w:t>
            </w:r>
          </w:p>
        </w:tc>
      </w:tr>
      <w:tr w:rsidR="00CB2519" w:rsidTr="00277C86">
        <w:trPr>
          <w:trHeight w:val="315"/>
          <w:jc w:val="center"/>
        </w:trPr>
        <w:tc>
          <w:tcPr>
            <w:tcW w:w="4625" w:type="dxa"/>
            <w:tcBorders>
              <w:top w:val="nil"/>
              <w:left w:val="single" w:sz="8" w:space="0" w:color="A6A6A6"/>
              <w:bottom w:val="single" w:sz="8" w:space="0" w:color="A6A6A6"/>
              <w:right w:val="single" w:sz="8" w:space="0" w:color="A6A6A6"/>
            </w:tcBorders>
            <w:vAlign w:val="center"/>
            <w:hideMark/>
          </w:tcPr>
          <w:p w:rsidR="00CB2519" w:rsidRDefault="00CB2519" w:rsidP="00277C86">
            <w:pPr>
              <w:spacing w:line="360" w:lineRule="auto"/>
              <w:jc w:val="both"/>
              <w:rPr>
                <w:sz w:val="20"/>
                <w:szCs w:val="20"/>
                <w:lang w:eastAsia="es-MX"/>
              </w:rPr>
            </w:pPr>
            <w:r>
              <w:rPr>
                <w:sz w:val="20"/>
                <w:szCs w:val="20"/>
                <w:lang w:eastAsia="es-MX"/>
              </w:rPr>
              <w:t>Secretaria Ejecutiva del Sistema Anticorrupción del Estado de Tlaxcala</w:t>
            </w:r>
          </w:p>
        </w:tc>
        <w:tc>
          <w:tcPr>
            <w:tcW w:w="1390" w:type="dxa"/>
            <w:tcBorders>
              <w:top w:val="nil"/>
              <w:left w:val="nil"/>
              <w:bottom w:val="single" w:sz="8" w:space="0" w:color="A6A6A6"/>
              <w:right w:val="single" w:sz="8" w:space="0" w:color="A6A6A6"/>
            </w:tcBorders>
            <w:vAlign w:val="center"/>
            <w:hideMark/>
          </w:tcPr>
          <w:p w:rsidR="00CB2519" w:rsidRDefault="00CB2519" w:rsidP="00277C86">
            <w:pPr>
              <w:spacing w:line="254" w:lineRule="auto"/>
              <w:jc w:val="right"/>
              <w:rPr>
                <w:color w:val="000000"/>
                <w:sz w:val="20"/>
                <w:szCs w:val="20"/>
              </w:rPr>
            </w:pPr>
            <w:r>
              <w:rPr>
                <w:color w:val="000000"/>
                <w:sz w:val="20"/>
                <w:szCs w:val="20"/>
              </w:rPr>
              <w:t>12,839,161.00</w:t>
            </w:r>
          </w:p>
        </w:tc>
      </w:tr>
      <w:tr w:rsidR="00CB2519" w:rsidTr="00277C86">
        <w:trPr>
          <w:trHeight w:val="315"/>
          <w:jc w:val="center"/>
        </w:trPr>
        <w:tc>
          <w:tcPr>
            <w:tcW w:w="4625" w:type="dxa"/>
            <w:tcBorders>
              <w:top w:val="nil"/>
              <w:left w:val="single" w:sz="8" w:space="0" w:color="A6A6A6"/>
              <w:bottom w:val="single" w:sz="8" w:space="0" w:color="A6A6A6"/>
              <w:right w:val="single" w:sz="8" w:space="0" w:color="A6A6A6"/>
            </w:tcBorders>
            <w:vAlign w:val="center"/>
            <w:hideMark/>
          </w:tcPr>
          <w:p w:rsidR="00CB2519" w:rsidRDefault="00CB2519" w:rsidP="00277C86">
            <w:pPr>
              <w:spacing w:line="360" w:lineRule="auto"/>
              <w:jc w:val="both"/>
              <w:rPr>
                <w:sz w:val="20"/>
                <w:szCs w:val="20"/>
                <w:lang w:eastAsia="es-MX"/>
              </w:rPr>
            </w:pPr>
            <w:r>
              <w:rPr>
                <w:sz w:val="20"/>
                <w:szCs w:val="20"/>
                <w:lang w:eastAsia="es-MX"/>
              </w:rPr>
              <w:t>Tribunal de Justicia Administrativa</w:t>
            </w:r>
          </w:p>
        </w:tc>
        <w:tc>
          <w:tcPr>
            <w:tcW w:w="1390" w:type="dxa"/>
            <w:tcBorders>
              <w:top w:val="nil"/>
              <w:left w:val="nil"/>
              <w:bottom w:val="single" w:sz="8" w:space="0" w:color="A6A6A6"/>
              <w:right w:val="single" w:sz="8" w:space="0" w:color="A6A6A6"/>
            </w:tcBorders>
            <w:vAlign w:val="center"/>
            <w:hideMark/>
          </w:tcPr>
          <w:p w:rsidR="00CB2519" w:rsidRDefault="00CB2519" w:rsidP="00277C86">
            <w:pPr>
              <w:spacing w:line="254" w:lineRule="auto"/>
              <w:jc w:val="right"/>
              <w:rPr>
                <w:color w:val="000000"/>
                <w:sz w:val="20"/>
                <w:szCs w:val="20"/>
              </w:rPr>
            </w:pPr>
            <w:r>
              <w:rPr>
                <w:color w:val="000000"/>
                <w:sz w:val="20"/>
                <w:szCs w:val="20"/>
              </w:rPr>
              <w:t>65,052,716.00</w:t>
            </w:r>
          </w:p>
        </w:tc>
      </w:tr>
      <w:tr w:rsidR="00CB2519" w:rsidTr="00277C86">
        <w:trPr>
          <w:trHeight w:val="330"/>
          <w:jc w:val="center"/>
        </w:trPr>
        <w:tc>
          <w:tcPr>
            <w:tcW w:w="4625" w:type="dxa"/>
            <w:tcBorders>
              <w:top w:val="nil"/>
              <w:left w:val="single" w:sz="8" w:space="0" w:color="A6A6A6"/>
              <w:bottom w:val="single" w:sz="8" w:space="0" w:color="A6A6A6"/>
              <w:right w:val="single" w:sz="8" w:space="0" w:color="A6A6A6"/>
            </w:tcBorders>
            <w:shd w:val="clear" w:color="auto" w:fill="CCCCCC"/>
            <w:vAlign w:val="center"/>
            <w:hideMark/>
          </w:tcPr>
          <w:p w:rsidR="00CB2519" w:rsidRDefault="00CB2519" w:rsidP="00277C86">
            <w:pPr>
              <w:spacing w:line="360" w:lineRule="auto"/>
              <w:jc w:val="center"/>
              <w:rPr>
                <w:b/>
                <w:bCs/>
                <w:sz w:val="20"/>
                <w:szCs w:val="20"/>
                <w:lang w:eastAsia="es-MX"/>
              </w:rPr>
            </w:pPr>
            <w:r>
              <w:rPr>
                <w:b/>
                <w:bCs/>
                <w:sz w:val="20"/>
                <w:szCs w:val="20"/>
                <w:lang w:eastAsia="es-MX"/>
              </w:rPr>
              <w:t>TOTAL</w:t>
            </w:r>
          </w:p>
        </w:tc>
        <w:tc>
          <w:tcPr>
            <w:tcW w:w="1390" w:type="dxa"/>
            <w:tcBorders>
              <w:top w:val="nil"/>
              <w:left w:val="nil"/>
              <w:bottom w:val="single" w:sz="8" w:space="0" w:color="A6A6A6"/>
              <w:right w:val="single" w:sz="8" w:space="0" w:color="A6A6A6"/>
            </w:tcBorders>
            <w:shd w:val="clear" w:color="auto" w:fill="CCCCCC"/>
            <w:vAlign w:val="center"/>
            <w:hideMark/>
          </w:tcPr>
          <w:p w:rsidR="00CB2519" w:rsidRDefault="00CB2519" w:rsidP="00277C86">
            <w:pPr>
              <w:spacing w:line="254" w:lineRule="auto"/>
              <w:jc w:val="right"/>
              <w:rPr>
                <w:b/>
                <w:bCs/>
                <w:color w:val="000000"/>
                <w:sz w:val="20"/>
                <w:szCs w:val="20"/>
              </w:rPr>
            </w:pPr>
            <w:r>
              <w:rPr>
                <w:b/>
                <w:bCs/>
                <w:color w:val="000000"/>
                <w:sz w:val="20"/>
                <w:szCs w:val="20"/>
              </w:rPr>
              <w:t>598,353,602.00</w:t>
            </w:r>
          </w:p>
        </w:tc>
      </w:tr>
    </w:tbl>
    <w:p w:rsidR="00CB2519" w:rsidRDefault="00CB2519" w:rsidP="00CB2519">
      <w:pPr>
        <w:spacing w:after="200" w:line="360" w:lineRule="auto"/>
        <w:jc w:val="both"/>
        <w:rPr>
          <w:rFonts w:eastAsia="Calibri"/>
          <w:sz w:val="20"/>
          <w:szCs w:val="20"/>
        </w:rPr>
      </w:pPr>
    </w:p>
    <w:p w:rsidR="00CB2519" w:rsidRDefault="00CB2519" w:rsidP="00CB2519">
      <w:pPr>
        <w:spacing w:after="200" w:line="360" w:lineRule="auto"/>
        <w:jc w:val="center"/>
        <w:rPr>
          <w:b/>
          <w:sz w:val="20"/>
          <w:szCs w:val="20"/>
        </w:rPr>
      </w:pPr>
      <w:r>
        <w:rPr>
          <w:b/>
          <w:sz w:val="20"/>
          <w:szCs w:val="20"/>
        </w:rPr>
        <w:t>MUNICIPIOS</w:t>
      </w:r>
    </w:p>
    <w:p w:rsidR="00CB2519" w:rsidRDefault="00CB2519" w:rsidP="00CB2519">
      <w:pPr>
        <w:spacing w:line="360" w:lineRule="auto"/>
        <w:jc w:val="both"/>
        <w:rPr>
          <w:sz w:val="20"/>
          <w:szCs w:val="20"/>
        </w:rPr>
      </w:pPr>
      <w:r>
        <w:rPr>
          <w:sz w:val="20"/>
          <w:szCs w:val="20"/>
        </w:rPr>
        <w:t>Para Municipios se prevé un presupuesto global de $5,099,497,415.00, integrados por $2,663,608,644.00 de Participaciones e Incentivos Derivados de la Colaboración Fiscal, $92,476,597.00 de Ingresos Derivados de Fuentes Locales participables y $2,343,412,174.00 de Aportaciones Federales.</w:t>
      </w:r>
    </w:p>
    <w:p w:rsidR="00CB2519" w:rsidRDefault="00CB2519" w:rsidP="00CB2519">
      <w:pPr>
        <w:spacing w:line="360" w:lineRule="auto"/>
        <w:jc w:val="both"/>
        <w:rPr>
          <w:sz w:val="20"/>
          <w:szCs w:val="20"/>
        </w:rPr>
      </w:pPr>
    </w:p>
    <w:p w:rsidR="00CB2519" w:rsidRDefault="00CB2519" w:rsidP="00CB2519">
      <w:pPr>
        <w:spacing w:after="200" w:line="360" w:lineRule="auto"/>
        <w:contextualSpacing/>
        <w:jc w:val="center"/>
        <w:rPr>
          <w:rFonts w:eastAsia="Calibri"/>
          <w:b/>
          <w:sz w:val="20"/>
          <w:szCs w:val="20"/>
        </w:rPr>
      </w:pPr>
      <w:r>
        <w:rPr>
          <w:rFonts w:eastAsia="Calibri"/>
          <w:b/>
          <w:sz w:val="20"/>
          <w:szCs w:val="20"/>
        </w:rPr>
        <w:t>RECURSOS FEDERALES A MUNICIPIOS</w:t>
      </w:r>
    </w:p>
    <w:tbl>
      <w:tblPr>
        <w:tblW w:w="7800" w:type="dxa"/>
        <w:jc w:val="center"/>
        <w:tblLayout w:type="fixed"/>
        <w:tblCellMar>
          <w:left w:w="70" w:type="dxa"/>
          <w:right w:w="70" w:type="dxa"/>
        </w:tblCellMar>
        <w:tblLook w:val="04A0" w:firstRow="1" w:lastRow="0" w:firstColumn="1" w:lastColumn="0" w:noHBand="0" w:noVBand="1"/>
      </w:tblPr>
      <w:tblGrid>
        <w:gridCol w:w="3125"/>
        <w:gridCol w:w="1559"/>
        <w:gridCol w:w="1558"/>
        <w:gridCol w:w="1558"/>
      </w:tblGrid>
      <w:tr w:rsidR="00CB2519" w:rsidTr="00277C86">
        <w:trPr>
          <w:trHeight w:val="330"/>
          <w:tblHeader/>
          <w:jc w:val="center"/>
        </w:trPr>
        <w:tc>
          <w:tcPr>
            <w:tcW w:w="3129" w:type="dxa"/>
            <w:tcBorders>
              <w:top w:val="single" w:sz="8" w:space="0" w:color="A6A6A6"/>
              <w:left w:val="single" w:sz="8" w:space="0" w:color="A6A6A6"/>
              <w:bottom w:val="nil"/>
              <w:right w:val="single" w:sz="8" w:space="0" w:color="A6A6A6"/>
            </w:tcBorders>
            <w:shd w:val="clear" w:color="auto" w:fill="CCCCCC"/>
            <w:vAlign w:val="center"/>
            <w:hideMark/>
          </w:tcPr>
          <w:p w:rsidR="00CB2519" w:rsidRDefault="00CB2519" w:rsidP="00277C86">
            <w:pPr>
              <w:spacing w:line="360" w:lineRule="auto"/>
              <w:jc w:val="center"/>
              <w:rPr>
                <w:b/>
                <w:bCs/>
                <w:sz w:val="20"/>
                <w:szCs w:val="20"/>
                <w:lang w:eastAsia="es-MX"/>
              </w:rPr>
            </w:pPr>
            <w:r>
              <w:rPr>
                <w:b/>
                <w:bCs/>
                <w:sz w:val="20"/>
                <w:szCs w:val="20"/>
                <w:lang w:eastAsia="es-MX"/>
              </w:rPr>
              <w:t>MUNICIPIOS</w:t>
            </w:r>
          </w:p>
        </w:tc>
        <w:tc>
          <w:tcPr>
            <w:tcW w:w="1560" w:type="dxa"/>
            <w:tcBorders>
              <w:top w:val="single" w:sz="8" w:space="0" w:color="A6A6A6"/>
              <w:left w:val="nil"/>
              <w:bottom w:val="nil"/>
              <w:right w:val="single" w:sz="8" w:space="0" w:color="A6A6A6"/>
            </w:tcBorders>
            <w:shd w:val="clear" w:color="auto" w:fill="CCCCCC"/>
            <w:vAlign w:val="center"/>
            <w:hideMark/>
          </w:tcPr>
          <w:p w:rsidR="00CB2519" w:rsidRDefault="00CB2519" w:rsidP="00277C86">
            <w:pPr>
              <w:spacing w:line="254" w:lineRule="auto"/>
              <w:jc w:val="center"/>
              <w:rPr>
                <w:b/>
                <w:bCs/>
                <w:color w:val="000000"/>
                <w:sz w:val="20"/>
                <w:szCs w:val="20"/>
                <w:lang w:val="es-MX" w:eastAsia="es-MX"/>
              </w:rPr>
            </w:pPr>
            <w:r>
              <w:rPr>
                <w:b/>
                <w:bCs/>
                <w:color w:val="000000"/>
                <w:sz w:val="20"/>
                <w:szCs w:val="20"/>
              </w:rPr>
              <w:t>2022</w:t>
            </w:r>
          </w:p>
        </w:tc>
        <w:tc>
          <w:tcPr>
            <w:tcW w:w="1559" w:type="dxa"/>
            <w:tcBorders>
              <w:top w:val="single" w:sz="8" w:space="0" w:color="A6A6A6"/>
              <w:left w:val="nil"/>
              <w:bottom w:val="nil"/>
              <w:right w:val="single" w:sz="8" w:space="0" w:color="A6A6A6"/>
            </w:tcBorders>
            <w:shd w:val="clear" w:color="auto" w:fill="CCCCCC"/>
            <w:vAlign w:val="center"/>
            <w:hideMark/>
          </w:tcPr>
          <w:p w:rsidR="00CB2519" w:rsidRDefault="00CB2519" w:rsidP="00277C86">
            <w:pPr>
              <w:spacing w:line="254" w:lineRule="auto"/>
              <w:jc w:val="center"/>
              <w:rPr>
                <w:b/>
                <w:bCs/>
                <w:color w:val="000000"/>
                <w:sz w:val="20"/>
                <w:szCs w:val="20"/>
              </w:rPr>
            </w:pPr>
            <w:r>
              <w:rPr>
                <w:b/>
                <w:bCs/>
                <w:color w:val="000000"/>
                <w:sz w:val="20"/>
                <w:szCs w:val="20"/>
              </w:rPr>
              <w:t>2023</w:t>
            </w:r>
          </w:p>
        </w:tc>
        <w:tc>
          <w:tcPr>
            <w:tcW w:w="1559" w:type="dxa"/>
            <w:tcBorders>
              <w:top w:val="single" w:sz="8" w:space="0" w:color="A6A6A6"/>
              <w:left w:val="nil"/>
              <w:bottom w:val="nil"/>
              <w:right w:val="single" w:sz="8" w:space="0" w:color="A6A6A6"/>
            </w:tcBorders>
            <w:shd w:val="clear" w:color="auto" w:fill="CCCCCC"/>
            <w:vAlign w:val="center"/>
            <w:hideMark/>
          </w:tcPr>
          <w:p w:rsidR="00CB2519" w:rsidRDefault="00CB2519" w:rsidP="00277C86">
            <w:pPr>
              <w:spacing w:line="254" w:lineRule="auto"/>
              <w:jc w:val="center"/>
              <w:rPr>
                <w:b/>
                <w:bCs/>
                <w:color w:val="000000"/>
                <w:sz w:val="20"/>
                <w:szCs w:val="20"/>
              </w:rPr>
            </w:pPr>
            <w:r>
              <w:rPr>
                <w:b/>
                <w:bCs/>
                <w:color w:val="000000"/>
                <w:sz w:val="20"/>
                <w:szCs w:val="20"/>
              </w:rPr>
              <w:t>2024</w:t>
            </w:r>
          </w:p>
        </w:tc>
      </w:tr>
      <w:tr w:rsidR="00CB2519" w:rsidTr="00277C86">
        <w:trPr>
          <w:trHeight w:val="380"/>
          <w:jc w:val="center"/>
        </w:trPr>
        <w:tc>
          <w:tcPr>
            <w:tcW w:w="3129" w:type="dxa"/>
            <w:tcBorders>
              <w:top w:val="single" w:sz="8" w:space="0" w:color="A6A6A6"/>
              <w:left w:val="single" w:sz="8" w:space="0" w:color="A6A6A6"/>
              <w:bottom w:val="single" w:sz="8" w:space="0" w:color="A6A6A6"/>
              <w:right w:val="single" w:sz="8" w:space="0" w:color="A6A6A6"/>
            </w:tcBorders>
            <w:vAlign w:val="center"/>
            <w:hideMark/>
          </w:tcPr>
          <w:p w:rsidR="00CB2519" w:rsidRDefault="00CB2519" w:rsidP="00277C86">
            <w:pPr>
              <w:spacing w:line="360" w:lineRule="auto"/>
              <w:jc w:val="both"/>
              <w:rPr>
                <w:sz w:val="20"/>
                <w:szCs w:val="20"/>
                <w:lang w:eastAsia="es-MX"/>
              </w:rPr>
            </w:pPr>
            <w:r>
              <w:rPr>
                <w:sz w:val="20"/>
                <w:szCs w:val="20"/>
                <w:lang w:eastAsia="es-MX"/>
              </w:rPr>
              <w:t>Ingresos Derivados de Fuentes Locales</w:t>
            </w:r>
          </w:p>
        </w:tc>
        <w:tc>
          <w:tcPr>
            <w:tcW w:w="1560" w:type="dxa"/>
            <w:tcBorders>
              <w:top w:val="single" w:sz="8" w:space="0" w:color="A6A6A6"/>
              <w:left w:val="nil"/>
              <w:bottom w:val="single" w:sz="8" w:space="0" w:color="A6A6A6"/>
              <w:right w:val="single" w:sz="8" w:space="0" w:color="A6A6A6"/>
            </w:tcBorders>
            <w:vAlign w:val="center"/>
            <w:hideMark/>
          </w:tcPr>
          <w:p w:rsidR="00CB2519" w:rsidRDefault="00CB2519" w:rsidP="00277C86">
            <w:pPr>
              <w:spacing w:line="254" w:lineRule="auto"/>
              <w:jc w:val="right"/>
              <w:rPr>
                <w:color w:val="000000"/>
                <w:sz w:val="20"/>
                <w:szCs w:val="20"/>
              </w:rPr>
            </w:pPr>
            <w:r>
              <w:rPr>
                <w:color w:val="000000"/>
                <w:sz w:val="20"/>
                <w:szCs w:val="20"/>
              </w:rPr>
              <w:t>59,902,324.00</w:t>
            </w:r>
          </w:p>
        </w:tc>
        <w:tc>
          <w:tcPr>
            <w:tcW w:w="1559" w:type="dxa"/>
            <w:tcBorders>
              <w:top w:val="single" w:sz="8" w:space="0" w:color="A6A6A6"/>
              <w:left w:val="nil"/>
              <w:bottom w:val="single" w:sz="8" w:space="0" w:color="A6A6A6"/>
              <w:right w:val="single" w:sz="8" w:space="0" w:color="A6A6A6"/>
            </w:tcBorders>
            <w:vAlign w:val="center"/>
            <w:hideMark/>
          </w:tcPr>
          <w:p w:rsidR="00CB2519" w:rsidRDefault="00CB2519" w:rsidP="00277C86">
            <w:pPr>
              <w:spacing w:line="254" w:lineRule="auto"/>
              <w:jc w:val="right"/>
              <w:rPr>
                <w:color w:val="000000"/>
                <w:sz w:val="20"/>
                <w:szCs w:val="20"/>
              </w:rPr>
            </w:pPr>
            <w:r>
              <w:rPr>
                <w:color w:val="000000"/>
                <w:sz w:val="20"/>
                <w:szCs w:val="20"/>
              </w:rPr>
              <w:t>68,825,102.00</w:t>
            </w:r>
          </w:p>
        </w:tc>
        <w:tc>
          <w:tcPr>
            <w:tcW w:w="1559" w:type="dxa"/>
            <w:tcBorders>
              <w:top w:val="single" w:sz="8" w:space="0" w:color="A6A6A6"/>
              <w:left w:val="nil"/>
              <w:bottom w:val="single" w:sz="8" w:space="0" w:color="A6A6A6"/>
              <w:right w:val="single" w:sz="8" w:space="0" w:color="A6A6A6"/>
            </w:tcBorders>
            <w:vAlign w:val="center"/>
            <w:hideMark/>
          </w:tcPr>
          <w:p w:rsidR="00CB2519" w:rsidRDefault="00CB2519" w:rsidP="00277C86">
            <w:pPr>
              <w:spacing w:line="254" w:lineRule="auto"/>
              <w:jc w:val="right"/>
              <w:rPr>
                <w:color w:val="000000"/>
                <w:sz w:val="20"/>
                <w:szCs w:val="20"/>
              </w:rPr>
            </w:pPr>
            <w:r>
              <w:rPr>
                <w:color w:val="000000"/>
                <w:sz w:val="20"/>
                <w:szCs w:val="20"/>
              </w:rPr>
              <w:t>92,476,597.00</w:t>
            </w:r>
          </w:p>
        </w:tc>
      </w:tr>
      <w:tr w:rsidR="00CB2519" w:rsidTr="00277C86">
        <w:trPr>
          <w:trHeight w:val="315"/>
          <w:jc w:val="center"/>
        </w:trPr>
        <w:tc>
          <w:tcPr>
            <w:tcW w:w="3129" w:type="dxa"/>
            <w:tcBorders>
              <w:top w:val="nil"/>
              <w:left w:val="single" w:sz="8" w:space="0" w:color="A6A6A6"/>
              <w:bottom w:val="single" w:sz="8" w:space="0" w:color="A6A6A6"/>
              <w:right w:val="single" w:sz="8" w:space="0" w:color="A6A6A6"/>
            </w:tcBorders>
            <w:vAlign w:val="center"/>
            <w:hideMark/>
          </w:tcPr>
          <w:p w:rsidR="00CB2519" w:rsidRDefault="00CB2519" w:rsidP="00277C86">
            <w:pPr>
              <w:spacing w:line="360" w:lineRule="auto"/>
              <w:jc w:val="both"/>
              <w:rPr>
                <w:sz w:val="20"/>
                <w:szCs w:val="20"/>
                <w:lang w:eastAsia="es-MX"/>
              </w:rPr>
            </w:pPr>
            <w:r>
              <w:rPr>
                <w:sz w:val="20"/>
                <w:szCs w:val="20"/>
                <w:lang w:eastAsia="es-MX"/>
              </w:rPr>
              <w:t>Participaciones e Incentivos Derivados de la Colaboración Fiscal</w:t>
            </w:r>
          </w:p>
        </w:tc>
        <w:tc>
          <w:tcPr>
            <w:tcW w:w="1560" w:type="dxa"/>
            <w:tcBorders>
              <w:top w:val="nil"/>
              <w:left w:val="nil"/>
              <w:bottom w:val="single" w:sz="8" w:space="0" w:color="A6A6A6"/>
              <w:right w:val="single" w:sz="8" w:space="0" w:color="A6A6A6"/>
            </w:tcBorders>
            <w:vAlign w:val="center"/>
            <w:hideMark/>
          </w:tcPr>
          <w:p w:rsidR="00CB2519" w:rsidRDefault="00CB2519" w:rsidP="00277C86">
            <w:pPr>
              <w:spacing w:line="254" w:lineRule="auto"/>
              <w:jc w:val="right"/>
              <w:rPr>
                <w:color w:val="000000"/>
                <w:sz w:val="20"/>
                <w:szCs w:val="20"/>
              </w:rPr>
            </w:pPr>
            <w:r>
              <w:rPr>
                <w:color w:val="000000"/>
                <w:sz w:val="20"/>
                <w:szCs w:val="20"/>
              </w:rPr>
              <w:t>2,199,396,266.00</w:t>
            </w:r>
          </w:p>
        </w:tc>
        <w:tc>
          <w:tcPr>
            <w:tcW w:w="1559" w:type="dxa"/>
            <w:tcBorders>
              <w:top w:val="nil"/>
              <w:left w:val="nil"/>
              <w:bottom w:val="single" w:sz="8" w:space="0" w:color="A6A6A6"/>
              <w:right w:val="single" w:sz="8" w:space="0" w:color="A6A6A6"/>
            </w:tcBorders>
            <w:vAlign w:val="center"/>
            <w:hideMark/>
          </w:tcPr>
          <w:p w:rsidR="00CB2519" w:rsidRDefault="00CB2519" w:rsidP="00277C86">
            <w:pPr>
              <w:spacing w:line="254" w:lineRule="auto"/>
              <w:jc w:val="right"/>
              <w:rPr>
                <w:color w:val="000000"/>
                <w:sz w:val="20"/>
                <w:szCs w:val="20"/>
              </w:rPr>
            </w:pPr>
            <w:r>
              <w:rPr>
                <w:color w:val="000000"/>
                <w:sz w:val="20"/>
                <w:szCs w:val="20"/>
              </w:rPr>
              <w:t>2,498,790,564.00</w:t>
            </w:r>
          </w:p>
        </w:tc>
        <w:tc>
          <w:tcPr>
            <w:tcW w:w="1559" w:type="dxa"/>
            <w:tcBorders>
              <w:top w:val="nil"/>
              <w:left w:val="nil"/>
              <w:bottom w:val="single" w:sz="8" w:space="0" w:color="A6A6A6"/>
              <w:right w:val="single" w:sz="8" w:space="0" w:color="A6A6A6"/>
            </w:tcBorders>
            <w:vAlign w:val="center"/>
            <w:hideMark/>
          </w:tcPr>
          <w:p w:rsidR="00CB2519" w:rsidRDefault="00CB2519" w:rsidP="00277C86">
            <w:pPr>
              <w:spacing w:line="254" w:lineRule="auto"/>
              <w:jc w:val="right"/>
              <w:rPr>
                <w:color w:val="000000"/>
                <w:sz w:val="20"/>
                <w:szCs w:val="20"/>
              </w:rPr>
            </w:pPr>
            <w:r>
              <w:rPr>
                <w:color w:val="000000"/>
                <w:sz w:val="20"/>
                <w:szCs w:val="20"/>
              </w:rPr>
              <w:t>2,663,608,644.00</w:t>
            </w:r>
          </w:p>
        </w:tc>
      </w:tr>
      <w:tr w:rsidR="00CB2519" w:rsidTr="00277C86">
        <w:trPr>
          <w:trHeight w:val="231"/>
          <w:jc w:val="center"/>
        </w:trPr>
        <w:tc>
          <w:tcPr>
            <w:tcW w:w="3129" w:type="dxa"/>
            <w:tcBorders>
              <w:top w:val="nil"/>
              <w:left w:val="single" w:sz="8" w:space="0" w:color="A6A6A6"/>
              <w:bottom w:val="single" w:sz="8" w:space="0" w:color="A6A6A6"/>
              <w:right w:val="single" w:sz="8" w:space="0" w:color="A6A6A6"/>
            </w:tcBorders>
            <w:vAlign w:val="center"/>
            <w:hideMark/>
          </w:tcPr>
          <w:p w:rsidR="00CB2519" w:rsidRDefault="00CB2519" w:rsidP="00277C86">
            <w:pPr>
              <w:spacing w:line="360" w:lineRule="auto"/>
              <w:jc w:val="both"/>
              <w:rPr>
                <w:sz w:val="20"/>
                <w:szCs w:val="20"/>
                <w:lang w:eastAsia="es-MX"/>
              </w:rPr>
            </w:pPr>
            <w:r>
              <w:rPr>
                <w:sz w:val="20"/>
                <w:szCs w:val="20"/>
                <w:lang w:eastAsia="es-MX"/>
              </w:rPr>
              <w:t>Aportaciones Federales (Ramo 33)</w:t>
            </w:r>
          </w:p>
        </w:tc>
        <w:tc>
          <w:tcPr>
            <w:tcW w:w="1560" w:type="dxa"/>
            <w:tcBorders>
              <w:top w:val="nil"/>
              <w:left w:val="nil"/>
              <w:bottom w:val="single" w:sz="8" w:space="0" w:color="A6A6A6"/>
              <w:right w:val="single" w:sz="8" w:space="0" w:color="A6A6A6"/>
            </w:tcBorders>
            <w:vAlign w:val="center"/>
            <w:hideMark/>
          </w:tcPr>
          <w:p w:rsidR="00CB2519" w:rsidRDefault="00CB2519" w:rsidP="00277C86">
            <w:pPr>
              <w:spacing w:line="254" w:lineRule="auto"/>
              <w:jc w:val="right"/>
              <w:rPr>
                <w:color w:val="000000"/>
                <w:sz w:val="20"/>
                <w:szCs w:val="20"/>
              </w:rPr>
            </w:pPr>
            <w:r>
              <w:rPr>
                <w:color w:val="000000"/>
                <w:sz w:val="20"/>
                <w:szCs w:val="20"/>
              </w:rPr>
              <w:t>1,903,912,389.00</w:t>
            </w:r>
          </w:p>
        </w:tc>
        <w:tc>
          <w:tcPr>
            <w:tcW w:w="1559" w:type="dxa"/>
            <w:tcBorders>
              <w:top w:val="nil"/>
              <w:left w:val="nil"/>
              <w:bottom w:val="single" w:sz="8" w:space="0" w:color="A6A6A6"/>
              <w:right w:val="single" w:sz="8" w:space="0" w:color="A6A6A6"/>
            </w:tcBorders>
            <w:vAlign w:val="center"/>
            <w:hideMark/>
          </w:tcPr>
          <w:p w:rsidR="00CB2519" w:rsidRDefault="00CB2519" w:rsidP="00277C86">
            <w:pPr>
              <w:spacing w:line="254" w:lineRule="auto"/>
              <w:jc w:val="right"/>
              <w:rPr>
                <w:color w:val="000000"/>
                <w:sz w:val="20"/>
                <w:szCs w:val="20"/>
              </w:rPr>
            </w:pPr>
            <w:r>
              <w:rPr>
                <w:color w:val="000000"/>
                <w:sz w:val="20"/>
                <w:szCs w:val="20"/>
              </w:rPr>
              <w:t>2,226,522,163.00</w:t>
            </w:r>
          </w:p>
        </w:tc>
        <w:tc>
          <w:tcPr>
            <w:tcW w:w="1559" w:type="dxa"/>
            <w:tcBorders>
              <w:top w:val="nil"/>
              <w:left w:val="nil"/>
              <w:bottom w:val="single" w:sz="8" w:space="0" w:color="A6A6A6"/>
              <w:right w:val="single" w:sz="8" w:space="0" w:color="A6A6A6"/>
            </w:tcBorders>
            <w:vAlign w:val="center"/>
            <w:hideMark/>
          </w:tcPr>
          <w:p w:rsidR="00CB2519" w:rsidRDefault="00CB2519" w:rsidP="00277C86">
            <w:pPr>
              <w:spacing w:line="254" w:lineRule="auto"/>
              <w:jc w:val="right"/>
              <w:rPr>
                <w:color w:val="000000"/>
                <w:sz w:val="20"/>
                <w:szCs w:val="20"/>
              </w:rPr>
            </w:pPr>
            <w:r>
              <w:rPr>
                <w:color w:val="000000"/>
                <w:sz w:val="20"/>
                <w:szCs w:val="20"/>
              </w:rPr>
              <w:t>2,343,412,174.00</w:t>
            </w:r>
          </w:p>
        </w:tc>
      </w:tr>
      <w:tr w:rsidR="00CB2519" w:rsidTr="00277C86">
        <w:trPr>
          <w:trHeight w:val="330"/>
          <w:jc w:val="center"/>
        </w:trPr>
        <w:tc>
          <w:tcPr>
            <w:tcW w:w="3129" w:type="dxa"/>
            <w:tcBorders>
              <w:top w:val="nil"/>
              <w:left w:val="single" w:sz="8" w:space="0" w:color="A6A6A6"/>
              <w:bottom w:val="single" w:sz="8" w:space="0" w:color="A6A6A6"/>
              <w:right w:val="single" w:sz="8" w:space="0" w:color="A6A6A6"/>
            </w:tcBorders>
            <w:shd w:val="clear" w:color="auto" w:fill="CCCCCC"/>
            <w:vAlign w:val="center"/>
            <w:hideMark/>
          </w:tcPr>
          <w:p w:rsidR="00CB2519" w:rsidRDefault="00CB2519" w:rsidP="00277C86">
            <w:pPr>
              <w:spacing w:line="360" w:lineRule="auto"/>
              <w:jc w:val="center"/>
              <w:rPr>
                <w:b/>
                <w:bCs/>
                <w:sz w:val="20"/>
                <w:szCs w:val="20"/>
                <w:lang w:eastAsia="es-MX"/>
              </w:rPr>
            </w:pPr>
            <w:r>
              <w:rPr>
                <w:b/>
                <w:bCs/>
                <w:sz w:val="20"/>
                <w:szCs w:val="20"/>
                <w:lang w:eastAsia="es-MX"/>
              </w:rPr>
              <w:t>TOTAL</w:t>
            </w:r>
          </w:p>
        </w:tc>
        <w:tc>
          <w:tcPr>
            <w:tcW w:w="1560" w:type="dxa"/>
            <w:tcBorders>
              <w:top w:val="nil"/>
              <w:left w:val="nil"/>
              <w:bottom w:val="single" w:sz="8" w:space="0" w:color="A6A6A6"/>
              <w:right w:val="single" w:sz="8" w:space="0" w:color="A6A6A6"/>
            </w:tcBorders>
            <w:shd w:val="clear" w:color="auto" w:fill="CCCCCC"/>
            <w:vAlign w:val="center"/>
            <w:hideMark/>
          </w:tcPr>
          <w:p w:rsidR="00CB2519" w:rsidRDefault="00CB2519" w:rsidP="00277C86">
            <w:pPr>
              <w:spacing w:line="254" w:lineRule="auto"/>
              <w:jc w:val="right"/>
              <w:rPr>
                <w:b/>
                <w:bCs/>
                <w:color w:val="000000"/>
                <w:sz w:val="20"/>
                <w:szCs w:val="20"/>
              </w:rPr>
            </w:pPr>
            <w:r>
              <w:rPr>
                <w:b/>
                <w:bCs/>
                <w:color w:val="000000"/>
                <w:sz w:val="20"/>
                <w:szCs w:val="20"/>
              </w:rPr>
              <w:t>4,163,210,979.00</w:t>
            </w:r>
          </w:p>
        </w:tc>
        <w:tc>
          <w:tcPr>
            <w:tcW w:w="1559" w:type="dxa"/>
            <w:tcBorders>
              <w:top w:val="nil"/>
              <w:left w:val="nil"/>
              <w:bottom w:val="single" w:sz="8" w:space="0" w:color="A6A6A6"/>
              <w:right w:val="single" w:sz="8" w:space="0" w:color="A6A6A6"/>
            </w:tcBorders>
            <w:shd w:val="clear" w:color="auto" w:fill="CCCCCC"/>
            <w:vAlign w:val="center"/>
            <w:hideMark/>
          </w:tcPr>
          <w:p w:rsidR="00CB2519" w:rsidRDefault="00CB2519" w:rsidP="00277C86">
            <w:pPr>
              <w:spacing w:line="254" w:lineRule="auto"/>
              <w:jc w:val="right"/>
              <w:rPr>
                <w:b/>
                <w:bCs/>
                <w:color w:val="000000"/>
                <w:sz w:val="20"/>
                <w:szCs w:val="20"/>
              </w:rPr>
            </w:pPr>
            <w:r>
              <w:rPr>
                <w:b/>
                <w:bCs/>
                <w:color w:val="000000"/>
                <w:sz w:val="20"/>
                <w:szCs w:val="20"/>
              </w:rPr>
              <w:t>4,794,137,829.00</w:t>
            </w:r>
          </w:p>
        </w:tc>
        <w:tc>
          <w:tcPr>
            <w:tcW w:w="1559" w:type="dxa"/>
            <w:tcBorders>
              <w:top w:val="nil"/>
              <w:left w:val="nil"/>
              <w:bottom w:val="single" w:sz="8" w:space="0" w:color="A6A6A6"/>
              <w:right w:val="single" w:sz="8" w:space="0" w:color="A6A6A6"/>
            </w:tcBorders>
            <w:shd w:val="clear" w:color="auto" w:fill="CCCCCC"/>
            <w:vAlign w:val="center"/>
            <w:hideMark/>
          </w:tcPr>
          <w:p w:rsidR="00CB2519" w:rsidRDefault="00CB2519" w:rsidP="00277C86">
            <w:pPr>
              <w:spacing w:line="254" w:lineRule="auto"/>
              <w:jc w:val="right"/>
              <w:rPr>
                <w:b/>
                <w:bCs/>
                <w:color w:val="000000"/>
                <w:sz w:val="20"/>
                <w:szCs w:val="20"/>
              </w:rPr>
            </w:pPr>
            <w:r>
              <w:rPr>
                <w:b/>
                <w:bCs/>
                <w:color w:val="000000"/>
                <w:sz w:val="20"/>
                <w:szCs w:val="20"/>
              </w:rPr>
              <w:t>5,099,497,415.00</w:t>
            </w:r>
          </w:p>
        </w:tc>
      </w:tr>
    </w:tbl>
    <w:p w:rsidR="00CB2519" w:rsidRDefault="00CB2519" w:rsidP="00CB2519">
      <w:pPr>
        <w:spacing w:after="200" w:line="360" w:lineRule="auto"/>
        <w:contextualSpacing/>
        <w:jc w:val="center"/>
        <w:rPr>
          <w:rFonts w:eastAsia="Calibri"/>
          <w:b/>
          <w:sz w:val="20"/>
          <w:szCs w:val="20"/>
        </w:rPr>
      </w:pPr>
    </w:p>
    <w:p w:rsidR="00CB2519" w:rsidRDefault="00CB2519" w:rsidP="00CB2519">
      <w:pPr>
        <w:spacing w:after="200" w:line="360" w:lineRule="auto"/>
        <w:jc w:val="both"/>
        <w:rPr>
          <w:sz w:val="20"/>
          <w:szCs w:val="20"/>
          <w:lang w:eastAsia="es-MX"/>
        </w:rPr>
      </w:pPr>
      <w:r>
        <w:rPr>
          <w:rFonts w:eastAsia="Calibri"/>
          <w:sz w:val="20"/>
          <w:szCs w:val="20"/>
        </w:rPr>
        <w:t>Por lo que se refiere a recursos destinados a Municipios, se estima un incremento equivalente al 6.4%, correspondiente a los recursos de los Fondos de Aportaciones para el Fortalecimiento de los Municipios y de las Demarcaciones Territoriales del Distrito Federal (FORTAMUN) y del Fondo de Aportaciones para Infraestructura Social Municipal y de las Demarcaciones Territoriales del Distrito Federal (FISM-DF), así como de Participaciones e Incentivos Derivados de la Colaboración Fiscal y los Ingresos Derivados de Fuentes Locales.</w:t>
      </w:r>
    </w:p>
    <w:p w:rsidR="00CB2519" w:rsidRDefault="00CB2519" w:rsidP="00CB2519">
      <w:pPr>
        <w:spacing w:after="200" w:line="360" w:lineRule="auto"/>
        <w:jc w:val="center"/>
        <w:rPr>
          <w:rFonts w:eastAsia="Calibri"/>
          <w:b/>
          <w:sz w:val="20"/>
          <w:szCs w:val="20"/>
        </w:rPr>
      </w:pPr>
      <w:r>
        <w:rPr>
          <w:rFonts w:eastAsia="Calibri"/>
          <w:b/>
          <w:sz w:val="20"/>
          <w:szCs w:val="20"/>
        </w:rPr>
        <w:lastRenderedPageBreak/>
        <w:t>PODER EJECUTIVO</w:t>
      </w:r>
    </w:p>
    <w:p w:rsidR="00CB2519" w:rsidRDefault="00CB2519" w:rsidP="00CB2519">
      <w:pPr>
        <w:spacing w:after="200" w:line="360" w:lineRule="auto"/>
        <w:jc w:val="center"/>
        <w:rPr>
          <w:rFonts w:eastAsia="Calibri"/>
          <w:b/>
          <w:sz w:val="20"/>
          <w:szCs w:val="20"/>
        </w:rPr>
      </w:pPr>
      <w:r>
        <w:rPr>
          <w:rFonts w:eastAsia="Calibri"/>
          <w:b/>
          <w:sz w:val="20"/>
          <w:szCs w:val="20"/>
        </w:rPr>
        <w:t>CLASIFICACIÓN ADMINISTRATIVA</w:t>
      </w:r>
    </w:p>
    <w:p w:rsidR="00CB2519" w:rsidRDefault="00CB2519" w:rsidP="00CB2519">
      <w:pPr>
        <w:spacing w:after="200" w:line="360" w:lineRule="auto"/>
        <w:jc w:val="both"/>
        <w:rPr>
          <w:rFonts w:eastAsia="Calibri"/>
          <w:sz w:val="20"/>
          <w:szCs w:val="20"/>
        </w:rPr>
      </w:pPr>
      <w:r>
        <w:rPr>
          <w:rFonts w:eastAsia="Calibri"/>
          <w:sz w:val="20"/>
          <w:szCs w:val="20"/>
        </w:rPr>
        <w:t>En la clasificación administrativa del presupuesto, presenta una proporción bajo el siguiente detalle; con el 26.5% del presupuesto para la Administración Pública Centralizada, el 2.8% para la Administración Desconcentrada, el 46.7% para la Administración Pública Descentralizada, el 18.4% para Municipios, y 5.6% para Poderes y Órganos Autónomos, como sigue:</w:t>
      </w:r>
    </w:p>
    <w:p w:rsidR="00CB2519" w:rsidRDefault="00CB2519" w:rsidP="00CB2519">
      <w:pPr>
        <w:spacing w:after="200" w:line="360" w:lineRule="auto"/>
        <w:contextualSpacing/>
        <w:jc w:val="center"/>
        <w:rPr>
          <w:rFonts w:eastAsia="Calibri"/>
          <w:b/>
          <w:sz w:val="20"/>
          <w:szCs w:val="20"/>
        </w:rPr>
      </w:pPr>
      <w:r>
        <w:rPr>
          <w:rFonts w:eastAsia="Calibri"/>
          <w:b/>
          <w:sz w:val="20"/>
          <w:szCs w:val="20"/>
        </w:rPr>
        <w:t>Clasificación Administrativa</w:t>
      </w:r>
    </w:p>
    <w:p w:rsidR="00CB2519" w:rsidRDefault="00CB2519" w:rsidP="00CB2519">
      <w:pPr>
        <w:spacing w:after="200" w:line="360" w:lineRule="auto"/>
        <w:contextualSpacing/>
        <w:jc w:val="center"/>
        <w:rPr>
          <w:rFonts w:eastAsia="Calibri"/>
          <w:b/>
          <w:sz w:val="20"/>
          <w:szCs w:val="20"/>
        </w:rPr>
      </w:pPr>
    </w:p>
    <w:tbl>
      <w:tblPr>
        <w:tblW w:w="5158" w:type="dxa"/>
        <w:jc w:val="center"/>
        <w:tblCellMar>
          <w:left w:w="70" w:type="dxa"/>
          <w:right w:w="70" w:type="dxa"/>
        </w:tblCellMar>
        <w:tblLook w:val="04A0" w:firstRow="1" w:lastRow="0" w:firstColumn="1" w:lastColumn="0" w:noHBand="0" w:noVBand="1"/>
      </w:tblPr>
      <w:tblGrid>
        <w:gridCol w:w="2365"/>
        <w:gridCol w:w="1640"/>
        <w:gridCol w:w="1153"/>
      </w:tblGrid>
      <w:tr w:rsidR="00CB2519" w:rsidTr="00277C86">
        <w:trPr>
          <w:trHeight w:val="960"/>
          <w:tblHeader/>
          <w:jc w:val="center"/>
        </w:trPr>
        <w:tc>
          <w:tcPr>
            <w:tcW w:w="2365" w:type="dxa"/>
            <w:tcBorders>
              <w:top w:val="single" w:sz="8" w:space="0" w:color="A6A6A6"/>
              <w:left w:val="single" w:sz="8" w:space="0" w:color="A6A6A6"/>
              <w:bottom w:val="nil"/>
              <w:right w:val="single" w:sz="8" w:space="0" w:color="A6A6A6"/>
            </w:tcBorders>
            <w:shd w:val="clear" w:color="auto" w:fill="CCCCCC"/>
            <w:vAlign w:val="center"/>
            <w:hideMark/>
          </w:tcPr>
          <w:p w:rsidR="00CB2519" w:rsidRDefault="00CB2519" w:rsidP="00277C86">
            <w:pPr>
              <w:spacing w:line="360" w:lineRule="auto"/>
              <w:jc w:val="center"/>
              <w:rPr>
                <w:b/>
                <w:bCs/>
                <w:sz w:val="20"/>
                <w:szCs w:val="20"/>
                <w:lang w:eastAsia="es-MX"/>
              </w:rPr>
            </w:pPr>
            <w:r>
              <w:rPr>
                <w:b/>
                <w:bCs/>
                <w:sz w:val="20"/>
                <w:szCs w:val="20"/>
                <w:lang w:eastAsia="es-MX"/>
              </w:rPr>
              <w:t>RAMOS PRESUPUESTARIOS</w:t>
            </w:r>
          </w:p>
        </w:tc>
        <w:tc>
          <w:tcPr>
            <w:tcW w:w="1640" w:type="dxa"/>
            <w:tcBorders>
              <w:top w:val="single" w:sz="8" w:space="0" w:color="A6A6A6"/>
              <w:left w:val="nil"/>
              <w:bottom w:val="nil"/>
              <w:right w:val="single" w:sz="8" w:space="0" w:color="A6A6A6"/>
            </w:tcBorders>
            <w:shd w:val="clear" w:color="auto" w:fill="CCCCCC"/>
            <w:vAlign w:val="center"/>
            <w:hideMark/>
          </w:tcPr>
          <w:p w:rsidR="00CB2519" w:rsidRDefault="00CB2519" w:rsidP="00277C86">
            <w:pPr>
              <w:spacing w:line="360" w:lineRule="auto"/>
              <w:jc w:val="center"/>
              <w:rPr>
                <w:b/>
                <w:bCs/>
                <w:sz w:val="20"/>
                <w:szCs w:val="20"/>
                <w:lang w:eastAsia="es-MX"/>
              </w:rPr>
            </w:pPr>
            <w:r>
              <w:rPr>
                <w:b/>
                <w:bCs/>
                <w:sz w:val="20"/>
                <w:szCs w:val="20"/>
                <w:lang w:eastAsia="es-MX"/>
              </w:rPr>
              <w:t xml:space="preserve">MONTO </w:t>
            </w:r>
          </w:p>
          <w:p w:rsidR="00CB2519" w:rsidRDefault="00CB2519" w:rsidP="00277C86">
            <w:pPr>
              <w:spacing w:line="360" w:lineRule="auto"/>
              <w:jc w:val="center"/>
              <w:rPr>
                <w:b/>
                <w:bCs/>
                <w:sz w:val="20"/>
                <w:szCs w:val="20"/>
                <w:lang w:eastAsia="es-MX"/>
              </w:rPr>
            </w:pPr>
            <w:r>
              <w:rPr>
                <w:b/>
                <w:bCs/>
                <w:sz w:val="20"/>
                <w:szCs w:val="20"/>
                <w:lang w:eastAsia="es-MX"/>
              </w:rPr>
              <w:t>($)</w:t>
            </w:r>
          </w:p>
        </w:tc>
        <w:tc>
          <w:tcPr>
            <w:tcW w:w="1153" w:type="dxa"/>
            <w:tcBorders>
              <w:top w:val="single" w:sz="8" w:space="0" w:color="A6A6A6"/>
              <w:left w:val="nil"/>
              <w:bottom w:val="nil"/>
              <w:right w:val="single" w:sz="8" w:space="0" w:color="A6A6A6"/>
            </w:tcBorders>
            <w:shd w:val="clear" w:color="auto" w:fill="CCCCCC"/>
            <w:vAlign w:val="center"/>
            <w:hideMark/>
          </w:tcPr>
          <w:p w:rsidR="00CB2519" w:rsidRDefault="00CB2519" w:rsidP="00277C86">
            <w:pPr>
              <w:spacing w:line="360" w:lineRule="auto"/>
              <w:jc w:val="center"/>
              <w:rPr>
                <w:b/>
                <w:bCs/>
                <w:sz w:val="20"/>
                <w:szCs w:val="20"/>
                <w:lang w:eastAsia="es-MX"/>
              </w:rPr>
            </w:pPr>
            <w:r>
              <w:rPr>
                <w:b/>
                <w:bCs/>
                <w:sz w:val="20"/>
                <w:szCs w:val="20"/>
                <w:lang w:eastAsia="es-MX"/>
              </w:rPr>
              <w:t>%</w:t>
            </w:r>
          </w:p>
        </w:tc>
      </w:tr>
      <w:tr w:rsidR="00CB2519" w:rsidTr="00277C86">
        <w:trPr>
          <w:trHeight w:val="315"/>
          <w:jc w:val="center"/>
        </w:trPr>
        <w:tc>
          <w:tcPr>
            <w:tcW w:w="2365" w:type="dxa"/>
            <w:tcBorders>
              <w:top w:val="single" w:sz="8" w:space="0" w:color="A6A6A6"/>
              <w:left w:val="single" w:sz="8" w:space="0" w:color="A6A6A6"/>
              <w:bottom w:val="single" w:sz="8" w:space="0" w:color="A6A6A6"/>
              <w:right w:val="single" w:sz="8" w:space="0" w:color="A6A6A6"/>
            </w:tcBorders>
            <w:vAlign w:val="center"/>
            <w:hideMark/>
          </w:tcPr>
          <w:p w:rsidR="00CB2519" w:rsidRDefault="00CB2519" w:rsidP="00277C86">
            <w:pPr>
              <w:spacing w:line="252" w:lineRule="auto"/>
              <w:jc w:val="both"/>
              <w:rPr>
                <w:color w:val="000000"/>
                <w:sz w:val="20"/>
                <w:szCs w:val="20"/>
                <w:lang w:val="es-MX" w:eastAsia="es-MX"/>
              </w:rPr>
            </w:pPr>
            <w:r>
              <w:rPr>
                <w:color w:val="000000"/>
                <w:sz w:val="20"/>
                <w:szCs w:val="20"/>
              </w:rPr>
              <w:t xml:space="preserve">Centralizadas </w:t>
            </w:r>
          </w:p>
        </w:tc>
        <w:tc>
          <w:tcPr>
            <w:tcW w:w="1640" w:type="dxa"/>
            <w:tcBorders>
              <w:top w:val="single" w:sz="8" w:space="0" w:color="A6A6A6"/>
              <w:left w:val="nil"/>
              <w:bottom w:val="single" w:sz="8" w:space="0" w:color="A6A6A6"/>
              <w:right w:val="single" w:sz="8" w:space="0" w:color="A6A6A6"/>
            </w:tcBorders>
            <w:vAlign w:val="center"/>
            <w:hideMark/>
          </w:tcPr>
          <w:p w:rsidR="00CB2519" w:rsidRDefault="00CB2519" w:rsidP="00277C86">
            <w:pPr>
              <w:jc w:val="right"/>
              <w:rPr>
                <w:color w:val="000000"/>
                <w:sz w:val="20"/>
                <w:szCs w:val="20"/>
                <w:lang w:val="es-MX" w:eastAsia="es-MX"/>
              </w:rPr>
            </w:pPr>
            <w:r>
              <w:rPr>
                <w:color w:val="000000"/>
                <w:sz w:val="20"/>
                <w:szCs w:val="20"/>
              </w:rPr>
              <w:t>7,324,050,580.00</w:t>
            </w:r>
          </w:p>
        </w:tc>
        <w:tc>
          <w:tcPr>
            <w:tcW w:w="1153" w:type="dxa"/>
            <w:tcBorders>
              <w:top w:val="single" w:sz="8" w:space="0" w:color="A6A6A6"/>
              <w:left w:val="nil"/>
              <w:bottom w:val="single" w:sz="8" w:space="0" w:color="A6A6A6"/>
              <w:right w:val="single" w:sz="8" w:space="0" w:color="A6A6A6"/>
            </w:tcBorders>
            <w:vAlign w:val="center"/>
            <w:hideMark/>
          </w:tcPr>
          <w:p w:rsidR="00CB2519" w:rsidRDefault="00CB2519" w:rsidP="00277C86">
            <w:pPr>
              <w:jc w:val="center"/>
              <w:rPr>
                <w:color w:val="000000"/>
                <w:sz w:val="20"/>
                <w:szCs w:val="20"/>
              </w:rPr>
            </w:pPr>
            <w:r>
              <w:rPr>
                <w:color w:val="000000"/>
                <w:sz w:val="20"/>
                <w:szCs w:val="20"/>
              </w:rPr>
              <w:t>26.5</w:t>
            </w:r>
          </w:p>
        </w:tc>
      </w:tr>
      <w:tr w:rsidR="00CB2519" w:rsidTr="00277C86">
        <w:trPr>
          <w:trHeight w:val="315"/>
          <w:jc w:val="center"/>
        </w:trPr>
        <w:tc>
          <w:tcPr>
            <w:tcW w:w="2365" w:type="dxa"/>
            <w:tcBorders>
              <w:top w:val="nil"/>
              <w:left w:val="single" w:sz="8" w:space="0" w:color="A6A6A6"/>
              <w:bottom w:val="single" w:sz="8" w:space="0" w:color="A6A6A6"/>
              <w:right w:val="single" w:sz="8" w:space="0" w:color="A6A6A6"/>
            </w:tcBorders>
            <w:vAlign w:val="center"/>
            <w:hideMark/>
          </w:tcPr>
          <w:p w:rsidR="00CB2519" w:rsidRDefault="00CB2519" w:rsidP="00277C86">
            <w:pPr>
              <w:spacing w:line="252" w:lineRule="auto"/>
              <w:jc w:val="both"/>
              <w:rPr>
                <w:color w:val="000000"/>
                <w:sz w:val="20"/>
                <w:szCs w:val="20"/>
              </w:rPr>
            </w:pPr>
            <w:r>
              <w:rPr>
                <w:color w:val="000000"/>
                <w:sz w:val="20"/>
                <w:szCs w:val="20"/>
              </w:rPr>
              <w:t xml:space="preserve">Desconcentradas </w:t>
            </w:r>
          </w:p>
        </w:tc>
        <w:tc>
          <w:tcPr>
            <w:tcW w:w="1640" w:type="dxa"/>
            <w:tcBorders>
              <w:top w:val="nil"/>
              <w:left w:val="nil"/>
              <w:bottom w:val="single" w:sz="8" w:space="0" w:color="A6A6A6"/>
              <w:right w:val="single" w:sz="8" w:space="0" w:color="A6A6A6"/>
            </w:tcBorders>
            <w:vAlign w:val="center"/>
            <w:hideMark/>
          </w:tcPr>
          <w:p w:rsidR="00CB2519" w:rsidRDefault="00CB2519" w:rsidP="00277C86">
            <w:pPr>
              <w:jc w:val="right"/>
              <w:rPr>
                <w:color w:val="000000"/>
                <w:sz w:val="20"/>
                <w:szCs w:val="20"/>
              </w:rPr>
            </w:pPr>
            <w:r>
              <w:rPr>
                <w:color w:val="000000"/>
                <w:sz w:val="20"/>
                <w:szCs w:val="20"/>
              </w:rPr>
              <w:t>786,432,936.00</w:t>
            </w:r>
          </w:p>
        </w:tc>
        <w:tc>
          <w:tcPr>
            <w:tcW w:w="1153" w:type="dxa"/>
            <w:tcBorders>
              <w:top w:val="nil"/>
              <w:left w:val="nil"/>
              <w:bottom w:val="single" w:sz="8" w:space="0" w:color="A6A6A6"/>
              <w:right w:val="single" w:sz="8" w:space="0" w:color="A6A6A6"/>
            </w:tcBorders>
            <w:vAlign w:val="center"/>
            <w:hideMark/>
          </w:tcPr>
          <w:p w:rsidR="00CB2519" w:rsidRDefault="00CB2519" w:rsidP="00277C86">
            <w:pPr>
              <w:jc w:val="center"/>
              <w:rPr>
                <w:color w:val="000000"/>
                <w:sz w:val="20"/>
                <w:szCs w:val="20"/>
              </w:rPr>
            </w:pPr>
            <w:r>
              <w:rPr>
                <w:color w:val="000000"/>
                <w:sz w:val="20"/>
                <w:szCs w:val="20"/>
              </w:rPr>
              <w:t>2.8</w:t>
            </w:r>
          </w:p>
        </w:tc>
      </w:tr>
      <w:tr w:rsidR="00CB2519" w:rsidTr="00277C86">
        <w:trPr>
          <w:trHeight w:val="315"/>
          <w:jc w:val="center"/>
        </w:trPr>
        <w:tc>
          <w:tcPr>
            <w:tcW w:w="2365" w:type="dxa"/>
            <w:tcBorders>
              <w:top w:val="nil"/>
              <w:left w:val="single" w:sz="8" w:space="0" w:color="A6A6A6"/>
              <w:bottom w:val="single" w:sz="8" w:space="0" w:color="A6A6A6"/>
              <w:right w:val="single" w:sz="8" w:space="0" w:color="A6A6A6"/>
            </w:tcBorders>
            <w:vAlign w:val="center"/>
            <w:hideMark/>
          </w:tcPr>
          <w:p w:rsidR="00CB2519" w:rsidRDefault="00CB2519" w:rsidP="00277C86">
            <w:pPr>
              <w:spacing w:line="252" w:lineRule="auto"/>
              <w:jc w:val="both"/>
              <w:rPr>
                <w:color w:val="000000"/>
                <w:sz w:val="20"/>
                <w:szCs w:val="20"/>
              </w:rPr>
            </w:pPr>
            <w:r>
              <w:rPr>
                <w:color w:val="000000"/>
                <w:sz w:val="20"/>
                <w:szCs w:val="20"/>
              </w:rPr>
              <w:t xml:space="preserve">Descentralizadas </w:t>
            </w:r>
          </w:p>
        </w:tc>
        <w:tc>
          <w:tcPr>
            <w:tcW w:w="1640" w:type="dxa"/>
            <w:tcBorders>
              <w:top w:val="nil"/>
              <w:left w:val="nil"/>
              <w:bottom w:val="single" w:sz="8" w:space="0" w:color="A6A6A6"/>
              <w:right w:val="single" w:sz="8" w:space="0" w:color="A6A6A6"/>
            </w:tcBorders>
            <w:vAlign w:val="center"/>
            <w:hideMark/>
          </w:tcPr>
          <w:p w:rsidR="00CB2519" w:rsidRDefault="00CB2519" w:rsidP="00277C86">
            <w:pPr>
              <w:jc w:val="right"/>
              <w:rPr>
                <w:color w:val="000000"/>
                <w:sz w:val="20"/>
                <w:szCs w:val="20"/>
              </w:rPr>
            </w:pPr>
            <w:r>
              <w:rPr>
                <w:color w:val="000000"/>
                <w:sz w:val="20"/>
                <w:szCs w:val="20"/>
              </w:rPr>
              <w:t>12,908,322,770.00</w:t>
            </w:r>
          </w:p>
        </w:tc>
        <w:tc>
          <w:tcPr>
            <w:tcW w:w="1153" w:type="dxa"/>
            <w:tcBorders>
              <w:top w:val="nil"/>
              <w:left w:val="nil"/>
              <w:bottom w:val="single" w:sz="8" w:space="0" w:color="A6A6A6"/>
              <w:right w:val="single" w:sz="8" w:space="0" w:color="A6A6A6"/>
            </w:tcBorders>
            <w:vAlign w:val="center"/>
            <w:hideMark/>
          </w:tcPr>
          <w:p w:rsidR="00CB2519" w:rsidRDefault="00CB2519" w:rsidP="00277C86">
            <w:pPr>
              <w:jc w:val="center"/>
              <w:rPr>
                <w:color w:val="000000"/>
                <w:sz w:val="20"/>
                <w:szCs w:val="20"/>
              </w:rPr>
            </w:pPr>
            <w:r>
              <w:rPr>
                <w:color w:val="000000"/>
                <w:sz w:val="20"/>
                <w:szCs w:val="20"/>
              </w:rPr>
              <w:t>46.7</w:t>
            </w:r>
          </w:p>
        </w:tc>
      </w:tr>
      <w:tr w:rsidR="00CB2519" w:rsidTr="00277C86">
        <w:trPr>
          <w:trHeight w:val="615"/>
          <w:jc w:val="center"/>
        </w:trPr>
        <w:tc>
          <w:tcPr>
            <w:tcW w:w="2365" w:type="dxa"/>
            <w:tcBorders>
              <w:top w:val="nil"/>
              <w:left w:val="single" w:sz="8" w:space="0" w:color="A6A6A6"/>
              <w:bottom w:val="single" w:sz="8" w:space="0" w:color="A6A6A6"/>
              <w:right w:val="single" w:sz="8" w:space="0" w:color="A6A6A6"/>
            </w:tcBorders>
            <w:vAlign w:val="center"/>
            <w:hideMark/>
          </w:tcPr>
          <w:p w:rsidR="00CB2519" w:rsidRDefault="00CB2519" w:rsidP="00277C86">
            <w:pPr>
              <w:spacing w:line="252" w:lineRule="auto"/>
              <w:jc w:val="both"/>
              <w:rPr>
                <w:color w:val="000000"/>
                <w:sz w:val="20"/>
                <w:szCs w:val="20"/>
              </w:rPr>
            </w:pPr>
            <w:r>
              <w:rPr>
                <w:color w:val="000000"/>
                <w:sz w:val="20"/>
                <w:szCs w:val="20"/>
              </w:rPr>
              <w:t>Poder Legislativo y Judicial</w:t>
            </w:r>
          </w:p>
        </w:tc>
        <w:tc>
          <w:tcPr>
            <w:tcW w:w="1640" w:type="dxa"/>
            <w:tcBorders>
              <w:top w:val="nil"/>
              <w:left w:val="nil"/>
              <w:bottom w:val="single" w:sz="8" w:space="0" w:color="A6A6A6"/>
              <w:right w:val="single" w:sz="8" w:space="0" w:color="A6A6A6"/>
            </w:tcBorders>
            <w:vAlign w:val="center"/>
            <w:hideMark/>
          </w:tcPr>
          <w:p w:rsidR="00CB2519" w:rsidRDefault="00CB2519" w:rsidP="00277C86">
            <w:pPr>
              <w:jc w:val="right"/>
              <w:rPr>
                <w:color w:val="000000"/>
                <w:sz w:val="20"/>
                <w:szCs w:val="20"/>
              </w:rPr>
            </w:pPr>
            <w:r>
              <w:rPr>
                <w:color w:val="000000"/>
                <w:sz w:val="20"/>
                <w:szCs w:val="20"/>
              </w:rPr>
              <w:t>928,173,147.00</w:t>
            </w:r>
          </w:p>
        </w:tc>
        <w:tc>
          <w:tcPr>
            <w:tcW w:w="1153" w:type="dxa"/>
            <w:tcBorders>
              <w:top w:val="nil"/>
              <w:left w:val="nil"/>
              <w:bottom w:val="single" w:sz="8" w:space="0" w:color="A6A6A6"/>
              <w:right w:val="single" w:sz="8" w:space="0" w:color="A6A6A6"/>
            </w:tcBorders>
            <w:vAlign w:val="center"/>
            <w:hideMark/>
          </w:tcPr>
          <w:p w:rsidR="00CB2519" w:rsidRDefault="00CB2519" w:rsidP="00277C86">
            <w:pPr>
              <w:jc w:val="center"/>
              <w:rPr>
                <w:color w:val="000000"/>
                <w:sz w:val="20"/>
                <w:szCs w:val="20"/>
              </w:rPr>
            </w:pPr>
            <w:r>
              <w:rPr>
                <w:color w:val="000000"/>
                <w:sz w:val="20"/>
                <w:szCs w:val="20"/>
              </w:rPr>
              <w:t>3.4</w:t>
            </w:r>
          </w:p>
        </w:tc>
      </w:tr>
      <w:tr w:rsidR="00CB2519" w:rsidTr="00277C86">
        <w:trPr>
          <w:trHeight w:val="315"/>
          <w:jc w:val="center"/>
        </w:trPr>
        <w:tc>
          <w:tcPr>
            <w:tcW w:w="2365" w:type="dxa"/>
            <w:tcBorders>
              <w:top w:val="nil"/>
              <w:left w:val="single" w:sz="8" w:space="0" w:color="A6A6A6"/>
              <w:bottom w:val="single" w:sz="8" w:space="0" w:color="A6A6A6"/>
              <w:right w:val="single" w:sz="8" w:space="0" w:color="A6A6A6"/>
            </w:tcBorders>
            <w:vAlign w:val="center"/>
            <w:hideMark/>
          </w:tcPr>
          <w:p w:rsidR="00CB2519" w:rsidRDefault="00CB2519" w:rsidP="00277C86">
            <w:pPr>
              <w:spacing w:line="252" w:lineRule="auto"/>
              <w:jc w:val="both"/>
              <w:rPr>
                <w:color w:val="000000"/>
                <w:sz w:val="20"/>
                <w:szCs w:val="20"/>
              </w:rPr>
            </w:pPr>
            <w:r>
              <w:rPr>
                <w:color w:val="000000"/>
                <w:sz w:val="20"/>
                <w:szCs w:val="20"/>
              </w:rPr>
              <w:t>Órganos Autónomos</w:t>
            </w:r>
          </w:p>
        </w:tc>
        <w:tc>
          <w:tcPr>
            <w:tcW w:w="1640" w:type="dxa"/>
            <w:tcBorders>
              <w:top w:val="nil"/>
              <w:left w:val="nil"/>
              <w:bottom w:val="single" w:sz="8" w:space="0" w:color="A6A6A6"/>
              <w:right w:val="single" w:sz="8" w:space="0" w:color="A6A6A6"/>
            </w:tcBorders>
            <w:vAlign w:val="center"/>
            <w:hideMark/>
          </w:tcPr>
          <w:p w:rsidR="00CB2519" w:rsidRDefault="00CB2519" w:rsidP="00277C86">
            <w:pPr>
              <w:jc w:val="right"/>
              <w:rPr>
                <w:color w:val="000000"/>
                <w:sz w:val="20"/>
                <w:szCs w:val="20"/>
              </w:rPr>
            </w:pPr>
            <w:r>
              <w:rPr>
                <w:color w:val="000000"/>
                <w:sz w:val="20"/>
                <w:szCs w:val="20"/>
              </w:rPr>
              <w:t>598,353,602.00</w:t>
            </w:r>
          </w:p>
        </w:tc>
        <w:tc>
          <w:tcPr>
            <w:tcW w:w="1153" w:type="dxa"/>
            <w:tcBorders>
              <w:top w:val="nil"/>
              <w:left w:val="nil"/>
              <w:bottom w:val="single" w:sz="8" w:space="0" w:color="A6A6A6"/>
              <w:right w:val="single" w:sz="8" w:space="0" w:color="A6A6A6"/>
            </w:tcBorders>
            <w:vAlign w:val="center"/>
            <w:hideMark/>
          </w:tcPr>
          <w:p w:rsidR="00CB2519" w:rsidRDefault="00CB2519" w:rsidP="00277C86">
            <w:pPr>
              <w:jc w:val="center"/>
              <w:rPr>
                <w:color w:val="000000"/>
                <w:sz w:val="20"/>
                <w:szCs w:val="20"/>
              </w:rPr>
            </w:pPr>
            <w:r>
              <w:rPr>
                <w:color w:val="000000"/>
                <w:sz w:val="20"/>
                <w:szCs w:val="20"/>
              </w:rPr>
              <w:t>2.2</w:t>
            </w:r>
          </w:p>
        </w:tc>
      </w:tr>
      <w:tr w:rsidR="00CB2519" w:rsidTr="00277C86">
        <w:trPr>
          <w:trHeight w:val="315"/>
          <w:jc w:val="center"/>
        </w:trPr>
        <w:tc>
          <w:tcPr>
            <w:tcW w:w="2365" w:type="dxa"/>
            <w:tcBorders>
              <w:top w:val="nil"/>
              <w:left w:val="single" w:sz="8" w:space="0" w:color="A6A6A6"/>
              <w:bottom w:val="single" w:sz="8" w:space="0" w:color="A6A6A6"/>
              <w:right w:val="single" w:sz="8" w:space="0" w:color="A6A6A6"/>
            </w:tcBorders>
            <w:vAlign w:val="center"/>
            <w:hideMark/>
          </w:tcPr>
          <w:p w:rsidR="00CB2519" w:rsidRDefault="00CB2519" w:rsidP="00277C86">
            <w:pPr>
              <w:spacing w:line="252" w:lineRule="auto"/>
              <w:jc w:val="both"/>
              <w:rPr>
                <w:color w:val="000000"/>
                <w:sz w:val="20"/>
                <w:szCs w:val="20"/>
              </w:rPr>
            </w:pPr>
            <w:r>
              <w:rPr>
                <w:color w:val="000000"/>
                <w:sz w:val="20"/>
                <w:szCs w:val="20"/>
              </w:rPr>
              <w:t xml:space="preserve">Municipios </w:t>
            </w:r>
          </w:p>
        </w:tc>
        <w:tc>
          <w:tcPr>
            <w:tcW w:w="1640" w:type="dxa"/>
            <w:tcBorders>
              <w:top w:val="nil"/>
              <w:left w:val="nil"/>
              <w:bottom w:val="single" w:sz="8" w:space="0" w:color="A6A6A6"/>
              <w:right w:val="single" w:sz="8" w:space="0" w:color="A6A6A6"/>
            </w:tcBorders>
            <w:vAlign w:val="center"/>
            <w:hideMark/>
          </w:tcPr>
          <w:p w:rsidR="00CB2519" w:rsidRDefault="00CB2519" w:rsidP="00277C86">
            <w:pPr>
              <w:jc w:val="right"/>
              <w:rPr>
                <w:color w:val="000000"/>
                <w:sz w:val="20"/>
                <w:szCs w:val="20"/>
              </w:rPr>
            </w:pPr>
            <w:r>
              <w:rPr>
                <w:color w:val="000000"/>
                <w:sz w:val="20"/>
                <w:szCs w:val="20"/>
              </w:rPr>
              <w:t>5,099,497,415.00</w:t>
            </w:r>
          </w:p>
        </w:tc>
        <w:tc>
          <w:tcPr>
            <w:tcW w:w="1153" w:type="dxa"/>
            <w:tcBorders>
              <w:top w:val="nil"/>
              <w:left w:val="nil"/>
              <w:bottom w:val="single" w:sz="8" w:space="0" w:color="A6A6A6"/>
              <w:right w:val="single" w:sz="8" w:space="0" w:color="A6A6A6"/>
            </w:tcBorders>
            <w:vAlign w:val="center"/>
            <w:hideMark/>
          </w:tcPr>
          <w:p w:rsidR="00CB2519" w:rsidRDefault="00CB2519" w:rsidP="00277C86">
            <w:pPr>
              <w:jc w:val="center"/>
              <w:rPr>
                <w:color w:val="000000"/>
                <w:sz w:val="20"/>
                <w:szCs w:val="20"/>
              </w:rPr>
            </w:pPr>
            <w:r>
              <w:rPr>
                <w:color w:val="000000"/>
                <w:sz w:val="20"/>
                <w:szCs w:val="20"/>
              </w:rPr>
              <w:t>18.4</w:t>
            </w:r>
          </w:p>
        </w:tc>
      </w:tr>
      <w:tr w:rsidR="00CB2519" w:rsidTr="00277C86">
        <w:trPr>
          <w:trHeight w:val="330"/>
          <w:jc w:val="center"/>
        </w:trPr>
        <w:tc>
          <w:tcPr>
            <w:tcW w:w="2365" w:type="dxa"/>
            <w:tcBorders>
              <w:top w:val="nil"/>
              <w:left w:val="single" w:sz="8" w:space="0" w:color="A6A6A6"/>
              <w:bottom w:val="single" w:sz="8" w:space="0" w:color="A6A6A6"/>
              <w:right w:val="single" w:sz="8" w:space="0" w:color="A6A6A6"/>
            </w:tcBorders>
            <w:shd w:val="clear" w:color="auto" w:fill="CCCCCC"/>
            <w:vAlign w:val="center"/>
            <w:hideMark/>
          </w:tcPr>
          <w:p w:rsidR="00CB2519" w:rsidRDefault="00CB2519" w:rsidP="00277C86">
            <w:pPr>
              <w:spacing w:line="252" w:lineRule="auto"/>
              <w:jc w:val="center"/>
              <w:rPr>
                <w:b/>
                <w:bCs/>
                <w:color w:val="000000"/>
                <w:sz w:val="20"/>
                <w:szCs w:val="20"/>
              </w:rPr>
            </w:pPr>
            <w:r>
              <w:rPr>
                <w:b/>
                <w:bCs/>
                <w:color w:val="000000"/>
                <w:sz w:val="20"/>
                <w:szCs w:val="20"/>
              </w:rPr>
              <w:t>TOTAL</w:t>
            </w:r>
          </w:p>
        </w:tc>
        <w:tc>
          <w:tcPr>
            <w:tcW w:w="1640" w:type="dxa"/>
            <w:tcBorders>
              <w:top w:val="nil"/>
              <w:left w:val="nil"/>
              <w:bottom w:val="single" w:sz="8" w:space="0" w:color="A6A6A6"/>
              <w:right w:val="single" w:sz="8" w:space="0" w:color="A6A6A6"/>
            </w:tcBorders>
            <w:shd w:val="clear" w:color="auto" w:fill="CCCCCC"/>
            <w:vAlign w:val="center"/>
            <w:hideMark/>
          </w:tcPr>
          <w:p w:rsidR="00CB2519" w:rsidRDefault="00CB2519" w:rsidP="00277C86">
            <w:pPr>
              <w:jc w:val="right"/>
              <w:rPr>
                <w:b/>
                <w:bCs/>
                <w:color w:val="000000"/>
                <w:sz w:val="20"/>
                <w:szCs w:val="20"/>
              </w:rPr>
            </w:pPr>
            <w:r>
              <w:rPr>
                <w:b/>
                <w:bCs/>
                <w:color w:val="000000"/>
                <w:sz w:val="20"/>
                <w:szCs w:val="20"/>
              </w:rPr>
              <w:t>27,644,830,450.00</w:t>
            </w:r>
          </w:p>
        </w:tc>
        <w:tc>
          <w:tcPr>
            <w:tcW w:w="1153" w:type="dxa"/>
            <w:tcBorders>
              <w:top w:val="nil"/>
              <w:left w:val="nil"/>
              <w:bottom w:val="single" w:sz="8" w:space="0" w:color="A6A6A6"/>
              <w:right w:val="single" w:sz="8" w:space="0" w:color="A6A6A6"/>
            </w:tcBorders>
            <w:shd w:val="clear" w:color="auto" w:fill="CCCCCC"/>
            <w:vAlign w:val="center"/>
            <w:hideMark/>
          </w:tcPr>
          <w:p w:rsidR="00CB2519" w:rsidRDefault="00CB2519" w:rsidP="00277C86">
            <w:pPr>
              <w:jc w:val="center"/>
              <w:rPr>
                <w:b/>
                <w:bCs/>
                <w:color w:val="000000"/>
                <w:sz w:val="20"/>
                <w:szCs w:val="20"/>
              </w:rPr>
            </w:pPr>
            <w:r>
              <w:rPr>
                <w:b/>
                <w:bCs/>
                <w:color w:val="000000"/>
                <w:sz w:val="20"/>
                <w:szCs w:val="20"/>
              </w:rPr>
              <w:t>100</w:t>
            </w:r>
          </w:p>
        </w:tc>
      </w:tr>
    </w:tbl>
    <w:p w:rsidR="00CB2519" w:rsidRDefault="00CB2519" w:rsidP="00CB2519">
      <w:pPr>
        <w:spacing w:after="200" w:line="360" w:lineRule="auto"/>
        <w:contextualSpacing/>
        <w:jc w:val="center"/>
        <w:rPr>
          <w:rFonts w:eastAsia="Calibri"/>
          <w:b/>
          <w:sz w:val="20"/>
          <w:szCs w:val="20"/>
        </w:rPr>
      </w:pPr>
    </w:p>
    <w:p w:rsidR="00CB2519" w:rsidRDefault="00CB2519" w:rsidP="00CB2519">
      <w:pPr>
        <w:spacing w:after="200" w:line="360" w:lineRule="auto"/>
        <w:contextualSpacing/>
        <w:jc w:val="center"/>
        <w:rPr>
          <w:rFonts w:eastAsia="Calibri"/>
          <w:b/>
          <w:sz w:val="20"/>
          <w:szCs w:val="20"/>
        </w:rPr>
      </w:pPr>
    </w:p>
    <w:p w:rsidR="00CB2519" w:rsidRDefault="00CB2519" w:rsidP="00CB2519">
      <w:pPr>
        <w:spacing w:after="200" w:line="360" w:lineRule="auto"/>
        <w:jc w:val="both"/>
        <w:rPr>
          <w:rFonts w:eastAsia="Calibri"/>
          <w:sz w:val="20"/>
          <w:szCs w:val="20"/>
        </w:rPr>
      </w:pPr>
      <w:r>
        <w:rPr>
          <w:rFonts w:eastAsia="Calibri"/>
          <w:sz w:val="20"/>
          <w:szCs w:val="20"/>
        </w:rPr>
        <w:t>El presupuesto de recursos estatales del Poder Ejecutivo asciende a un monto total de $9,455,574,113.00, el cual representa un incremento porcentual de 5.8% respecto al ejercicio fiscal 2023.</w:t>
      </w:r>
    </w:p>
    <w:p w:rsidR="00CB2519" w:rsidRDefault="00CB2519" w:rsidP="00CB2519">
      <w:pPr>
        <w:spacing w:after="200" w:line="360" w:lineRule="auto"/>
        <w:jc w:val="both"/>
        <w:rPr>
          <w:rFonts w:eastAsia="Calibri"/>
          <w:sz w:val="20"/>
          <w:szCs w:val="20"/>
        </w:rPr>
      </w:pPr>
      <w:r>
        <w:rPr>
          <w:rFonts w:eastAsia="Calibri"/>
          <w:sz w:val="20"/>
          <w:szCs w:val="20"/>
        </w:rPr>
        <w:t>De igual manera con referencia al actual ejercicio, las Aportaciones Federales del Ramo 33 etiquetadas en el Presupuesto de Egresos de la Federación, se estima que se tenga un incremento del 9.4%.</w:t>
      </w:r>
    </w:p>
    <w:p w:rsidR="00505BAF" w:rsidRDefault="00505BAF" w:rsidP="00CB2519">
      <w:pPr>
        <w:spacing w:after="200" w:line="360" w:lineRule="auto"/>
        <w:jc w:val="center"/>
        <w:rPr>
          <w:rFonts w:eastAsia="Calibri"/>
          <w:b/>
          <w:sz w:val="20"/>
          <w:szCs w:val="20"/>
        </w:rPr>
      </w:pPr>
    </w:p>
    <w:p w:rsidR="00505BAF" w:rsidRDefault="00505BAF" w:rsidP="00CB2519">
      <w:pPr>
        <w:spacing w:after="200" w:line="360" w:lineRule="auto"/>
        <w:jc w:val="center"/>
        <w:rPr>
          <w:rFonts w:eastAsia="Calibri"/>
          <w:b/>
          <w:sz w:val="20"/>
          <w:szCs w:val="20"/>
        </w:rPr>
      </w:pPr>
    </w:p>
    <w:p w:rsidR="00CB2519" w:rsidRDefault="00CB2519" w:rsidP="00CB2519">
      <w:pPr>
        <w:spacing w:after="200" w:line="360" w:lineRule="auto"/>
        <w:jc w:val="center"/>
        <w:rPr>
          <w:rFonts w:eastAsia="Calibri"/>
          <w:b/>
          <w:sz w:val="20"/>
          <w:szCs w:val="20"/>
        </w:rPr>
      </w:pPr>
      <w:r>
        <w:rPr>
          <w:rFonts w:eastAsia="Calibri"/>
          <w:b/>
          <w:sz w:val="20"/>
          <w:szCs w:val="20"/>
        </w:rPr>
        <w:lastRenderedPageBreak/>
        <w:t xml:space="preserve">Clasificación por Subfuente de Financiamiento </w:t>
      </w:r>
    </w:p>
    <w:tbl>
      <w:tblPr>
        <w:tblW w:w="5122" w:type="dxa"/>
        <w:jc w:val="center"/>
        <w:tblCellMar>
          <w:left w:w="70" w:type="dxa"/>
          <w:right w:w="70" w:type="dxa"/>
        </w:tblCellMar>
        <w:tblLook w:val="04A0" w:firstRow="1" w:lastRow="0" w:firstColumn="1" w:lastColumn="0" w:noHBand="0" w:noVBand="1"/>
      </w:tblPr>
      <w:tblGrid>
        <w:gridCol w:w="3482"/>
        <w:gridCol w:w="1640"/>
      </w:tblGrid>
      <w:tr w:rsidR="00CB2519" w:rsidTr="00277C86">
        <w:trPr>
          <w:trHeight w:val="567"/>
          <w:tblHeader/>
          <w:jc w:val="center"/>
        </w:trPr>
        <w:tc>
          <w:tcPr>
            <w:tcW w:w="3482" w:type="dxa"/>
            <w:tcBorders>
              <w:top w:val="single" w:sz="8" w:space="0" w:color="A6A6A6"/>
              <w:left w:val="single" w:sz="8" w:space="0" w:color="A6A6A6"/>
              <w:bottom w:val="nil"/>
              <w:right w:val="single" w:sz="8" w:space="0" w:color="A6A6A6"/>
            </w:tcBorders>
            <w:shd w:val="clear" w:color="auto" w:fill="CCCCCC"/>
            <w:vAlign w:val="center"/>
            <w:hideMark/>
          </w:tcPr>
          <w:p w:rsidR="00CB2519" w:rsidRDefault="00CB2519" w:rsidP="00277C86">
            <w:pPr>
              <w:spacing w:line="360" w:lineRule="auto"/>
              <w:jc w:val="center"/>
              <w:rPr>
                <w:b/>
                <w:bCs/>
                <w:sz w:val="20"/>
                <w:szCs w:val="20"/>
                <w:lang w:eastAsia="es-MX"/>
              </w:rPr>
            </w:pPr>
            <w:r>
              <w:rPr>
                <w:b/>
                <w:bCs/>
                <w:sz w:val="20"/>
                <w:szCs w:val="20"/>
                <w:lang w:eastAsia="es-MX"/>
              </w:rPr>
              <w:t>FUENTE DE FINANCIAMIENTO</w:t>
            </w:r>
          </w:p>
        </w:tc>
        <w:tc>
          <w:tcPr>
            <w:tcW w:w="1640" w:type="dxa"/>
            <w:tcBorders>
              <w:top w:val="single" w:sz="8" w:space="0" w:color="A6A6A6"/>
              <w:left w:val="nil"/>
              <w:bottom w:val="nil"/>
              <w:right w:val="single" w:sz="8" w:space="0" w:color="A6A6A6"/>
            </w:tcBorders>
            <w:shd w:val="clear" w:color="auto" w:fill="CCCCCC"/>
            <w:vAlign w:val="center"/>
            <w:hideMark/>
          </w:tcPr>
          <w:p w:rsidR="00CB2519" w:rsidRDefault="00CB2519" w:rsidP="00277C86">
            <w:pPr>
              <w:spacing w:line="360" w:lineRule="auto"/>
              <w:jc w:val="center"/>
              <w:rPr>
                <w:b/>
                <w:bCs/>
                <w:sz w:val="20"/>
                <w:szCs w:val="20"/>
                <w:lang w:eastAsia="es-MX"/>
              </w:rPr>
            </w:pPr>
            <w:r>
              <w:rPr>
                <w:b/>
                <w:bCs/>
                <w:sz w:val="20"/>
                <w:szCs w:val="20"/>
                <w:lang w:eastAsia="es-MX"/>
              </w:rPr>
              <w:t>MONTO</w:t>
            </w:r>
          </w:p>
          <w:p w:rsidR="00CB2519" w:rsidRDefault="00CB2519" w:rsidP="00277C86">
            <w:pPr>
              <w:spacing w:line="360" w:lineRule="auto"/>
              <w:jc w:val="center"/>
              <w:rPr>
                <w:b/>
                <w:bCs/>
                <w:sz w:val="20"/>
                <w:szCs w:val="20"/>
                <w:lang w:eastAsia="es-MX"/>
              </w:rPr>
            </w:pPr>
            <w:r>
              <w:rPr>
                <w:b/>
                <w:bCs/>
                <w:sz w:val="20"/>
                <w:szCs w:val="20"/>
                <w:lang w:eastAsia="es-MX"/>
              </w:rPr>
              <w:t>($)</w:t>
            </w:r>
          </w:p>
        </w:tc>
      </w:tr>
      <w:tr w:rsidR="00CB2519" w:rsidTr="00277C86">
        <w:trPr>
          <w:trHeight w:val="315"/>
          <w:jc w:val="center"/>
        </w:trPr>
        <w:tc>
          <w:tcPr>
            <w:tcW w:w="3482" w:type="dxa"/>
            <w:tcBorders>
              <w:top w:val="single" w:sz="8" w:space="0" w:color="A6A6A6"/>
              <w:left w:val="single" w:sz="8" w:space="0" w:color="A6A6A6"/>
              <w:bottom w:val="single" w:sz="8" w:space="0" w:color="A6A6A6"/>
              <w:right w:val="single" w:sz="8" w:space="0" w:color="A6A6A6"/>
            </w:tcBorders>
            <w:vAlign w:val="center"/>
            <w:hideMark/>
          </w:tcPr>
          <w:p w:rsidR="00CB2519" w:rsidRDefault="00CB2519" w:rsidP="00277C86">
            <w:pPr>
              <w:spacing w:line="252" w:lineRule="auto"/>
              <w:jc w:val="both"/>
              <w:rPr>
                <w:sz w:val="20"/>
                <w:szCs w:val="20"/>
                <w:lang w:val="es-MX" w:eastAsia="es-MX"/>
              </w:rPr>
            </w:pPr>
            <w:r>
              <w:rPr>
                <w:sz w:val="20"/>
                <w:szCs w:val="20"/>
              </w:rPr>
              <w:t>Fuentes locales</w:t>
            </w:r>
          </w:p>
        </w:tc>
        <w:tc>
          <w:tcPr>
            <w:tcW w:w="1640" w:type="dxa"/>
            <w:tcBorders>
              <w:top w:val="single" w:sz="8" w:space="0" w:color="A6A6A6"/>
              <w:left w:val="nil"/>
              <w:bottom w:val="single" w:sz="8" w:space="0" w:color="A6A6A6"/>
              <w:right w:val="single" w:sz="8" w:space="0" w:color="A6A6A6"/>
            </w:tcBorders>
            <w:vAlign w:val="center"/>
            <w:hideMark/>
          </w:tcPr>
          <w:p w:rsidR="00CB2519" w:rsidRDefault="00CB2519" w:rsidP="00277C86">
            <w:pPr>
              <w:spacing w:line="254" w:lineRule="auto"/>
              <w:jc w:val="right"/>
              <w:rPr>
                <w:color w:val="000000"/>
                <w:sz w:val="20"/>
                <w:szCs w:val="20"/>
                <w:lang w:val="es-MX" w:eastAsia="es-MX"/>
              </w:rPr>
            </w:pPr>
            <w:r>
              <w:rPr>
                <w:color w:val="000000"/>
                <w:sz w:val="20"/>
                <w:szCs w:val="20"/>
              </w:rPr>
              <w:t>1,779,828,937.00</w:t>
            </w:r>
          </w:p>
        </w:tc>
      </w:tr>
      <w:tr w:rsidR="00CB2519" w:rsidTr="00277C86">
        <w:trPr>
          <w:trHeight w:val="417"/>
          <w:jc w:val="center"/>
        </w:trPr>
        <w:tc>
          <w:tcPr>
            <w:tcW w:w="3482" w:type="dxa"/>
            <w:tcBorders>
              <w:top w:val="nil"/>
              <w:left w:val="single" w:sz="8" w:space="0" w:color="A6A6A6"/>
              <w:bottom w:val="single" w:sz="8" w:space="0" w:color="A6A6A6"/>
              <w:right w:val="single" w:sz="8" w:space="0" w:color="A6A6A6"/>
            </w:tcBorders>
            <w:vAlign w:val="center"/>
            <w:hideMark/>
          </w:tcPr>
          <w:p w:rsidR="00CB2519" w:rsidRDefault="00CB2519" w:rsidP="00277C86">
            <w:pPr>
              <w:spacing w:line="252" w:lineRule="auto"/>
              <w:jc w:val="both"/>
              <w:rPr>
                <w:sz w:val="20"/>
                <w:szCs w:val="20"/>
              </w:rPr>
            </w:pPr>
            <w:r>
              <w:rPr>
                <w:sz w:val="20"/>
                <w:szCs w:val="20"/>
              </w:rPr>
              <w:t>Participaciones e Incentivos</w:t>
            </w:r>
          </w:p>
        </w:tc>
        <w:tc>
          <w:tcPr>
            <w:tcW w:w="1640" w:type="dxa"/>
            <w:tcBorders>
              <w:top w:val="nil"/>
              <w:left w:val="nil"/>
              <w:bottom w:val="single" w:sz="8" w:space="0" w:color="A6A6A6"/>
              <w:right w:val="single" w:sz="8" w:space="0" w:color="A6A6A6"/>
            </w:tcBorders>
            <w:vAlign w:val="center"/>
            <w:hideMark/>
          </w:tcPr>
          <w:p w:rsidR="00CB2519" w:rsidRDefault="00CB2519" w:rsidP="00277C86">
            <w:pPr>
              <w:spacing w:line="254" w:lineRule="auto"/>
              <w:jc w:val="right"/>
              <w:rPr>
                <w:color w:val="000000"/>
                <w:sz w:val="20"/>
                <w:szCs w:val="20"/>
              </w:rPr>
            </w:pPr>
            <w:r>
              <w:rPr>
                <w:color w:val="000000"/>
                <w:sz w:val="20"/>
                <w:szCs w:val="20"/>
              </w:rPr>
              <w:t>7,675,745,176.00</w:t>
            </w:r>
          </w:p>
        </w:tc>
      </w:tr>
      <w:tr w:rsidR="00CB2519" w:rsidTr="00277C86">
        <w:trPr>
          <w:trHeight w:val="330"/>
          <w:jc w:val="center"/>
        </w:trPr>
        <w:tc>
          <w:tcPr>
            <w:tcW w:w="3482" w:type="dxa"/>
            <w:tcBorders>
              <w:top w:val="nil"/>
              <w:left w:val="single" w:sz="8" w:space="0" w:color="A6A6A6"/>
              <w:bottom w:val="single" w:sz="8" w:space="0" w:color="A6A6A6"/>
              <w:right w:val="single" w:sz="8" w:space="0" w:color="A6A6A6"/>
            </w:tcBorders>
            <w:vAlign w:val="center"/>
            <w:hideMark/>
          </w:tcPr>
          <w:p w:rsidR="00CB2519" w:rsidRDefault="00CB2519" w:rsidP="00277C86">
            <w:pPr>
              <w:spacing w:line="252" w:lineRule="auto"/>
              <w:jc w:val="both"/>
              <w:rPr>
                <w:b/>
                <w:bCs/>
                <w:sz w:val="20"/>
                <w:szCs w:val="20"/>
              </w:rPr>
            </w:pPr>
            <w:r>
              <w:rPr>
                <w:b/>
                <w:bCs/>
                <w:sz w:val="20"/>
                <w:szCs w:val="20"/>
              </w:rPr>
              <w:t>SUBTOTAL ESTATALES</w:t>
            </w:r>
          </w:p>
        </w:tc>
        <w:tc>
          <w:tcPr>
            <w:tcW w:w="1640" w:type="dxa"/>
            <w:tcBorders>
              <w:top w:val="nil"/>
              <w:left w:val="nil"/>
              <w:bottom w:val="single" w:sz="8" w:space="0" w:color="A6A6A6"/>
              <w:right w:val="single" w:sz="8" w:space="0" w:color="A6A6A6"/>
            </w:tcBorders>
            <w:vAlign w:val="center"/>
            <w:hideMark/>
          </w:tcPr>
          <w:p w:rsidR="00CB2519" w:rsidRDefault="00CB2519" w:rsidP="00277C86">
            <w:pPr>
              <w:spacing w:line="254" w:lineRule="auto"/>
              <w:jc w:val="right"/>
              <w:rPr>
                <w:b/>
                <w:bCs/>
                <w:color w:val="000000"/>
                <w:sz w:val="20"/>
                <w:szCs w:val="20"/>
              </w:rPr>
            </w:pPr>
            <w:r>
              <w:rPr>
                <w:b/>
                <w:bCs/>
                <w:color w:val="000000"/>
                <w:sz w:val="20"/>
                <w:szCs w:val="20"/>
              </w:rPr>
              <w:t>9,455,574,113.00</w:t>
            </w:r>
          </w:p>
        </w:tc>
      </w:tr>
      <w:tr w:rsidR="00CB2519" w:rsidTr="00277C86">
        <w:trPr>
          <w:trHeight w:val="357"/>
          <w:jc w:val="center"/>
        </w:trPr>
        <w:tc>
          <w:tcPr>
            <w:tcW w:w="3482" w:type="dxa"/>
            <w:tcBorders>
              <w:top w:val="nil"/>
              <w:left w:val="single" w:sz="8" w:space="0" w:color="A6A6A6"/>
              <w:bottom w:val="single" w:sz="8" w:space="0" w:color="A6A6A6"/>
              <w:right w:val="single" w:sz="8" w:space="0" w:color="A6A6A6"/>
            </w:tcBorders>
            <w:vAlign w:val="center"/>
            <w:hideMark/>
          </w:tcPr>
          <w:p w:rsidR="00CB2519" w:rsidRDefault="00CB2519" w:rsidP="00277C86">
            <w:pPr>
              <w:spacing w:line="252" w:lineRule="auto"/>
              <w:jc w:val="both"/>
              <w:rPr>
                <w:sz w:val="20"/>
                <w:szCs w:val="20"/>
              </w:rPr>
            </w:pPr>
            <w:r>
              <w:rPr>
                <w:sz w:val="20"/>
                <w:szCs w:val="20"/>
              </w:rPr>
              <w:t>Aportaciones Federales</w:t>
            </w:r>
          </w:p>
        </w:tc>
        <w:tc>
          <w:tcPr>
            <w:tcW w:w="1640" w:type="dxa"/>
            <w:tcBorders>
              <w:top w:val="nil"/>
              <w:left w:val="nil"/>
              <w:bottom w:val="single" w:sz="8" w:space="0" w:color="A6A6A6"/>
              <w:right w:val="single" w:sz="8" w:space="0" w:color="A6A6A6"/>
            </w:tcBorders>
            <w:vAlign w:val="center"/>
            <w:hideMark/>
          </w:tcPr>
          <w:p w:rsidR="00CB2519" w:rsidRDefault="00CB2519" w:rsidP="00277C86">
            <w:pPr>
              <w:spacing w:line="254" w:lineRule="auto"/>
              <w:jc w:val="right"/>
              <w:rPr>
                <w:color w:val="000000"/>
                <w:sz w:val="20"/>
                <w:szCs w:val="20"/>
              </w:rPr>
            </w:pPr>
            <w:r>
              <w:rPr>
                <w:color w:val="000000"/>
                <w:sz w:val="20"/>
                <w:szCs w:val="20"/>
              </w:rPr>
              <w:t>11,563,232,173.00</w:t>
            </w:r>
          </w:p>
        </w:tc>
      </w:tr>
      <w:tr w:rsidR="00CB2519" w:rsidTr="00277C86">
        <w:trPr>
          <w:trHeight w:val="330"/>
          <w:jc w:val="center"/>
        </w:trPr>
        <w:tc>
          <w:tcPr>
            <w:tcW w:w="3482" w:type="dxa"/>
            <w:tcBorders>
              <w:top w:val="nil"/>
              <w:left w:val="single" w:sz="8" w:space="0" w:color="A6A6A6"/>
              <w:bottom w:val="single" w:sz="8" w:space="0" w:color="A6A6A6"/>
              <w:right w:val="single" w:sz="8" w:space="0" w:color="A6A6A6"/>
            </w:tcBorders>
            <w:shd w:val="clear" w:color="auto" w:fill="CCCCCC"/>
            <w:vAlign w:val="center"/>
            <w:hideMark/>
          </w:tcPr>
          <w:p w:rsidR="00CB2519" w:rsidRDefault="00CB2519" w:rsidP="00277C86">
            <w:pPr>
              <w:spacing w:line="252" w:lineRule="auto"/>
              <w:jc w:val="center"/>
              <w:rPr>
                <w:b/>
                <w:bCs/>
                <w:sz w:val="20"/>
                <w:szCs w:val="20"/>
              </w:rPr>
            </w:pPr>
            <w:r>
              <w:rPr>
                <w:b/>
                <w:bCs/>
                <w:sz w:val="20"/>
                <w:szCs w:val="20"/>
              </w:rPr>
              <w:t>TOTAL</w:t>
            </w:r>
          </w:p>
        </w:tc>
        <w:tc>
          <w:tcPr>
            <w:tcW w:w="1640" w:type="dxa"/>
            <w:tcBorders>
              <w:top w:val="nil"/>
              <w:left w:val="nil"/>
              <w:bottom w:val="single" w:sz="8" w:space="0" w:color="A6A6A6"/>
              <w:right w:val="single" w:sz="8" w:space="0" w:color="A6A6A6"/>
            </w:tcBorders>
            <w:shd w:val="clear" w:color="auto" w:fill="CCCCCC"/>
            <w:vAlign w:val="center"/>
            <w:hideMark/>
          </w:tcPr>
          <w:p w:rsidR="00CB2519" w:rsidRDefault="00CB2519" w:rsidP="00277C86">
            <w:pPr>
              <w:spacing w:line="254" w:lineRule="auto"/>
              <w:jc w:val="right"/>
              <w:rPr>
                <w:b/>
                <w:bCs/>
                <w:color w:val="000000"/>
                <w:sz w:val="20"/>
                <w:szCs w:val="20"/>
              </w:rPr>
            </w:pPr>
            <w:r>
              <w:rPr>
                <w:b/>
                <w:bCs/>
                <w:color w:val="000000"/>
                <w:sz w:val="20"/>
                <w:szCs w:val="20"/>
              </w:rPr>
              <w:t>21,018,806,286.00</w:t>
            </w:r>
          </w:p>
        </w:tc>
      </w:tr>
    </w:tbl>
    <w:p w:rsidR="00CB2519" w:rsidRDefault="00CB2519" w:rsidP="00CB2519">
      <w:pPr>
        <w:spacing w:after="200" w:line="360" w:lineRule="auto"/>
        <w:jc w:val="center"/>
        <w:rPr>
          <w:rFonts w:eastAsia="Calibri"/>
          <w:b/>
          <w:sz w:val="20"/>
          <w:szCs w:val="20"/>
        </w:rPr>
      </w:pPr>
    </w:p>
    <w:p w:rsidR="00CB2519" w:rsidRDefault="00CB2519" w:rsidP="00CB2519">
      <w:pPr>
        <w:spacing w:after="200" w:line="360" w:lineRule="auto"/>
        <w:jc w:val="center"/>
        <w:rPr>
          <w:rFonts w:eastAsia="Calibri"/>
          <w:b/>
          <w:sz w:val="20"/>
          <w:szCs w:val="20"/>
        </w:rPr>
      </w:pPr>
      <w:r>
        <w:rPr>
          <w:rFonts w:eastAsia="Calibri"/>
          <w:b/>
          <w:sz w:val="20"/>
          <w:szCs w:val="20"/>
        </w:rPr>
        <w:t>Clasificación por Finalidad</w:t>
      </w:r>
    </w:p>
    <w:tbl>
      <w:tblPr>
        <w:tblW w:w="5290"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2560"/>
        <w:gridCol w:w="1940"/>
        <w:gridCol w:w="790"/>
      </w:tblGrid>
      <w:tr w:rsidR="00CB2519" w:rsidTr="00277C86">
        <w:trPr>
          <w:trHeight w:val="300"/>
          <w:tblHeader/>
          <w:jc w:val="center"/>
        </w:trPr>
        <w:tc>
          <w:tcPr>
            <w:tcW w:w="25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noWrap/>
            <w:vAlign w:val="bottom"/>
            <w:hideMark/>
          </w:tcPr>
          <w:p w:rsidR="00CB2519" w:rsidRDefault="00CB2519" w:rsidP="00277C86">
            <w:pPr>
              <w:spacing w:line="360" w:lineRule="auto"/>
              <w:jc w:val="center"/>
              <w:rPr>
                <w:b/>
                <w:bCs/>
                <w:sz w:val="20"/>
                <w:szCs w:val="20"/>
                <w:lang w:val="es-MX" w:eastAsia="es-MX"/>
              </w:rPr>
            </w:pPr>
            <w:r>
              <w:rPr>
                <w:b/>
                <w:bCs/>
                <w:sz w:val="20"/>
                <w:szCs w:val="20"/>
                <w:lang w:val="es-MX" w:eastAsia="es-MX"/>
              </w:rPr>
              <w:t>FINALIDAD</w:t>
            </w:r>
          </w:p>
        </w:tc>
        <w:tc>
          <w:tcPr>
            <w:tcW w:w="194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noWrap/>
            <w:vAlign w:val="bottom"/>
            <w:hideMark/>
          </w:tcPr>
          <w:p w:rsidR="00CB2519" w:rsidRDefault="00CB2519" w:rsidP="00277C86">
            <w:pPr>
              <w:spacing w:line="360" w:lineRule="auto"/>
              <w:jc w:val="center"/>
              <w:rPr>
                <w:b/>
                <w:bCs/>
                <w:sz w:val="20"/>
                <w:szCs w:val="20"/>
                <w:lang w:val="es-MX" w:eastAsia="es-MX"/>
              </w:rPr>
            </w:pPr>
            <w:r>
              <w:rPr>
                <w:b/>
                <w:bCs/>
                <w:sz w:val="20"/>
                <w:szCs w:val="20"/>
                <w:lang w:val="es-MX" w:eastAsia="es-MX"/>
              </w:rPr>
              <w:t>MONTO</w:t>
            </w:r>
          </w:p>
          <w:p w:rsidR="00CB2519" w:rsidRDefault="00CB2519" w:rsidP="00277C86">
            <w:pPr>
              <w:spacing w:line="360" w:lineRule="auto"/>
              <w:jc w:val="center"/>
              <w:rPr>
                <w:b/>
                <w:bCs/>
                <w:sz w:val="20"/>
                <w:szCs w:val="20"/>
                <w:lang w:val="es-MX" w:eastAsia="es-MX"/>
              </w:rPr>
            </w:pPr>
            <w:r>
              <w:rPr>
                <w:b/>
                <w:bCs/>
                <w:sz w:val="20"/>
                <w:szCs w:val="20"/>
                <w:lang w:val="es-MX" w:eastAsia="es-MX"/>
              </w:rPr>
              <w:t>($)</w:t>
            </w:r>
          </w:p>
        </w:tc>
        <w:tc>
          <w:tcPr>
            <w:tcW w:w="79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noWrap/>
            <w:vAlign w:val="bottom"/>
            <w:hideMark/>
          </w:tcPr>
          <w:p w:rsidR="00CB2519" w:rsidRDefault="00CB2519" w:rsidP="00277C86">
            <w:pPr>
              <w:spacing w:line="360" w:lineRule="auto"/>
              <w:jc w:val="center"/>
              <w:rPr>
                <w:b/>
                <w:bCs/>
                <w:sz w:val="20"/>
                <w:szCs w:val="20"/>
                <w:lang w:val="es-MX" w:eastAsia="es-MX"/>
              </w:rPr>
            </w:pPr>
            <w:r>
              <w:rPr>
                <w:b/>
                <w:bCs/>
                <w:sz w:val="20"/>
                <w:szCs w:val="20"/>
                <w:lang w:val="es-MX" w:eastAsia="es-MX"/>
              </w:rPr>
              <w:t>%</w:t>
            </w:r>
          </w:p>
        </w:tc>
      </w:tr>
      <w:tr w:rsidR="00CB2519" w:rsidTr="00277C86">
        <w:trPr>
          <w:trHeight w:val="178"/>
          <w:jc w:val="center"/>
        </w:trPr>
        <w:tc>
          <w:tcPr>
            <w:tcW w:w="25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CB2519" w:rsidRDefault="00CB2519" w:rsidP="00277C86">
            <w:pPr>
              <w:spacing w:line="252" w:lineRule="auto"/>
              <w:rPr>
                <w:sz w:val="20"/>
                <w:szCs w:val="20"/>
                <w:lang w:val="es-MX" w:eastAsia="es-MX"/>
              </w:rPr>
            </w:pPr>
            <w:r>
              <w:rPr>
                <w:sz w:val="20"/>
                <w:szCs w:val="20"/>
              </w:rPr>
              <w:t>Gobierno</w:t>
            </w:r>
          </w:p>
        </w:tc>
        <w:tc>
          <w:tcPr>
            <w:tcW w:w="194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CB2519" w:rsidRDefault="00CB2519" w:rsidP="00277C86">
            <w:pPr>
              <w:jc w:val="right"/>
              <w:rPr>
                <w:color w:val="000000"/>
                <w:sz w:val="20"/>
                <w:szCs w:val="20"/>
                <w:lang w:val="es-MX" w:eastAsia="es-MX"/>
              </w:rPr>
            </w:pPr>
            <w:r>
              <w:rPr>
                <w:color w:val="000000"/>
                <w:sz w:val="20"/>
                <w:szCs w:val="20"/>
              </w:rPr>
              <w:t>3,368,254,624.00</w:t>
            </w:r>
          </w:p>
        </w:tc>
        <w:tc>
          <w:tcPr>
            <w:tcW w:w="79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CB2519" w:rsidRDefault="00CB2519" w:rsidP="00277C86">
            <w:pPr>
              <w:jc w:val="center"/>
              <w:rPr>
                <w:color w:val="000000"/>
                <w:sz w:val="20"/>
                <w:szCs w:val="20"/>
              </w:rPr>
            </w:pPr>
            <w:r>
              <w:rPr>
                <w:color w:val="000000"/>
                <w:sz w:val="20"/>
                <w:szCs w:val="20"/>
              </w:rPr>
              <w:t>16.0</w:t>
            </w:r>
          </w:p>
        </w:tc>
      </w:tr>
      <w:tr w:rsidR="00CB2519" w:rsidTr="00277C86">
        <w:trPr>
          <w:trHeight w:val="209"/>
          <w:jc w:val="center"/>
        </w:trPr>
        <w:tc>
          <w:tcPr>
            <w:tcW w:w="25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CB2519" w:rsidRDefault="00CB2519" w:rsidP="00277C86">
            <w:pPr>
              <w:spacing w:line="252" w:lineRule="auto"/>
              <w:rPr>
                <w:sz w:val="20"/>
                <w:szCs w:val="20"/>
              </w:rPr>
            </w:pPr>
            <w:r>
              <w:rPr>
                <w:sz w:val="20"/>
                <w:szCs w:val="20"/>
              </w:rPr>
              <w:t xml:space="preserve">Desarrollo Social </w:t>
            </w:r>
          </w:p>
        </w:tc>
        <w:tc>
          <w:tcPr>
            <w:tcW w:w="194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CB2519" w:rsidRDefault="00CB2519" w:rsidP="00277C86">
            <w:pPr>
              <w:jc w:val="right"/>
              <w:rPr>
                <w:color w:val="000000"/>
                <w:sz w:val="20"/>
                <w:szCs w:val="20"/>
              </w:rPr>
            </w:pPr>
            <w:r>
              <w:rPr>
                <w:color w:val="000000"/>
                <w:sz w:val="20"/>
                <w:szCs w:val="20"/>
              </w:rPr>
              <w:t>16,886,704,604.00</w:t>
            </w:r>
          </w:p>
        </w:tc>
        <w:tc>
          <w:tcPr>
            <w:tcW w:w="79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CB2519" w:rsidRDefault="00CB2519" w:rsidP="00277C86">
            <w:pPr>
              <w:jc w:val="center"/>
              <w:rPr>
                <w:color w:val="000000"/>
                <w:sz w:val="20"/>
                <w:szCs w:val="20"/>
              </w:rPr>
            </w:pPr>
            <w:r>
              <w:rPr>
                <w:color w:val="000000"/>
                <w:sz w:val="20"/>
                <w:szCs w:val="20"/>
              </w:rPr>
              <w:t>80.4</w:t>
            </w:r>
          </w:p>
        </w:tc>
      </w:tr>
      <w:tr w:rsidR="00CB2519" w:rsidTr="00277C86">
        <w:trPr>
          <w:trHeight w:val="300"/>
          <w:jc w:val="center"/>
        </w:trPr>
        <w:tc>
          <w:tcPr>
            <w:tcW w:w="25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CB2519" w:rsidRDefault="00CB2519" w:rsidP="00277C86">
            <w:pPr>
              <w:spacing w:line="252" w:lineRule="auto"/>
              <w:rPr>
                <w:sz w:val="20"/>
                <w:szCs w:val="20"/>
              </w:rPr>
            </w:pPr>
            <w:r>
              <w:rPr>
                <w:sz w:val="20"/>
                <w:szCs w:val="20"/>
              </w:rPr>
              <w:t>Desarrollo Económico</w:t>
            </w:r>
          </w:p>
        </w:tc>
        <w:tc>
          <w:tcPr>
            <w:tcW w:w="194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CB2519" w:rsidRDefault="00CB2519" w:rsidP="00277C86">
            <w:pPr>
              <w:jc w:val="right"/>
              <w:rPr>
                <w:color w:val="000000"/>
                <w:sz w:val="20"/>
                <w:szCs w:val="20"/>
              </w:rPr>
            </w:pPr>
            <w:r>
              <w:rPr>
                <w:color w:val="000000"/>
                <w:sz w:val="20"/>
                <w:szCs w:val="20"/>
              </w:rPr>
              <w:t>763,847,058.00</w:t>
            </w:r>
          </w:p>
        </w:tc>
        <w:tc>
          <w:tcPr>
            <w:tcW w:w="79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CB2519" w:rsidRDefault="00CB2519" w:rsidP="00277C86">
            <w:pPr>
              <w:jc w:val="center"/>
              <w:rPr>
                <w:color w:val="000000"/>
                <w:sz w:val="20"/>
                <w:szCs w:val="20"/>
              </w:rPr>
            </w:pPr>
            <w:r>
              <w:rPr>
                <w:color w:val="000000"/>
                <w:sz w:val="20"/>
                <w:szCs w:val="20"/>
              </w:rPr>
              <w:t>3.6</w:t>
            </w:r>
          </w:p>
        </w:tc>
      </w:tr>
      <w:tr w:rsidR="00CB2519" w:rsidTr="00277C86">
        <w:trPr>
          <w:trHeight w:val="217"/>
          <w:jc w:val="center"/>
        </w:trPr>
        <w:tc>
          <w:tcPr>
            <w:tcW w:w="25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center"/>
            <w:hideMark/>
          </w:tcPr>
          <w:p w:rsidR="00CB2519" w:rsidRDefault="00CB2519" w:rsidP="00277C86">
            <w:pPr>
              <w:spacing w:line="252" w:lineRule="auto"/>
              <w:jc w:val="center"/>
              <w:rPr>
                <w:b/>
                <w:bCs/>
                <w:sz w:val="20"/>
                <w:szCs w:val="20"/>
              </w:rPr>
            </w:pPr>
            <w:r>
              <w:rPr>
                <w:b/>
                <w:bCs/>
                <w:sz w:val="20"/>
                <w:szCs w:val="20"/>
              </w:rPr>
              <w:t>TOTAL</w:t>
            </w:r>
          </w:p>
        </w:tc>
        <w:tc>
          <w:tcPr>
            <w:tcW w:w="194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center"/>
            <w:hideMark/>
          </w:tcPr>
          <w:p w:rsidR="00CB2519" w:rsidRDefault="00CB2519" w:rsidP="00277C86">
            <w:pPr>
              <w:jc w:val="right"/>
              <w:rPr>
                <w:b/>
                <w:bCs/>
                <w:color w:val="000000"/>
                <w:sz w:val="20"/>
                <w:szCs w:val="20"/>
              </w:rPr>
            </w:pPr>
            <w:r>
              <w:rPr>
                <w:b/>
                <w:bCs/>
                <w:color w:val="000000"/>
                <w:sz w:val="20"/>
                <w:szCs w:val="20"/>
              </w:rPr>
              <w:t>21,018,806,286.00</w:t>
            </w:r>
          </w:p>
        </w:tc>
        <w:tc>
          <w:tcPr>
            <w:tcW w:w="79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center"/>
            <w:hideMark/>
          </w:tcPr>
          <w:p w:rsidR="00CB2519" w:rsidRDefault="00CB2519" w:rsidP="00277C86">
            <w:pPr>
              <w:jc w:val="center"/>
              <w:rPr>
                <w:b/>
                <w:bCs/>
                <w:color w:val="000000"/>
                <w:sz w:val="20"/>
                <w:szCs w:val="20"/>
              </w:rPr>
            </w:pPr>
            <w:r>
              <w:rPr>
                <w:b/>
                <w:bCs/>
                <w:color w:val="000000"/>
                <w:sz w:val="20"/>
                <w:szCs w:val="20"/>
              </w:rPr>
              <w:t>100.0</w:t>
            </w:r>
          </w:p>
        </w:tc>
      </w:tr>
    </w:tbl>
    <w:p w:rsidR="00CB2519" w:rsidRDefault="00CB2519" w:rsidP="00CB2519">
      <w:pPr>
        <w:spacing w:after="200" w:line="360" w:lineRule="auto"/>
        <w:jc w:val="center"/>
        <w:rPr>
          <w:rFonts w:eastAsia="Calibri"/>
          <w:b/>
          <w:sz w:val="20"/>
          <w:szCs w:val="20"/>
        </w:rPr>
      </w:pPr>
    </w:p>
    <w:p w:rsidR="00CB2519" w:rsidRDefault="00CB2519" w:rsidP="00CB2519">
      <w:pPr>
        <w:spacing w:after="200" w:line="360" w:lineRule="auto"/>
        <w:jc w:val="both"/>
        <w:rPr>
          <w:sz w:val="20"/>
          <w:szCs w:val="20"/>
        </w:rPr>
      </w:pPr>
      <w:r>
        <w:rPr>
          <w:sz w:val="20"/>
          <w:szCs w:val="20"/>
        </w:rPr>
        <w:t xml:space="preserve">De acuerdo a la anterior clasificación, la política de desarrollo social en el Estado de Tlaxcala, vinculada y coordinada con la política de planeación nacional, promueve, respeta, protege y garantiza los derechos sociales de la población, en cumplimiento a lo establecido en la Constitución Política de los Estados Unidos Mexicanos, Constitución Política del Estado Libre y Soberano de Tlaxcala, Ley General de Desarrollo Social, Ley de Desarrollo Social del Estado de Tlaxcala y Ley de los Derechos de Niñas, Niños y Adolescentes del Estado de Tlaxcala. </w:t>
      </w:r>
    </w:p>
    <w:p w:rsidR="00505BAF" w:rsidRDefault="00505BAF" w:rsidP="00CB2519">
      <w:pPr>
        <w:spacing w:after="200" w:line="360" w:lineRule="auto"/>
        <w:jc w:val="center"/>
        <w:rPr>
          <w:b/>
          <w:sz w:val="20"/>
          <w:szCs w:val="20"/>
        </w:rPr>
      </w:pPr>
    </w:p>
    <w:p w:rsidR="00CB2519" w:rsidRDefault="00CB2519" w:rsidP="00CB2519">
      <w:pPr>
        <w:spacing w:after="200" w:line="360" w:lineRule="auto"/>
        <w:jc w:val="center"/>
        <w:rPr>
          <w:b/>
          <w:sz w:val="20"/>
          <w:szCs w:val="20"/>
        </w:rPr>
      </w:pPr>
      <w:r>
        <w:rPr>
          <w:b/>
          <w:sz w:val="20"/>
          <w:szCs w:val="20"/>
        </w:rPr>
        <w:t>Sectorización del Poder Ejecutivo</w:t>
      </w:r>
    </w:p>
    <w:p w:rsidR="00CB2519" w:rsidRDefault="00CB2519" w:rsidP="00CB2519">
      <w:pPr>
        <w:spacing w:after="200" w:line="360" w:lineRule="auto"/>
        <w:jc w:val="both"/>
        <w:rPr>
          <w:sz w:val="20"/>
          <w:szCs w:val="20"/>
        </w:rPr>
      </w:pPr>
      <w:r>
        <w:rPr>
          <w:sz w:val="20"/>
          <w:szCs w:val="20"/>
        </w:rPr>
        <w:t xml:space="preserve">Integran la Administración Pública Centralizada: el Despacho de la Persona Titular del Ejecutivo, las unidades y departamentos administrativos que dependan directamente de éste, las Secretarías, las </w:t>
      </w:r>
      <w:r>
        <w:rPr>
          <w:sz w:val="20"/>
          <w:szCs w:val="20"/>
        </w:rPr>
        <w:lastRenderedPageBreak/>
        <w:t>Coordinaciones, la Oficialía Mayor, la Procuraduría General de Justicia, así como los Organismos Públicos Desconcentrados, creados por el Ejecutivo mediante Decreto.</w:t>
      </w:r>
    </w:p>
    <w:p w:rsidR="00CB2519" w:rsidRDefault="00CB2519" w:rsidP="00CB2519">
      <w:pPr>
        <w:spacing w:after="200" w:line="360" w:lineRule="auto"/>
        <w:jc w:val="both"/>
        <w:rPr>
          <w:sz w:val="20"/>
          <w:szCs w:val="20"/>
        </w:rPr>
      </w:pPr>
      <w:r>
        <w:rPr>
          <w:sz w:val="20"/>
          <w:szCs w:val="20"/>
        </w:rPr>
        <w:t>Constituyen la administración pública descentralizada, los organismos públicos descentralizados, las empresas de participación estatal mayoritaria y los fideicomisos públicos, creados por el Ejecutivo mediante Decreto.</w:t>
      </w:r>
    </w:p>
    <w:p w:rsidR="00CB2519" w:rsidRDefault="00CB2519" w:rsidP="00CB2519">
      <w:pPr>
        <w:spacing w:after="200" w:line="360" w:lineRule="auto"/>
        <w:jc w:val="both"/>
        <w:rPr>
          <w:rFonts w:eastAsia="Calibri"/>
          <w:sz w:val="20"/>
          <w:szCs w:val="20"/>
        </w:rPr>
      </w:pPr>
      <w:r>
        <w:rPr>
          <w:sz w:val="20"/>
          <w:szCs w:val="20"/>
        </w:rPr>
        <w:t>Por lo que se clasifican en Sectores con la finalidad de poder visualizar un panorama claro y distinto en la presentación del Presupuesto de Egresos del Poder Ejecutivo, con base en el cuadro siguiente</w:t>
      </w:r>
      <w:r>
        <w:rPr>
          <w:rFonts w:eastAsia="Calibri"/>
          <w:sz w:val="20"/>
          <w:szCs w:val="20"/>
        </w:rPr>
        <w:t>:</w:t>
      </w:r>
    </w:p>
    <w:p w:rsidR="00CB2519" w:rsidRDefault="00CB2519" w:rsidP="00CB2519">
      <w:pPr>
        <w:spacing w:after="200" w:line="360" w:lineRule="auto"/>
        <w:jc w:val="center"/>
        <w:rPr>
          <w:rFonts w:eastAsia="Calibri"/>
          <w:b/>
          <w:sz w:val="20"/>
          <w:szCs w:val="20"/>
        </w:rPr>
      </w:pPr>
      <w:r>
        <w:rPr>
          <w:rFonts w:eastAsia="Calibri"/>
          <w:b/>
          <w:sz w:val="20"/>
          <w:szCs w:val="20"/>
        </w:rPr>
        <w:t>Clasificación por Sector</w:t>
      </w:r>
    </w:p>
    <w:tbl>
      <w:tblPr>
        <w:tblW w:w="7508" w:type="dxa"/>
        <w:jc w:val="center"/>
        <w:tblCellMar>
          <w:left w:w="70" w:type="dxa"/>
          <w:right w:w="70" w:type="dxa"/>
        </w:tblCellMar>
        <w:tblLook w:val="04A0" w:firstRow="1" w:lastRow="0" w:firstColumn="1" w:lastColumn="0" w:noHBand="0" w:noVBand="1"/>
      </w:tblPr>
      <w:tblGrid>
        <w:gridCol w:w="1720"/>
        <w:gridCol w:w="1660"/>
        <w:gridCol w:w="1660"/>
        <w:gridCol w:w="1770"/>
        <w:gridCol w:w="698"/>
      </w:tblGrid>
      <w:tr w:rsidR="00CB2519" w:rsidRPr="00076395" w:rsidTr="00277C86">
        <w:trPr>
          <w:trHeight w:val="300"/>
          <w:tblHeader/>
          <w:jc w:val="center"/>
        </w:trPr>
        <w:tc>
          <w:tcPr>
            <w:tcW w:w="1720" w:type="dxa"/>
            <w:vMerge w:val="restart"/>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CB2519" w:rsidRPr="00076395" w:rsidRDefault="00CB2519" w:rsidP="00277C86">
            <w:pPr>
              <w:spacing w:line="252" w:lineRule="auto"/>
              <w:jc w:val="center"/>
              <w:rPr>
                <w:b/>
                <w:bCs/>
                <w:sz w:val="20"/>
                <w:szCs w:val="20"/>
                <w:lang w:val="es-MX" w:eastAsia="es-MX"/>
              </w:rPr>
            </w:pPr>
            <w:r w:rsidRPr="00076395">
              <w:rPr>
                <w:b/>
                <w:bCs/>
                <w:sz w:val="20"/>
                <w:szCs w:val="20"/>
                <w:lang w:val="es-MX" w:eastAsia="es-MX"/>
              </w:rPr>
              <w:t>SECTOR</w:t>
            </w:r>
          </w:p>
        </w:tc>
        <w:tc>
          <w:tcPr>
            <w:tcW w:w="1660" w:type="dxa"/>
            <w:vMerge w:val="restart"/>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CB2519" w:rsidRPr="00076395" w:rsidRDefault="00CB2519" w:rsidP="00277C86">
            <w:pPr>
              <w:spacing w:line="252" w:lineRule="auto"/>
              <w:jc w:val="center"/>
              <w:rPr>
                <w:b/>
                <w:bCs/>
                <w:sz w:val="20"/>
                <w:szCs w:val="20"/>
                <w:lang w:val="es-MX" w:eastAsia="es-MX"/>
              </w:rPr>
            </w:pPr>
            <w:r w:rsidRPr="00076395">
              <w:rPr>
                <w:b/>
                <w:bCs/>
                <w:sz w:val="20"/>
                <w:szCs w:val="20"/>
                <w:lang w:val="es-MX" w:eastAsia="es-MX"/>
              </w:rPr>
              <w:t>2023</w:t>
            </w:r>
          </w:p>
        </w:tc>
        <w:tc>
          <w:tcPr>
            <w:tcW w:w="1660" w:type="dxa"/>
            <w:vMerge w:val="restart"/>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CB2519" w:rsidRPr="00076395" w:rsidRDefault="00CB2519" w:rsidP="00277C86">
            <w:pPr>
              <w:spacing w:line="252" w:lineRule="auto"/>
              <w:jc w:val="center"/>
              <w:rPr>
                <w:b/>
                <w:bCs/>
                <w:sz w:val="20"/>
                <w:szCs w:val="20"/>
                <w:lang w:val="es-MX" w:eastAsia="es-MX"/>
              </w:rPr>
            </w:pPr>
            <w:r w:rsidRPr="00076395">
              <w:rPr>
                <w:b/>
                <w:bCs/>
                <w:sz w:val="20"/>
                <w:szCs w:val="20"/>
                <w:lang w:val="es-MX" w:eastAsia="es-MX"/>
              </w:rPr>
              <w:t>2024</w:t>
            </w:r>
          </w:p>
        </w:tc>
        <w:tc>
          <w:tcPr>
            <w:tcW w:w="2468" w:type="dxa"/>
            <w:gridSpan w:val="2"/>
            <w:tcBorders>
              <w:top w:val="single" w:sz="4" w:space="0" w:color="auto"/>
              <w:left w:val="nil"/>
              <w:bottom w:val="single" w:sz="4" w:space="0" w:color="auto"/>
              <w:right w:val="single" w:sz="4" w:space="0" w:color="auto"/>
            </w:tcBorders>
            <w:shd w:val="clear" w:color="auto" w:fill="D9D9D9"/>
            <w:noWrap/>
            <w:vAlign w:val="center"/>
            <w:hideMark/>
          </w:tcPr>
          <w:p w:rsidR="00CB2519" w:rsidRPr="00076395" w:rsidRDefault="00CB2519" w:rsidP="00277C86">
            <w:pPr>
              <w:spacing w:line="252" w:lineRule="auto"/>
              <w:jc w:val="center"/>
              <w:rPr>
                <w:b/>
                <w:bCs/>
                <w:sz w:val="20"/>
                <w:szCs w:val="20"/>
                <w:lang w:val="es-MX" w:eastAsia="es-MX"/>
              </w:rPr>
            </w:pPr>
            <w:r w:rsidRPr="00076395">
              <w:rPr>
                <w:b/>
                <w:bCs/>
                <w:sz w:val="20"/>
                <w:szCs w:val="20"/>
                <w:lang w:val="es-MX" w:eastAsia="es-MX"/>
              </w:rPr>
              <w:t>INCREMENTO</w:t>
            </w:r>
          </w:p>
        </w:tc>
      </w:tr>
      <w:tr w:rsidR="00CB2519" w:rsidRPr="00076395" w:rsidTr="00277C86">
        <w:trPr>
          <w:trHeight w:val="300"/>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B2519" w:rsidRPr="00076395" w:rsidRDefault="00CB2519" w:rsidP="00277C86">
            <w:pPr>
              <w:rPr>
                <w:b/>
                <w:bCs/>
                <w:sz w:val="20"/>
                <w:szCs w:val="20"/>
                <w:lang w:val="es-MX" w:eastAsia="es-MX"/>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B2519" w:rsidRPr="00076395" w:rsidRDefault="00CB2519" w:rsidP="00277C86">
            <w:pPr>
              <w:rPr>
                <w:b/>
                <w:bCs/>
                <w:sz w:val="20"/>
                <w:szCs w:val="20"/>
                <w:lang w:val="es-MX" w:eastAsia="es-MX"/>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B2519" w:rsidRPr="00076395" w:rsidRDefault="00CB2519" w:rsidP="00277C86">
            <w:pPr>
              <w:rPr>
                <w:b/>
                <w:bCs/>
                <w:sz w:val="20"/>
                <w:szCs w:val="20"/>
                <w:lang w:val="es-MX" w:eastAsia="es-MX"/>
              </w:rPr>
            </w:pPr>
          </w:p>
        </w:tc>
        <w:tc>
          <w:tcPr>
            <w:tcW w:w="1770" w:type="dxa"/>
            <w:tcBorders>
              <w:top w:val="nil"/>
              <w:left w:val="nil"/>
              <w:bottom w:val="single" w:sz="4" w:space="0" w:color="auto"/>
              <w:right w:val="single" w:sz="4" w:space="0" w:color="auto"/>
            </w:tcBorders>
            <w:shd w:val="clear" w:color="auto" w:fill="D9D9D9"/>
            <w:noWrap/>
            <w:vAlign w:val="center"/>
            <w:hideMark/>
          </w:tcPr>
          <w:p w:rsidR="00CB2519" w:rsidRPr="00076395" w:rsidRDefault="00CB2519" w:rsidP="00277C86">
            <w:pPr>
              <w:spacing w:line="252" w:lineRule="auto"/>
              <w:jc w:val="center"/>
              <w:rPr>
                <w:b/>
                <w:bCs/>
                <w:sz w:val="20"/>
                <w:szCs w:val="20"/>
                <w:lang w:val="es-MX" w:eastAsia="es-MX"/>
              </w:rPr>
            </w:pPr>
            <w:r w:rsidRPr="00076395">
              <w:rPr>
                <w:b/>
                <w:bCs/>
                <w:sz w:val="20"/>
                <w:szCs w:val="20"/>
                <w:lang w:val="es-MX" w:eastAsia="es-MX"/>
              </w:rPr>
              <w:t>NOMINAL ($)</w:t>
            </w:r>
          </w:p>
        </w:tc>
        <w:tc>
          <w:tcPr>
            <w:tcW w:w="698" w:type="dxa"/>
            <w:tcBorders>
              <w:top w:val="nil"/>
              <w:left w:val="nil"/>
              <w:bottom w:val="single" w:sz="4" w:space="0" w:color="auto"/>
              <w:right w:val="single" w:sz="4" w:space="0" w:color="auto"/>
            </w:tcBorders>
            <w:shd w:val="clear" w:color="auto" w:fill="D9D9D9"/>
            <w:noWrap/>
            <w:vAlign w:val="center"/>
            <w:hideMark/>
          </w:tcPr>
          <w:p w:rsidR="00CB2519" w:rsidRPr="00076395" w:rsidRDefault="00CB2519" w:rsidP="00277C86">
            <w:pPr>
              <w:spacing w:line="252" w:lineRule="auto"/>
              <w:jc w:val="center"/>
              <w:rPr>
                <w:b/>
                <w:bCs/>
                <w:sz w:val="20"/>
                <w:szCs w:val="20"/>
                <w:lang w:val="es-MX" w:eastAsia="es-MX"/>
              </w:rPr>
            </w:pPr>
            <w:r w:rsidRPr="00076395">
              <w:rPr>
                <w:b/>
                <w:bCs/>
                <w:sz w:val="20"/>
                <w:szCs w:val="20"/>
                <w:lang w:val="es-MX" w:eastAsia="es-MX"/>
              </w:rPr>
              <w:t>%</w:t>
            </w:r>
          </w:p>
        </w:tc>
      </w:tr>
      <w:tr w:rsidR="00CB2519" w:rsidRPr="00076395" w:rsidTr="00277C86">
        <w:trPr>
          <w:trHeight w:val="531"/>
          <w:jc w:val="center"/>
        </w:trPr>
        <w:tc>
          <w:tcPr>
            <w:tcW w:w="1720" w:type="dxa"/>
            <w:tcBorders>
              <w:top w:val="nil"/>
              <w:left w:val="single" w:sz="4" w:space="0" w:color="auto"/>
              <w:bottom w:val="single" w:sz="4" w:space="0" w:color="auto"/>
              <w:right w:val="single" w:sz="4" w:space="0" w:color="auto"/>
            </w:tcBorders>
            <w:vAlign w:val="center"/>
            <w:hideMark/>
          </w:tcPr>
          <w:p w:rsidR="00CB2519" w:rsidRPr="00076395" w:rsidRDefault="00CB2519" w:rsidP="00277C86">
            <w:pPr>
              <w:spacing w:line="252" w:lineRule="auto"/>
              <w:rPr>
                <w:sz w:val="20"/>
                <w:szCs w:val="20"/>
                <w:lang w:val="es-MX" w:eastAsia="es-MX"/>
              </w:rPr>
            </w:pPr>
            <w:r w:rsidRPr="00076395">
              <w:rPr>
                <w:sz w:val="20"/>
                <w:szCs w:val="20"/>
              </w:rPr>
              <w:t>Fideicomisos</w:t>
            </w:r>
          </w:p>
        </w:tc>
        <w:tc>
          <w:tcPr>
            <w:tcW w:w="1660" w:type="dxa"/>
            <w:tcBorders>
              <w:top w:val="nil"/>
              <w:left w:val="nil"/>
              <w:bottom w:val="single" w:sz="4" w:space="0" w:color="auto"/>
              <w:right w:val="single" w:sz="4" w:space="0" w:color="auto"/>
            </w:tcBorders>
            <w:noWrap/>
            <w:vAlign w:val="center"/>
            <w:hideMark/>
          </w:tcPr>
          <w:p w:rsidR="00CB2519" w:rsidRDefault="00CB2519" w:rsidP="00277C86">
            <w:pPr>
              <w:jc w:val="right"/>
              <w:rPr>
                <w:color w:val="000000"/>
                <w:sz w:val="20"/>
                <w:szCs w:val="20"/>
                <w:lang w:val="es-MX" w:eastAsia="es-MX"/>
              </w:rPr>
            </w:pPr>
            <w:r>
              <w:rPr>
                <w:color w:val="000000"/>
                <w:sz w:val="20"/>
                <w:szCs w:val="20"/>
              </w:rPr>
              <w:t>9,522,927.00</w:t>
            </w:r>
          </w:p>
        </w:tc>
        <w:tc>
          <w:tcPr>
            <w:tcW w:w="1660" w:type="dxa"/>
            <w:tcBorders>
              <w:top w:val="nil"/>
              <w:left w:val="nil"/>
              <w:bottom w:val="single" w:sz="4" w:space="0" w:color="auto"/>
              <w:right w:val="single" w:sz="4" w:space="0" w:color="auto"/>
            </w:tcBorders>
            <w:noWrap/>
            <w:vAlign w:val="center"/>
            <w:hideMark/>
          </w:tcPr>
          <w:p w:rsidR="00CB2519" w:rsidRDefault="00CB2519" w:rsidP="00277C86">
            <w:pPr>
              <w:jc w:val="right"/>
              <w:rPr>
                <w:color w:val="000000"/>
                <w:sz w:val="20"/>
                <w:szCs w:val="20"/>
              </w:rPr>
            </w:pPr>
            <w:r>
              <w:rPr>
                <w:color w:val="000000"/>
                <w:sz w:val="20"/>
                <w:szCs w:val="20"/>
              </w:rPr>
              <w:t>30,736,685.00</w:t>
            </w:r>
          </w:p>
        </w:tc>
        <w:tc>
          <w:tcPr>
            <w:tcW w:w="1770" w:type="dxa"/>
            <w:tcBorders>
              <w:top w:val="nil"/>
              <w:left w:val="nil"/>
              <w:bottom w:val="single" w:sz="4" w:space="0" w:color="auto"/>
              <w:right w:val="single" w:sz="4" w:space="0" w:color="auto"/>
            </w:tcBorders>
            <w:noWrap/>
            <w:vAlign w:val="center"/>
            <w:hideMark/>
          </w:tcPr>
          <w:p w:rsidR="00CB2519" w:rsidRDefault="00CB2519" w:rsidP="00277C86">
            <w:pPr>
              <w:jc w:val="right"/>
              <w:rPr>
                <w:color w:val="000000"/>
                <w:sz w:val="20"/>
                <w:szCs w:val="20"/>
              </w:rPr>
            </w:pPr>
            <w:r>
              <w:rPr>
                <w:color w:val="000000"/>
                <w:sz w:val="20"/>
                <w:szCs w:val="20"/>
              </w:rPr>
              <w:t>21,213,758.00</w:t>
            </w:r>
          </w:p>
        </w:tc>
        <w:tc>
          <w:tcPr>
            <w:tcW w:w="698" w:type="dxa"/>
            <w:tcBorders>
              <w:top w:val="nil"/>
              <w:left w:val="nil"/>
              <w:bottom w:val="single" w:sz="4" w:space="0" w:color="auto"/>
              <w:right w:val="single" w:sz="4" w:space="0" w:color="auto"/>
            </w:tcBorders>
            <w:noWrap/>
            <w:vAlign w:val="center"/>
            <w:hideMark/>
          </w:tcPr>
          <w:p w:rsidR="00CB2519" w:rsidRDefault="00CB2519" w:rsidP="00277C86">
            <w:pPr>
              <w:jc w:val="center"/>
              <w:rPr>
                <w:color w:val="000000"/>
                <w:sz w:val="20"/>
                <w:szCs w:val="20"/>
              </w:rPr>
            </w:pPr>
            <w:r>
              <w:rPr>
                <w:color w:val="000000"/>
                <w:sz w:val="20"/>
                <w:szCs w:val="20"/>
              </w:rPr>
              <w:t>222.8</w:t>
            </w:r>
          </w:p>
        </w:tc>
      </w:tr>
      <w:tr w:rsidR="00CB2519" w:rsidRPr="00076395" w:rsidTr="00277C86">
        <w:trPr>
          <w:trHeight w:val="409"/>
          <w:jc w:val="center"/>
        </w:trPr>
        <w:tc>
          <w:tcPr>
            <w:tcW w:w="1720" w:type="dxa"/>
            <w:tcBorders>
              <w:top w:val="nil"/>
              <w:left w:val="single" w:sz="4" w:space="0" w:color="auto"/>
              <w:bottom w:val="single" w:sz="4" w:space="0" w:color="auto"/>
              <w:right w:val="single" w:sz="4" w:space="0" w:color="auto"/>
            </w:tcBorders>
            <w:vAlign w:val="center"/>
            <w:hideMark/>
          </w:tcPr>
          <w:p w:rsidR="00CB2519" w:rsidRPr="00076395" w:rsidRDefault="00CB2519" w:rsidP="00277C86">
            <w:pPr>
              <w:spacing w:line="252" w:lineRule="auto"/>
              <w:rPr>
                <w:sz w:val="20"/>
                <w:szCs w:val="20"/>
              </w:rPr>
            </w:pPr>
            <w:r w:rsidRPr="00076395">
              <w:rPr>
                <w:sz w:val="20"/>
                <w:szCs w:val="20"/>
              </w:rPr>
              <w:t>Medio Ambiente</w:t>
            </w:r>
          </w:p>
        </w:tc>
        <w:tc>
          <w:tcPr>
            <w:tcW w:w="1660" w:type="dxa"/>
            <w:tcBorders>
              <w:top w:val="nil"/>
              <w:left w:val="nil"/>
              <w:bottom w:val="single" w:sz="4" w:space="0" w:color="auto"/>
              <w:right w:val="single" w:sz="4" w:space="0" w:color="auto"/>
            </w:tcBorders>
            <w:noWrap/>
            <w:vAlign w:val="center"/>
            <w:hideMark/>
          </w:tcPr>
          <w:p w:rsidR="00CB2519" w:rsidRDefault="00CB2519" w:rsidP="00277C86">
            <w:pPr>
              <w:jc w:val="right"/>
              <w:rPr>
                <w:color w:val="000000"/>
                <w:sz w:val="20"/>
                <w:szCs w:val="20"/>
              </w:rPr>
            </w:pPr>
            <w:r>
              <w:rPr>
                <w:color w:val="000000"/>
                <w:sz w:val="20"/>
                <w:szCs w:val="20"/>
              </w:rPr>
              <w:t>230,272,687.00</w:t>
            </w:r>
          </w:p>
        </w:tc>
        <w:tc>
          <w:tcPr>
            <w:tcW w:w="1660" w:type="dxa"/>
            <w:tcBorders>
              <w:top w:val="nil"/>
              <w:left w:val="nil"/>
              <w:bottom w:val="single" w:sz="4" w:space="0" w:color="auto"/>
              <w:right w:val="single" w:sz="4" w:space="0" w:color="auto"/>
            </w:tcBorders>
            <w:noWrap/>
            <w:vAlign w:val="center"/>
            <w:hideMark/>
          </w:tcPr>
          <w:p w:rsidR="00CB2519" w:rsidRDefault="00CB2519" w:rsidP="00277C86">
            <w:pPr>
              <w:jc w:val="right"/>
              <w:rPr>
                <w:color w:val="000000"/>
                <w:sz w:val="20"/>
                <w:szCs w:val="20"/>
              </w:rPr>
            </w:pPr>
            <w:r>
              <w:rPr>
                <w:color w:val="000000"/>
                <w:sz w:val="20"/>
                <w:szCs w:val="20"/>
              </w:rPr>
              <w:t>272,593,070.00</w:t>
            </w:r>
          </w:p>
        </w:tc>
        <w:tc>
          <w:tcPr>
            <w:tcW w:w="1770" w:type="dxa"/>
            <w:tcBorders>
              <w:top w:val="nil"/>
              <w:left w:val="nil"/>
              <w:bottom w:val="single" w:sz="4" w:space="0" w:color="auto"/>
              <w:right w:val="single" w:sz="4" w:space="0" w:color="auto"/>
            </w:tcBorders>
            <w:noWrap/>
            <w:vAlign w:val="center"/>
            <w:hideMark/>
          </w:tcPr>
          <w:p w:rsidR="00CB2519" w:rsidRDefault="00CB2519" w:rsidP="00277C86">
            <w:pPr>
              <w:jc w:val="right"/>
              <w:rPr>
                <w:color w:val="000000"/>
                <w:sz w:val="20"/>
                <w:szCs w:val="20"/>
              </w:rPr>
            </w:pPr>
            <w:r>
              <w:rPr>
                <w:color w:val="000000"/>
                <w:sz w:val="20"/>
                <w:szCs w:val="20"/>
              </w:rPr>
              <w:t>42,320,383.00</w:t>
            </w:r>
          </w:p>
        </w:tc>
        <w:tc>
          <w:tcPr>
            <w:tcW w:w="698" w:type="dxa"/>
            <w:tcBorders>
              <w:top w:val="nil"/>
              <w:left w:val="nil"/>
              <w:bottom w:val="single" w:sz="4" w:space="0" w:color="auto"/>
              <w:right w:val="single" w:sz="4" w:space="0" w:color="auto"/>
            </w:tcBorders>
            <w:noWrap/>
            <w:vAlign w:val="center"/>
            <w:hideMark/>
          </w:tcPr>
          <w:p w:rsidR="00CB2519" w:rsidRDefault="00CB2519" w:rsidP="00277C86">
            <w:pPr>
              <w:jc w:val="center"/>
              <w:rPr>
                <w:color w:val="000000"/>
                <w:sz w:val="20"/>
                <w:szCs w:val="20"/>
              </w:rPr>
            </w:pPr>
            <w:r>
              <w:rPr>
                <w:color w:val="000000"/>
                <w:sz w:val="20"/>
                <w:szCs w:val="20"/>
              </w:rPr>
              <w:t>18.4</w:t>
            </w:r>
          </w:p>
        </w:tc>
      </w:tr>
      <w:tr w:rsidR="00CB2519" w:rsidRPr="00076395" w:rsidTr="00277C86">
        <w:trPr>
          <w:trHeight w:val="385"/>
          <w:jc w:val="center"/>
        </w:trPr>
        <w:tc>
          <w:tcPr>
            <w:tcW w:w="1720" w:type="dxa"/>
            <w:tcBorders>
              <w:top w:val="nil"/>
              <w:left w:val="single" w:sz="4" w:space="0" w:color="auto"/>
              <w:bottom w:val="single" w:sz="4" w:space="0" w:color="auto"/>
              <w:right w:val="single" w:sz="4" w:space="0" w:color="auto"/>
            </w:tcBorders>
            <w:vAlign w:val="center"/>
            <w:hideMark/>
          </w:tcPr>
          <w:p w:rsidR="00CB2519" w:rsidRPr="00076395" w:rsidRDefault="00CB2519" w:rsidP="00277C86">
            <w:pPr>
              <w:spacing w:line="252" w:lineRule="auto"/>
              <w:rPr>
                <w:sz w:val="20"/>
                <w:szCs w:val="20"/>
              </w:rPr>
            </w:pPr>
            <w:r w:rsidRPr="00076395">
              <w:rPr>
                <w:sz w:val="20"/>
                <w:szCs w:val="20"/>
              </w:rPr>
              <w:t>Educación</w:t>
            </w:r>
          </w:p>
        </w:tc>
        <w:tc>
          <w:tcPr>
            <w:tcW w:w="1660" w:type="dxa"/>
            <w:tcBorders>
              <w:top w:val="nil"/>
              <w:left w:val="nil"/>
              <w:bottom w:val="single" w:sz="4" w:space="0" w:color="auto"/>
              <w:right w:val="single" w:sz="4" w:space="0" w:color="auto"/>
            </w:tcBorders>
            <w:noWrap/>
            <w:vAlign w:val="center"/>
            <w:hideMark/>
          </w:tcPr>
          <w:p w:rsidR="00CB2519" w:rsidRDefault="00CB2519" w:rsidP="00277C86">
            <w:pPr>
              <w:jc w:val="right"/>
              <w:rPr>
                <w:color w:val="000000"/>
                <w:sz w:val="20"/>
                <w:szCs w:val="20"/>
              </w:rPr>
            </w:pPr>
            <w:r>
              <w:rPr>
                <w:color w:val="000000"/>
                <w:sz w:val="20"/>
                <w:szCs w:val="20"/>
              </w:rPr>
              <w:t>9,461,836,535.00</w:t>
            </w:r>
          </w:p>
        </w:tc>
        <w:tc>
          <w:tcPr>
            <w:tcW w:w="1660" w:type="dxa"/>
            <w:tcBorders>
              <w:top w:val="nil"/>
              <w:left w:val="nil"/>
              <w:bottom w:val="single" w:sz="4" w:space="0" w:color="auto"/>
              <w:right w:val="single" w:sz="4" w:space="0" w:color="auto"/>
            </w:tcBorders>
            <w:noWrap/>
            <w:vAlign w:val="center"/>
            <w:hideMark/>
          </w:tcPr>
          <w:p w:rsidR="00CB2519" w:rsidRDefault="00CB2519" w:rsidP="00277C86">
            <w:pPr>
              <w:jc w:val="right"/>
              <w:rPr>
                <w:color w:val="000000"/>
                <w:sz w:val="20"/>
                <w:szCs w:val="20"/>
              </w:rPr>
            </w:pPr>
            <w:r>
              <w:rPr>
                <w:color w:val="000000"/>
                <w:sz w:val="20"/>
                <w:szCs w:val="20"/>
              </w:rPr>
              <w:t>10,351,303,796.00</w:t>
            </w:r>
          </w:p>
        </w:tc>
        <w:tc>
          <w:tcPr>
            <w:tcW w:w="1770" w:type="dxa"/>
            <w:tcBorders>
              <w:top w:val="nil"/>
              <w:left w:val="nil"/>
              <w:bottom w:val="single" w:sz="4" w:space="0" w:color="auto"/>
              <w:right w:val="single" w:sz="4" w:space="0" w:color="auto"/>
            </w:tcBorders>
            <w:noWrap/>
            <w:vAlign w:val="center"/>
            <w:hideMark/>
          </w:tcPr>
          <w:p w:rsidR="00CB2519" w:rsidRDefault="00CB2519" w:rsidP="00277C86">
            <w:pPr>
              <w:jc w:val="right"/>
              <w:rPr>
                <w:color w:val="000000"/>
                <w:sz w:val="20"/>
                <w:szCs w:val="20"/>
              </w:rPr>
            </w:pPr>
            <w:r>
              <w:rPr>
                <w:color w:val="000000"/>
                <w:sz w:val="20"/>
                <w:szCs w:val="20"/>
              </w:rPr>
              <w:t>889,467,261.00</w:t>
            </w:r>
          </w:p>
        </w:tc>
        <w:tc>
          <w:tcPr>
            <w:tcW w:w="698" w:type="dxa"/>
            <w:tcBorders>
              <w:top w:val="nil"/>
              <w:left w:val="nil"/>
              <w:bottom w:val="single" w:sz="4" w:space="0" w:color="auto"/>
              <w:right w:val="single" w:sz="4" w:space="0" w:color="auto"/>
            </w:tcBorders>
            <w:noWrap/>
            <w:vAlign w:val="center"/>
            <w:hideMark/>
          </w:tcPr>
          <w:p w:rsidR="00CB2519" w:rsidRDefault="00CB2519" w:rsidP="00277C86">
            <w:pPr>
              <w:jc w:val="center"/>
              <w:rPr>
                <w:color w:val="000000"/>
                <w:sz w:val="20"/>
                <w:szCs w:val="20"/>
              </w:rPr>
            </w:pPr>
            <w:r>
              <w:rPr>
                <w:color w:val="000000"/>
                <w:sz w:val="20"/>
                <w:szCs w:val="20"/>
              </w:rPr>
              <w:t>9.4</w:t>
            </w:r>
          </w:p>
        </w:tc>
      </w:tr>
      <w:tr w:rsidR="00CB2519" w:rsidRPr="00076395" w:rsidTr="00277C86">
        <w:trPr>
          <w:trHeight w:val="437"/>
          <w:jc w:val="center"/>
        </w:trPr>
        <w:tc>
          <w:tcPr>
            <w:tcW w:w="1720" w:type="dxa"/>
            <w:tcBorders>
              <w:top w:val="nil"/>
              <w:left w:val="single" w:sz="4" w:space="0" w:color="auto"/>
              <w:bottom w:val="single" w:sz="4" w:space="0" w:color="auto"/>
              <w:right w:val="single" w:sz="4" w:space="0" w:color="auto"/>
            </w:tcBorders>
            <w:vAlign w:val="center"/>
            <w:hideMark/>
          </w:tcPr>
          <w:p w:rsidR="00CB2519" w:rsidRPr="00076395" w:rsidRDefault="00CB2519" w:rsidP="00277C86">
            <w:pPr>
              <w:spacing w:line="252" w:lineRule="auto"/>
              <w:rPr>
                <w:sz w:val="20"/>
                <w:szCs w:val="20"/>
              </w:rPr>
            </w:pPr>
            <w:r w:rsidRPr="00076395">
              <w:rPr>
                <w:sz w:val="20"/>
                <w:szCs w:val="20"/>
              </w:rPr>
              <w:t>Salud</w:t>
            </w:r>
          </w:p>
        </w:tc>
        <w:tc>
          <w:tcPr>
            <w:tcW w:w="1660" w:type="dxa"/>
            <w:tcBorders>
              <w:top w:val="nil"/>
              <w:left w:val="nil"/>
              <w:bottom w:val="single" w:sz="4" w:space="0" w:color="auto"/>
              <w:right w:val="single" w:sz="4" w:space="0" w:color="auto"/>
            </w:tcBorders>
            <w:noWrap/>
            <w:vAlign w:val="center"/>
            <w:hideMark/>
          </w:tcPr>
          <w:p w:rsidR="00CB2519" w:rsidRDefault="00CB2519" w:rsidP="00277C86">
            <w:pPr>
              <w:jc w:val="right"/>
              <w:rPr>
                <w:color w:val="000000"/>
                <w:sz w:val="20"/>
                <w:szCs w:val="20"/>
              </w:rPr>
            </w:pPr>
            <w:r>
              <w:rPr>
                <w:color w:val="000000"/>
                <w:sz w:val="20"/>
                <w:szCs w:val="20"/>
              </w:rPr>
              <w:t>3,066,391,108.00</w:t>
            </w:r>
          </w:p>
        </w:tc>
        <w:tc>
          <w:tcPr>
            <w:tcW w:w="1660" w:type="dxa"/>
            <w:tcBorders>
              <w:top w:val="nil"/>
              <w:left w:val="nil"/>
              <w:bottom w:val="single" w:sz="4" w:space="0" w:color="auto"/>
              <w:right w:val="single" w:sz="4" w:space="0" w:color="auto"/>
            </w:tcBorders>
            <w:noWrap/>
            <w:vAlign w:val="center"/>
            <w:hideMark/>
          </w:tcPr>
          <w:p w:rsidR="00CB2519" w:rsidRDefault="00CB2519" w:rsidP="00277C86">
            <w:pPr>
              <w:jc w:val="right"/>
              <w:rPr>
                <w:color w:val="000000"/>
                <w:sz w:val="20"/>
                <w:szCs w:val="20"/>
              </w:rPr>
            </w:pPr>
            <w:r>
              <w:rPr>
                <w:color w:val="000000"/>
                <w:sz w:val="20"/>
                <w:szCs w:val="20"/>
              </w:rPr>
              <w:t>3,375,243,144.00</w:t>
            </w:r>
          </w:p>
        </w:tc>
        <w:tc>
          <w:tcPr>
            <w:tcW w:w="1770" w:type="dxa"/>
            <w:tcBorders>
              <w:top w:val="nil"/>
              <w:left w:val="nil"/>
              <w:bottom w:val="single" w:sz="4" w:space="0" w:color="auto"/>
              <w:right w:val="single" w:sz="4" w:space="0" w:color="auto"/>
            </w:tcBorders>
            <w:noWrap/>
            <w:vAlign w:val="center"/>
            <w:hideMark/>
          </w:tcPr>
          <w:p w:rsidR="00CB2519" w:rsidRDefault="00CB2519" w:rsidP="00277C86">
            <w:pPr>
              <w:jc w:val="right"/>
              <w:rPr>
                <w:color w:val="000000"/>
                <w:sz w:val="20"/>
                <w:szCs w:val="20"/>
              </w:rPr>
            </w:pPr>
            <w:r>
              <w:rPr>
                <w:color w:val="000000"/>
                <w:sz w:val="20"/>
                <w:szCs w:val="20"/>
              </w:rPr>
              <w:t>308,852,036.00</w:t>
            </w:r>
          </w:p>
        </w:tc>
        <w:tc>
          <w:tcPr>
            <w:tcW w:w="698" w:type="dxa"/>
            <w:tcBorders>
              <w:top w:val="nil"/>
              <w:left w:val="nil"/>
              <w:bottom w:val="single" w:sz="4" w:space="0" w:color="auto"/>
              <w:right w:val="single" w:sz="4" w:space="0" w:color="auto"/>
            </w:tcBorders>
            <w:noWrap/>
            <w:vAlign w:val="center"/>
            <w:hideMark/>
          </w:tcPr>
          <w:p w:rsidR="00CB2519" w:rsidRDefault="00CB2519" w:rsidP="00277C86">
            <w:pPr>
              <w:jc w:val="center"/>
              <w:rPr>
                <w:color w:val="000000"/>
                <w:sz w:val="20"/>
                <w:szCs w:val="20"/>
              </w:rPr>
            </w:pPr>
            <w:r>
              <w:rPr>
                <w:color w:val="000000"/>
                <w:sz w:val="20"/>
                <w:szCs w:val="20"/>
              </w:rPr>
              <w:t>10.1</w:t>
            </w:r>
          </w:p>
        </w:tc>
      </w:tr>
      <w:tr w:rsidR="00CB2519" w:rsidRPr="00076395" w:rsidTr="00277C86">
        <w:trPr>
          <w:trHeight w:val="513"/>
          <w:jc w:val="center"/>
        </w:trPr>
        <w:tc>
          <w:tcPr>
            <w:tcW w:w="1720" w:type="dxa"/>
            <w:tcBorders>
              <w:top w:val="nil"/>
              <w:left w:val="single" w:sz="4" w:space="0" w:color="auto"/>
              <w:bottom w:val="single" w:sz="4" w:space="0" w:color="auto"/>
              <w:right w:val="single" w:sz="4" w:space="0" w:color="auto"/>
            </w:tcBorders>
            <w:vAlign w:val="center"/>
            <w:hideMark/>
          </w:tcPr>
          <w:p w:rsidR="00CB2519" w:rsidRPr="00076395" w:rsidRDefault="00CB2519" w:rsidP="00277C86">
            <w:pPr>
              <w:spacing w:line="252" w:lineRule="auto"/>
              <w:rPr>
                <w:sz w:val="20"/>
                <w:szCs w:val="20"/>
              </w:rPr>
            </w:pPr>
            <w:r w:rsidRPr="00076395">
              <w:rPr>
                <w:sz w:val="20"/>
                <w:szCs w:val="20"/>
              </w:rPr>
              <w:t>Gasto Social</w:t>
            </w:r>
          </w:p>
        </w:tc>
        <w:tc>
          <w:tcPr>
            <w:tcW w:w="1660" w:type="dxa"/>
            <w:tcBorders>
              <w:top w:val="nil"/>
              <w:left w:val="nil"/>
              <w:bottom w:val="single" w:sz="4" w:space="0" w:color="auto"/>
              <w:right w:val="single" w:sz="4" w:space="0" w:color="auto"/>
            </w:tcBorders>
            <w:noWrap/>
            <w:vAlign w:val="center"/>
            <w:hideMark/>
          </w:tcPr>
          <w:p w:rsidR="00CB2519" w:rsidRDefault="00CB2519" w:rsidP="00277C86">
            <w:pPr>
              <w:jc w:val="right"/>
              <w:rPr>
                <w:color w:val="000000"/>
                <w:sz w:val="20"/>
                <w:szCs w:val="20"/>
              </w:rPr>
            </w:pPr>
            <w:r>
              <w:rPr>
                <w:color w:val="000000"/>
                <w:sz w:val="20"/>
                <w:szCs w:val="20"/>
              </w:rPr>
              <w:t>3,166,550,869.00</w:t>
            </w:r>
          </w:p>
        </w:tc>
        <w:tc>
          <w:tcPr>
            <w:tcW w:w="1660" w:type="dxa"/>
            <w:tcBorders>
              <w:top w:val="nil"/>
              <w:left w:val="nil"/>
              <w:bottom w:val="single" w:sz="4" w:space="0" w:color="auto"/>
              <w:right w:val="single" w:sz="4" w:space="0" w:color="auto"/>
            </w:tcBorders>
            <w:noWrap/>
            <w:vAlign w:val="center"/>
            <w:hideMark/>
          </w:tcPr>
          <w:p w:rsidR="00CB2519" w:rsidRDefault="00CB2519" w:rsidP="00277C86">
            <w:pPr>
              <w:jc w:val="right"/>
              <w:rPr>
                <w:color w:val="000000"/>
                <w:sz w:val="20"/>
                <w:szCs w:val="20"/>
              </w:rPr>
            </w:pPr>
            <w:r>
              <w:rPr>
                <w:color w:val="000000"/>
                <w:sz w:val="20"/>
                <w:szCs w:val="20"/>
              </w:rPr>
              <w:t>3,275,532,806.00</w:t>
            </w:r>
          </w:p>
        </w:tc>
        <w:tc>
          <w:tcPr>
            <w:tcW w:w="1770" w:type="dxa"/>
            <w:tcBorders>
              <w:top w:val="nil"/>
              <w:left w:val="nil"/>
              <w:bottom w:val="single" w:sz="4" w:space="0" w:color="auto"/>
              <w:right w:val="single" w:sz="4" w:space="0" w:color="auto"/>
            </w:tcBorders>
            <w:noWrap/>
            <w:vAlign w:val="center"/>
            <w:hideMark/>
          </w:tcPr>
          <w:p w:rsidR="00CB2519" w:rsidRDefault="00CB2519" w:rsidP="00277C86">
            <w:pPr>
              <w:jc w:val="right"/>
              <w:rPr>
                <w:color w:val="000000"/>
                <w:sz w:val="20"/>
                <w:szCs w:val="20"/>
              </w:rPr>
            </w:pPr>
            <w:r>
              <w:rPr>
                <w:color w:val="000000"/>
                <w:sz w:val="20"/>
                <w:szCs w:val="20"/>
              </w:rPr>
              <w:t>108,981,937.00</w:t>
            </w:r>
          </w:p>
        </w:tc>
        <w:tc>
          <w:tcPr>
            <w:tcW w:w="698" w:type="dxa"/>
            <w:tcBorders>
              <w:top w:val="nil"/>
              <w:left w:val="nil"/>
              <w:bottom w:val="single" w:sz="4" w:space="0" w:color="auto"/>
              <w:right w:val="single" w:sz="4" w:space="0" w:color="auto"/>
            </w:tcBorders>
            <w:noWrap/>
            <w:vAlign w:val="center"/>
            <w:hideMark/>
          </w:tcPr>
          <w:p w:rsidR="00CB2519" w:rsidRDefault="00CB2519" w:rsidP="00277C86">
            <w:pPr>
              <w:jc w:val="center"/>
              <w:rPr>
                <w:color w:val="000000"/>
                <w:sz w:val="20"/>
                <w:szCs w:val="20"/>
              </w:rPr>
            </w:pPr>
            <w:r>
              <w:rPr>
                <w:color w:val="000000"/>
                <w:sz w:val="20"/>
                <w:szCs w:val="20"/>
              </w:rPr>
              <w:t>3.4</w:t>
            </w:r>
          </w:p>
        </w:tc>
      </w:tr>
      <w:tr w:rsidR="00CB2519" w:rsidRPr="00076395" w:rsidTr="00277C86">
        <w:trPr>
          <w:trHeight w:val="525"/>
          <w:jc w:val="center"/>
        </w:trPr>
        <w:tc>
          <w:tcPr>
            <w:tcW w:w="1720" w:type="dxa"/>
            <w:tcBorders>
              <w:top w:val="nil"/>
              <w:left w:val="single" w:sz="4" w:space="0" w:color="auto"/>
              <w:bottom w:val="single" w:sz="4" w:space="0" w:color="auto"/>
              <w:right w:val="single" w:sz="4" w:space="0" w:color="auto"/>
            </w:tcBorders>
            <w:vAlign w:val="center"/>
            <w:hideMark/>
          </w:tcPr>
          <w:p w:rsidR="00CB2519" w:rsidRPr="00076395" w:rsidRDefault="00CB2519" w:rsidP="00277C86">
            <w:pPr>
              <w:spacing w:line="252" w:lineRule="auto"/>
              <w:rPr>
                <w:sz w:val="20"/>
                <w:szCs w:val="20"/>
              </w:rPr>
            </w:pPr>
            <w:r w:rsidRPr="00076395">
              <w:rPr>
                <w:sz w:val="20"/>
                <w:szCs w:val="20"/>
              </w:rPr>
              <w:t>Gobierno y Seguridad</w:t>
            </w:r>
          </w:p>
        </w:tc>
        <w:tc>
          <w:tcPr>
            <w:tcW w:w="1660" w:type="dxa"/>
            <w:tcBorders>
              <w:top w:val="nil"/>
              <w:left w:val="nil"/>
              <w:bottom w:val="single" w:sz="4" w:space="0" w:color="auto"/>
              <w:right w:val="single" w:sz="4" w:space="0" w:color="auto"/>
            </w:tcBorders>
            <w:noWrap/>
            <w:vAlign w:val="center"/>
            <w:hideMark/>
          </w:tcPr>
          <w:p w:rsidR="00CB2519" w:rsidRDefault="00CB2519" w:rsidP="00277C86">
            <w:pPr>
              <w:jc w:val="right"/>
              <w:rPr>
                <w:color w:val="000000"/>
                <w:sz w:val="20"/>
                <w:szCs w:val="20"/>
              </w:rPr>
            </w:pPr>
            <w:r>
              <w:rPr>
                <w:color w:val="000000"/>
                <w:sz w:val="20"/>
                <w:szCs w:val="20"/>
              </w:rPr>
              <w:t>1,970,467,104.00</w:t>
            </w:r>
          </w:p>
        </w:tc>
        <w:tc>
          <w:tcPr>
            <w:tcW w:w="1660" w:type="dxa"/>
            <w:tcBorders>
              <w:top w:val="nil"/>
              <w:left w:val="nil"/>
              <w:bottom w:val="single" w:sz="4" w:space="0" w:color="auto"/>
              <w:right w:val="single" w:sz="4" w:space="0" w:color="auto"/>
            </w:tcBorders>
            <w:noWrap/>
            <w:vAlign w:val="center"/>
            <w:hideMark/>
          </w:tcPr>
          <w:p w:rsidR="00CB2519" w:rsidRDefault="00CB2519" w:rsidP="00277C86">
            <w:pPr>
              <w:jc w:val="right"/>
              <w:rPr>
                <w:color w:val="000000"/>
                <w:sz w:val="20"/>
                <w:szCs w:val="20"/>
              </w:rPr>
            </w:pPr>
            <w:r>
              <w:rPr>
                <w:color w:val="000000"/>
                <w:sz w:val="20"/>
                <w:szCs w:val="20"/>
              </w:rPr>
              <w:t>2,055,451,903.00</w:t>
            </w:r>
          </w:p>
        </w:tc>
        <w:tc>
          <w:tcPr>
            <w:tcW w:w="1770" w:type="dxa"/>
            <w:tcBorders>
              <w:top w:val="nil"/>
              <w:left w:val="nil"/>
              <w:bottom w:val="single" w:sz="4" w:space="0" w:color="auto"/>
              <w:right w:val="single" w:sz="4" w:space="0" w:color="auto"/>
            </w:tcBorders>
            <w:noWrap/>
            <w:vAlign w:val="center"/>
            <w:hideMark/>
          </w:tcPr>
          <w:p w:rsidR="00CB2519" w:rsidRDefault="00CB2519" w:rsidP="00277C86">
            <w:pPr>
              <w:jc w:val="right"/>
              <w:rPr>
                <w:color w:val="000000"/>
                <w:sz w:val="20"/>
                <w:szCs w:val="20"/>
              </w:rPr>
            </w:pPr>
            <w:r>
              <w:rPr>
                <w:color w:val="000000"/>
                <w:sz w:val="20"/>
                <w:szCs w:val="20"/>
              </w:rPr>
              <w:t>84,984,799.00</w:t>
            </w:r>
          </w:p>
        </w:tc>
        <w:tc>
          <w:tcPr>
            <w:tcW w:w="698" w:type="dxa"/>
            <w:tcBorders>
              <w:top w:val="nil"/>
              <w:left w:val="nil"/>
              <w:bottom w:val="single" w:sz="4" w:space="0" w:color="auto"/>
              <w:right w:val="single" w:sz="4" w:space="0" w:color="auto"/>
            </w:tcBorders>
            <w:noWrap/>
            <w:vAlign w:val="center"/>
            <w:hideMark/>
          </w:tcPr>
          <w:p w:rsidR="00CB2519" w:rsidRDefault="00CB2519" w:rsidP="00277C86">
            <w:pPr>
              <w:jc w:val="center"/>
              <w:rPr>
                <w:color w:val="000000"/>
                <w:sz w:val="20"/>
                <w:szCs w:val="20"/>
              </w:rPr>
            </w:pPr>
            <w:r>
              <w:rPr>
                <w:color w:val="000000"/>
                <w:sz w:val="20"/>
                <w:szCs w:val="20"/>
              </w:rPr>
              <w:t>4.3</w:t>
            </w:r>
          </w:p>
        </w:tc>
      </w:tr>
      <w:tr w:rsidR="00CB2519" w:rsidRPr="00076395" w:rsidTr="00277C86">
        <w:trPr>
          <w:trHeight w:val="390"/>
          <w:jc w:val="center"/>
        </w:trPr>
        <w:tc>
          <w:tcPr>
            <w:tcW w:w="1720" w:type="dxa"/>
            <w:tcBorders>
              <w:top w:val="nil"/>
              <w:left w:val="single" w:sz="4" w:space="0" w:color="auto"/>
              <w:bottom w:val="single" w:sz="4" w:space="0" w:color="auto"/>
              <w:right w:val="single" w:sz="4" w:space="0" w:color="auto"/>
            </w:tcBorders>
            <w:vAlign w:val="center"/>
            <w:hideMark/>
          </w:tcPr>
          <w:p w:rsidR="00CB2519" w:rsidRPr="00076395" w:rsidRDefault="00CB2519" w:rsidP="00277C86">
            <w:pPr>
              <w:spacing w:line="252" w:lineRule="auto"/>
              <w:rPr>
                <w:sz w:val="20"/>
                <w:szCs w:val="20"/>
              </w:rPr>
            </w:pPr>
            <w:r w:rsidRPr="00076395">
              <w:rPr>
                <w:sz w:val="20"/>
                <w:szCs w:val="20"/>
              </w:rPr>
              <w:t>Economía y Turismo</w:t>
            </w:r>
          </w:p>
        </w:tc>
        <w:tc>
          <w:tcPr>
            <w:tcW w:w="1660" w:type="dxa"/>
            <w:tcBorders>
              <w:top w:val="nil"/>
              <w:left w:val="nil"/>
              <w:bottom w:val="single" w:sz="4" w:space="0" w:color="auto"/>
              <w:right w:val="single" w:sz="4" w:space="0" w:color="auto"/>
            </w:tcBorders>
            <w:noWrap/>
            <w:vAlign w:val="center"/>
            <w:hideMark/>
          </w:tcPr>
          <w:p w:rsidR="00CB2519" w:rsidRDefault="00CB2519" w:rsidP="00277C86">
            <w:pPr>
              <w:jc w:val="right"/>
              <w:rPr>
                <w:color w:val="000000"/>
                <w:sz w:val="20"/>
                <w:szCs w:val="20"/>
              </w:rPr>
            </w:pPr>
            <w:r>
              <w:rPr>
                <w:color w:val="000000"/>
                <w:sz w:val="20"/>
                <w:szCs w:val="20"/>
              </w:rPr>
              <w:t>400,953,967.00</w:t>
            </w:r>
          </w:p>
        </w:tc>
        <w:tc>
          <w:tcPr>
            <w:tcW w:w="1660" w:type="dxa"/>
            <w:tcBorders>
              <w:top w:val="nil"/>
              <w:left w:val="nil"/>
              <w:bottom w:val="single" w:sz="4" w:space="0" w:color="auto"/>
              <w:right w:val="single" w:sz="4" w:space="0" w:color="auto"/>
            </w:tcBorders>
            <w:noWrap/>
            <w:vAlign w:val="center"/>
            <w:hideMark/>
          </w:tcPr>
          <w:p w:rsidR="00CB2519" w:rsidRDefault="00CB2519" w:rsidP="00277C86">
            <w:pPr>
              <w:jc w:val="right"/>
              <w:rPr>
                <w:color w:val="000000"/>
                <w:sz w:val="20"/>
                <w:szCs w:val="20"/>
              </w:rPr>
            </w:pPr>
            <w:r>
              <w:rPr>
                <w:color w:val="000000"/>
                <w:sz w:val="20"/>
                <w:szCs w:val="20"/>
              </w:rPr>
              <w:t>342,992,002.00</w:t>
            </w:r>
          </w:p>
        </w:tc>
        <w:tc>
          <w:tcPr>
            <w:tcW w:w="1770" w:type="dxa"/>
            <w:tcBorders>
              <w:top w:val="nil"/>
              <w:left w:val="nil"/>
              <w:bottom w:val="single" w:sz="4" w:space="0" w:color="auto"/>
              <w:right w:val="single" w:sz="4" w:space="0" w:color="auto"/>
            </w:tcBorders>
            <w:noWrap/>
            <w:vAlign w:val="center"/>
            <w:hideMark/>
          </w:tcPr>
          <w:p w:rsidR="00CB2519" w:rsidRDefault="00CB2519" w:rsidP="00277C86">
            <w:pPr>
              <w:jc w:val="right"/>
              <w:rPr>
                <w:color w:val="000000"/>
                <w:sz w:val="20"/>
                <w:szCs w:val="20"/>
              </w:rPr>
            </w:pPr>
            <w:r>
              <w:rPr>
                <w:color w:val="000000"/>
                <w:sz w:val="20"/>
                <w:szCs w:val="20"/>
              </w:rPr>
              <w:t>-57,961,965.00</w:t>
            </w:r>
          </w:p>
        </w:tc>
        <w:tc>
          <w:tcPr>
            <w:tcW w:w="698" w:type="dxa"/>
            <w:tcBorders>
              <w:top w:val="nil"/>
              <w:left w:val="nil"/>
              <w:bottom w:val="single" w:sz="4" w:space="0" w:color="auto"/>
              <w:right w:val="single" w:sz="4" w:space="0" w:color="auto"/>
            </w:tcBorders>
            <w:noWrap/>
            <w:vAlign w:val="center"/>
            <w:hideMark/>
          </w:tcPr>
          <w:p w:rsidR="00CB2519" w:rsidRDefault="00CB2519" w:rsidP="00277C86">
            <w:pPr>
              <w:jc w:val="center"/>
              <w:rPr>
                <w:color w:val="000000"/>
                <w:sz w:val="20"/>
                <w:szCs w:val="20"/>
              </w:rPr>
            </w:pPr>
            <w:r>
              <w:rPr>
                <w:color w:val="000000"/>
                <w:sz w:val="20"/>
                <w:szCs w:val="20"/>
              </w:rPr>
              <w:t>-14.5</w:t>
            </w:r>
          </w:p>
        </w:tc>
      </w:tr>
      <w:tr w:rsidR="00CB2519" w:rsidRPr="00076395" w:rsidTr="00277C86">
        <w:trPr>
          <w:trHeight w:val="300"/>
          <w:jc w:val="center"/>
        </w:trPr>
        <w:tc>
          <w:tcPr>
            <w:tcW w:w="1720" w:type="dxa"/>
            <w:tcBorders>
              <w:top w:val="nil"/>
              <w:left w:val="single" w:sz="4" w:space="0" w:color="auto"/>
              <w:bottom w:val="single" w:sz="4" w:space="0" w:color="auto"/>
              <w:right w:val="single" w:sz="4" w:space="0" w:color="auto"/>
            </w:tcBorders>
            <w:vAlign w:val="center"/>
            <w:hideMark/>
          </w:tcPr>
          <w:p w:rsidR="00CB2519" w:rsidRPr="00076395" w:rsidRDefault="00CB2519" w:rsidP="00277C86">
            <w:pPr>
              <w:spacing w:line="252" w:lineRule="auto"/>
              <w:rPr>
                <w:sz w:val="20"/>
                <w:szCs w:val="20"/>
              </w:rPr>
            </w:pPr>
            <w:r w:rsidRPr="00076395">
              <w:rPr>
                <w:sz w:val="20"/>
                <w:szCs w:val="20"/>
              </w:rPr>
              <w:t>Administración</w:t>
            </w:r>
          </w:p>
        </w:tc>
        <w:tc>
          <w:tcPr>
            <w:tcW w:w="1660" w:type="dxa"/>
            <w:tcBorders>
              <w:top w:val="nil"/>
              <w:left w:val="nil"/>
              <w:bottom w:val="single" w:sz="4" w:space="0" w:color="auto"/>
              <w:right w:val="single" w:sz="4" w:space="0" w:color="auto"/>
            </w:tcBorders>
            <w:noWrap/>
            <w:vAlign w:val="center"/>
            <w:hideMark/>
          </w:tcPr>
          <w:p w:rsidR="00CB2519" w:rsidRDefault="00CB2519" w:rsidP="00277C86">
            <w:pPr>
              <w:jc w:val="right"/>
              <w:rPr>
                <w:color w:val="000000"/>
                <w:sz w:val="20"/>
                <w:szCs w:val="20"/>
              </w:rPr>
            </w:pPr>
            <w:r>
              <w:rPr>
                <w:color w:val="000000"/>
                <w:sz w:val="20"/>
                <w:szCs w:val="20"/>
              </w:rPr>
              <w:t>1,196,049,199.00</w:t>
            </w:r>
          </w:p>
        </w:tc>
        <w:tc>
          <w:tcPr>
            <w:tcW w:w="1660" w:type="dxa"/>
            <w:tcBorders>
              <w:top w:val="nil"/>
              <w:left w:val="nil"/>
              <w:bottom w:val="single" w:sz="4" w:space="0" w:color="auto"/>
              <w:right w:val="single" w:sz="4" w:space="0" w:color="auto"/>
            </w:tcBorders>
            <w:noWrap/>
            <w:vAlign w:val="center"/>
            <w:hideMark/>
          </w:tcPr>
          <w:p w:rsidR="00CB2519" w:rsidRDefault="00CB2519" w:rsidP="00277C86">
            <w:pPr>
              <w:jc w:val="right"/>
              <w:rPr>
                <w:color w:val="000000"/>
                <w:sz w:val="20"/>
                <w:szCs w:val="20"/>
              </w:rPr>
            </w:pPr>
            <w:r>
              <w:rPr>
                <w:color w:val="000000"/>
                <w:sz w:val="20"/>
                <w:szCs w:val="20"/>
              </w:rPr>
              <w:t>1,314,952,880.00</w:t>
            </w:r>
          </w:p>
        </w:tc>
        <w:tc>
          <w:tcPr>
            <w:tcW w:w="1770" w:type="dxa"/>
            <w:tcBorders>
              <w:top w:val="nil"/>
              <w:left w:val="nil"/>
              <w:bottom w:val="single" w:sz="4" w:space="0" w:color="auto"/>
              <w:right w:val="single" w:sz="4" w:space="0" w:color="auto"/>
            </w:tcBorders>
            <w:noWrap/>
            <w:vAlign w:val="center"/>
            <w:hideMark/>
          </w:tcPr>
          <w:p w:rsidR="00CB2519" w:rsidRDefault="00CB2519" w:rsidP="00277C86">
            <w:pPr>
              <w:jc w:val="right"/>
              <w:rPr>
                <w:color w:val="000000"/>
                <w:sz w:val="20"/>
                <w:szCs w:val="20"/>
              </w:rPr>
            </w:pPr>
            <w:r>
              <w:rPr>
                <w:color w:val="000000"/>
                <w:sz w:val="20"/>
                <w:szCs w:val="20"/>
              </w:rPr>
              <w:t>118,903,681.00</w:t>
            </w:r>
          </w:p>
        </w:tc>
        <w:tc>
          <w:tcPr>
            <w:tcW w:w="698" w:type="dxa"/>
            <w:tcBorders>
              <w:top w:val="nil"/>
              <w:left w:val="nil"/>
              <w:bottom w:val="single" w:sz="4" w:space="0" w:color="auto"/>
              <w:right w:val="single" w:sz="4" w:space="0" w:color="auto"/>
            </w:tcBorders>
            <w:noWrap/>
            <w:vAlign w:val="center"/>
            <w:hideMark/>
          </w:tcPr>
          <w:p w:rsidR="00CB2519" w:rsidRDefault="00CB2519" w:rsidP="00277C86">
            <w:pPr>
              <w:jc w:val="center"/>
              <w:rPr>
                <w:color w:val="000000"/>
                <w:sz w:val="20"/>
                <w:szCs w:val="20"/>
              </w:rPr>
            </w:pPr>
            <w:r>
              <w:rPr>
                <w:color w:val="000000"/>
                <w:sz w:val="20"/>
                <w:szCs w:val="20"/>
              </w:rPr>
              <w:t>9.9</w:t>
            </w:r>
          </w:p>
        </w:tc>
      </w:tr>
      <w:tr w:rsidR="00CB2519" w:rsidRPr="00076395" w:rsidTr="00277C86">
        <w:trPr>
          <w:trHeight w:val="300"/>
          <w:jc w:val="center"/>
        </w:trPr>
        <w:tc>
          <w:tcPr>
            <w:tcW w:w="1720" w:type="dxa"/>
            <w:tcBorders>
              <w:top w:val="nil"/>
              <w:left w:val="single" w:sz="4" w:space="0" w:color="auto"/>
              <w:bottom w:val="single" w:sz="4" w:space="0" w:color="auto"/>
              <w:right w:val="single" w:sz="4" w:space="0" w:color="auto"/>
            </w:tcBorders>
            <w:shd w:val="clear" w:color="auto" w:fill="D9D9D9"/>
            <w:noWrap/>
            <w:vAlign w:val="center"/>
            <w:hideMark/>
          </w:tcPr>
          <w:p w:rsidR="00CB2519" w:rsidRPr="00076395" w:rsidRDefault="00CB2519" w:rsidP="00277C86">
            <w:pPr>
              <w:spacing w:line="252" w:lineRule="auto"/>
              <w:rPr>
                <w:b/>
                <w:bCs/>
                <w:sz w:val="20"/>
                <w:szCs w:val="20"/>
              </w:rPr>
            </w:pPr>
            <w:r w:rsidRPr="00076395">
              <w:rPr>
                <w:b/>
                <w:bCs/>
                <w:sz w:val="20"/>
                <w:szCs w:val="20"/>
              </w:rPr>
              <w:t>TOTAL</w:t>
            </w:r>
          </w:p>
        </w:tc>
        <w:tc>
          <w:tcPr>
            <w:tcW w:w="1660" w:type="dxa"/>
            <w:tcBorders>
              <w:top w:val="nil"/>
              <w:left w:val="nil"/>
              <w:bottom w:val="single" w:sz="4" w:space="0" w:color="auto"/>
              <w:right w:val="single" w:sz="4" w:space="0" w:color="auto"/>
            </w:tcBorders>
            <w:shd w:val="clear" w:color="auto" w:fill="D9D9D9"/>
            <w:noWrap/>
            <w:vAlign w:val="center"/>
            <w:hideMark/>
          </w:tcPr>
          <w:p w:rsidR="00CB2519" w:rsidRDefault="00CB2519" w:rsidP="00277C86">
            <w:pPr>
              <w:jc w:val="right"/>
              <w:rPr>
                <w:b/>
                <w:bCs/>
                <w:color w:val="000000"/>
                <w:sz w:val="20"/>
                <w:szCs w:val="20"/>
              </w:rPr>
            </w:pPr>
            <w:r>
              <w:rPr>
                <w:b/>
                <w:bCs/>
                <w:color w:val="000000"/>
                <w:sz w:val="20"/>
                <w:szCs w:val="20"/>
              </w:rPr>
              <w:t>19,502,044,396.00</w:t>
            </w:r>
          </w:p>
        </w:tc>
        <w:tc>
          <w:tcPr>
            <w:tcW w:w="1660" w:type="dxa"/>
            <w:tcBorders>
              <w:top w:val="nil"/>
              <w:left w:val="nil"/>
              <w:bottom w:val="single" w:sz="4" w:space="0" w:color="auto"/>
              <w:right w:val="single" w:sz="4" w:space="0" w:color="auto"/>
            </w:tcBorders>
            <w:shd w:val="clear" w:color="auto" w:fill="D9D9D9"/>
            <w:noWrap/>
            <w:vAlign w:val="center"/>
            <w:hideMark/>
          </w:tcPr>
          <w:p w:rsidR="00CB2519" w:rsidRDefault="00CB2519" w:rsidP="00277C86">
            <w:pPr>
              <w:jc w:val="right"/>
              <w:rPr>
                <w:b/>
                <w:bCs/>
                <w:color w:val="000000"/>
                <w:sz w:val="20"/>
                <w:szCs w:val="20"/>
              </w:rPr>
            </w:pPr>
            <w:r>
              <w:rPr>
                <w:b/>
                <w:bCs/>
                <w:color w:val="000000"/>
                <w:sz w:val="20"/>
                <w:szCs w:val="20"/>
              </w:rPr>
              <w:t>21,018,806,286.00</w:t>
            </w:r>
          </w:p>
        </w:tc>
        <w:tc>
          <w:tcPr>
            <w:tcW w:w="1770" w:type="dxa"/>
            <w:tcBorders>
              <w:top w:val="nil"/>
              <w:left w:val="nil"/>
              <w:bottom w:val="single" w:sz="4" w:space="0" w:color="auto"/>
              <w:right w:val="single" w:sz="4" w:space="0" w:color="auto"/>
            </w:tcBorders>
            <w:shd w:val="clear" w:color="auto" w:fill="D9D9D9"/>
            <w:noWrap/>
            <w:vAlign w:val="center"/>
            <w:hideMark/>
          </w:tcPr>
          <w:p w:rsidR="00CB2519" w:rsidRDefault="00CB2519" w:rsidP="00277C86">
            <w:pPr>
              <w:jc w:val="right"/>
              <w:rPr>
                <w:b/>
                <w:bCs/>
                <w:color w:val="000000"/>
                <w:sz w:val="20"/>
                <w:szCs w:val="20"/>
              </w:rPr>
            </w:pPr>
            <w:r>
              <w:rPr>
                <w:b/>
                <w:bCs/>
                <w:color w:val="000000"/>
                <w:sz w:val="20"/>
                <w:szCs w:val="20"/>
              </w:rPr>
              <w:t>1,516,761,890.00</w:t>
            </w:r>
          </w:p>
        </w:tc>
        <w:tc>
          <w:tcPr>
            <w:tcW w:w="698" w:type="dxa"/>
            <w:tcBorders>
              <w:top w:val="nil"/>
              <w:left w:val="nil"/>
              <w:bottom w:val="single" w:sz="4" w:space="0" w:color="auto"/>
              <w:right w:val="single" w:sz="4" w:space="0" w:color="auto"/>
            </w:tcBorders>
            <w:shd w:val="clear" w:color="auto" w:fill="D9D9D9"/>
            <w:noWrap/>
            <w:vAlign w:val="center"/>
            <w:hideMark/>
          </w:tcPr>
          <w:p w:rsidR="00CB2519" w:rsidRDefault="00CB2519" w:rsidP="00277C86">
            <w:pPr>
              <w:jc w:val="center"/>
              <w:rPr>
                <w:b/>
                <w:bCs/>
                <w:color w:val="000000"/>
                <w:sz w:val="20"/>
                <w:szCs w:val="20"/>
              </w:rPr>
            </w:pPr>
            <w:r>
              <w:rPr>
                <w:b/>
                <w:bCs/>
                <w:color w:val="000000"/>
                <w:sz w:val="20"/>
                <w:szCs w:val="20"/>
              </w:rPr>
              <w:t>7.8</w:t>
            </w:r>
          </w:p>
        </w:tc>
      </w:tr>
    </w:tbl>
    <w:p w:rsidR="00CB2519" w:rsidRDefault="00CB2519" w:rsidP="00CB2519">
      <w:pPr>
        <w:spacing w:after="200" w:line="360" w:lineRule="auto"/>
        <w:jc w:val="center"/>
        <w:rPr>
          <w:rFonts w:eastAsia="Calibri"/>
          <w:b/>
          <w:sz w:val="20"/>
          <w:szCs w:val="20"/>
        </w:rPr>
      </w:pPr>
    </w:p>
    <w:p w:rsidR="00CB2519" w:rsidRDefault="00CB2519" w:rsidP="00CB2519">
      <w:pPr>
        <w:spacing w:after="200" w:line="360" w:lineRule="auto"/>
        <w:jc w:val="both"/>
        <w:rPr>
          <w:rFonts w:eastAsia="Calibri"/>
          <w:sz w:val="20"/>
          <w:szCs w:val="20"/>
        </w:rPr>
      </w:pPr>
      <w:r>
        <w:rPr>
          <w:rFonts w:eastAsia="Calibri"/>
          <w:sz w:val="20"/>
          <w:szCs w:val="20"/>
        </w:rPr>
        <w:t>Como se puede observar en el cuadro anterior</w:t>
      </w:r>
      <w:r w:rsidR="00051685">
        <w:rPr>
          <w:rFonts w:eastAsia="Calibri"/>
          <w:sz w:val="20"/>
          <w:szCs w:val="20"/>
        </w:rPr>
        <w:t>,</w:t>
      </w:r>
      <w:r>
        <w:rPr>
          <w:rFonts w:eastAsia="Calibri"/>
          <w:sz w:val="20"/>
          <w:szCs w:val="20"/>
        </w:rPr>
        <w:t xml:space="preserve"> el mayor incremento nominal está destinado a Educación, con un total de presupuesto de $10,351,303,796.00, el cual </w:t>
      </w:r>
      <w:r w:rsidR="00051685">
        <w:rPr>
          <w:rFonts w:eastAsia="Calibri"/>
          <w:sz w:val="20"/>
          <w:szCs w:val="20"/>
        </w:rPr>
        <w:t>incluye</w:t>
      </w:r>
      <w:r>
        <w:rPr>
          <w:rFonts w:eastAsia="Calibri"/>
          <w:sz w:val="20"/>
          <w:szCs w:val="20"/>
        </w:rPr>
        <w:t xml:space="preserve"> presupuesto destinado para continuar con los </w:t>
      </w:r>
      <w:r w:rsidR="00051685">
        <w:rPr>
          <w:rFonts w:eastAsia="Calibri"/>
          <w:sz w:val="20"/>
          <w:szCs w:val="20"/>
        </w:rPr>
        <w:t>Centros de Bachillerato Estatal; así mismo, iniciará</w:t>
      </w:r>
      <w:r>
        <w:rPr>
          <w:rFonts w:eastAsia="Calibri"/>
          <w:sz w:val="20"/>
          <w:szCs w:val="20"/>
        </w:rPr>
        <w:t xml:space="preserve"> en operación el Centro de Desarrollo de Alto Rendimiento de Tlaxcala; seguido de Salud el cual comprende acciones para contribuir a la atención médica a la población mediante la aplicación de la Bioetica mejorando la vida y la salud de la población con principios y valores, así como mejorar los servicios de especialidad en los hospitales en coordinación con el IMSS – BIENESTAR mejorando la atención y cobertura de </w:t>
      </w:r>
      <w:r>
        <w:rPr>
          <w:rFonts w:eastAsia="Calibri"/>
          <w:sz w:val="20"/>
          <w:szCs w:val="20"/>
        </w:rPr>
        <w:lastRenderedPageBreak/>
        <w:t xml:space="preserve">médicos especialistas; posteriormente continua el Gasto Social que se integra por acciones destinadas a Infraestructura; </w:t>
      </w:r>
      <w:r w:rsidR="00051685">
        <w:rPr>
          <w:rFonts w:eastAsia="Calibri"/>
          <w:sz w:val="20"/>
          <w:szCs w:val="20"/>
        </w:rPr>
        <w:t>P</w:t>
      </w:r>
      <w:r>
        <w:rPr>
          <w:rFonts w:eastAsia="Calibri"/>
          <w:sz w:val="20"/>
          <w:szCs w:val="20"/>
        </w:rPr>
        <w:t>rograma conserva</w:t>
      </w:r>
      <w:r w:rsidR="00051685">
        <w:rPr>
          <w:rFonts w:eastAsia="Calibri"/>
          <w:sz w:val="20"/>
          <w:szCs w:val="20"/>
        </w:rPr>
        <w:t>ción de productos agropecuarios;</w:t>
      </w:r>
      <w:r>
        <w:rPr>
          <w:rFonts w:eastAsia="Calibri"/>
          <w:sz w:val="20"/>
          <w:szCs w:val="20"/>
        </w:rPr>
        <w:t xml:space="preserve"> programa impulso a la mejora de la alimentación</w:t>
      </w:r>
      <w:r w:rsidR="00051685">
        <w:rPr>
          <w:rFonts w:eastAsia="Calibri"/>
          <w:sz w:val="20"/>
          <w:szCs w:val="20"/>
        </w:rPr>
        <w:t>;</w:t>
      </w:r>
      <w:r>
        <w:rPr>
          <w:rFonts w:eastAsia="Calibri"/>
          <w:sz w:val="20"/>
          <w:szCs w:val="20"/>
        </w:rPr>
        <w:t xml:space="preserve"> programa rescate y preservación; </w:t>
      </w:r>
      <w:r w:rsidR="00051685">
        <w:rPr>
          <w:rFonts w:eastAsia="Calibri"/>
          <w:sz w:val="20"/>
          <w:szCs w:val="20"/>
        </w:rPr>
        <w:t>repoblamiento de ganado lechero; programa de insumos, se continú</w:t>
      </w:r>
      <w:r>
        <w:rPr>
          <w:rFonts w:eastAsia="Calibri"/>
          <w:sz w:val="20"/>
          <w:szCs w:val="20"/>
        </w:rPr>
        <w:t>a con los programas destinados al Seguro Catastrófico y Programas prioritarios del campo; proyectos de cultura; proyectos destinados para la mujer; ampliación a</w:t>
      </w:r>
      <w:r w:rsidR="00051685">
        <w:rPr>
          <w:rFonts w:eastAsia="Calibri"/>
          <w:sz w:val="20"/>
          <w:szCs w:val="20"/>
        </w:rPr>
        <w:t>l</w:t>
      </w:r>
      <w:r>
        <w:rPr>
          <w:rFonts w:eastAsia="Calibri"/>
          <w:sz w:val="20"/>
          <w:szCs w:val="20"/>
        </w:rPr>
        <w:t xml:space="preserve"> albergue para la niñez migrante Acompañada y No Acompañada; con la finalidad de generar un tejido social entre la ciudadanía tlaxcalteca y reducir las brechas de desigualdad, la Secretaría de Bienestar continúa con los programas para la Sociedad Organizada para el Bienestar, Desarrollo Comunitario y Bienestar de Pueblos Originarios, Bienestar y Desarrollo Integral y Vivienda digna para el Bienestar;  por mencionar algunas en el Sector.</w:t>
      </w:r>
    </w:p>
    <w:p w:rsidR="00CB2519" w:rsidRDefault="00CB2519" w:rsidP="00CB2519">
      <w:pPr>
        <w:spacing w:after="200" w:line="360" w:lineRule="auto"/>
        <w:jc w:val="both"/>
        <w:rPr>
          <w:rFonts w:eastAsia="Calibri"/>
          <w:b/>
          <w:color w:val="FF0000"/>
          <w:sz w:val="20"/>
          <w:szCs w:val="20"/>
        </w:rPr>
      </w:pPr>
      <w:r>
        <w:rPr>
          <w:rFonts w:eastAsia="Calibri"/>
          <w:sz w:val="20"/>
          <w:szCs w:val="20"/>
        </w:rPr>
        <w:t>En el Sector Gobierno y Seguridad, se realizarán acciones como la Operación de Oficina de Defensa de Derechos Humanos  y Periodistas, Licenciamientos casa de Justicia Tlaxcala y Apizaco, asignaciones para el Centro de Justicia para las Mujeres, se dota de presupuesto para la operación del C5i, se continúa con la creación de Centros de Comando para los Municipios, Amp</w:t>
      </w:r>
      <w:r w:rsidR="00051685">
        <w:rPr>
          <w:rFonts w:eastAsia="Calibri"/>
          <w:sz w:val="20"/>
          <w:szCs w:val="20"/>
        </w:rPr>
        <w:t>liación de video Wall, se creará</w:t>
      </w:r>
      <w:r>
        <w:rPr>
          <w:rFonts w:eastAsia="Calibri"/>
          <w:sz w:val="20"/>
          <w:szCs w:val="20"/>
        </w:rPr>
        <w:t>n plazas operativas para fortalecer la Secretaría de Seguridad Ciudadana (incluye el sistema penitenciario), Sistemas de Inhibición Celular, y se crea el Instituto Tlaxcalteca para Devolver al Pueblo lo Robado quien se encargar</w:t>
      </w:r>
      <w:r w:rsidR="00051685">
        <w:rPr>
          <w:rFonts w:eastAsia="Calibri"/>
          <w:sz w:val="20"/>
          <w:szCs w:val="20"/>
        </w:rPr>
        <w:t>á</w:t>
      </w:r>
      <w:r>
        <w:rPr>
          <w:rFonts w:eastAsia="Calibri"/>
          <w:sz w:val="20"/>
          <w:szCs w:val="20"/>
        </w:rPr>
        <w:t xml:space="preserve"> de contribuir a erradicar la corrupción y fomentar la procuración de justicia en el país, mediante la administración y destinos de los bienes activos y empresas.</w:t>
      </w:r>
    </w:p>
    <w:p w:rsidR="00CB2519" w:rsidRDefault="00CB2519" w:rsidP="00CB2519">
      <w:pPr>
        <w:spacing w:after="200" w:line="360" w:lineRule="auto"/>
        <w:jc w:val="center"/>
        <w:rPr>
          <w:rFonts w:eastAsia="Calibri"/>
          <w:b/>
          <w:sz w:val="20"/>
          <w:szCs w:val="20"/>
        </w:rPr>
      </w:pPr>
      <w:r>
        <w:rPr>
          <w:rFonts w:eastAsia="Calibri"/>
          <w:b/>
          <w:sz w:val="20"/>
          <w:szCs w:val="20"/>
        </w:rPr>
        <w:t>PODERES Y ÓRGANOS AUTÓNOMOS</w:t>
      </w:r>
    </w:p>
    <w:tbl>
      <w:tblPr>
        <w:tblW w:w="7606" w:type="dxa"/>
        <w:jc w:val="center"/>
        <w:tblCellMar>
          <w:left w:w="70" w:type="dxa"/>
          <w:right w:w="70" w:type="dxa"/>
        </w:tblCellMar>
        <w:tblLook w:val="04A0" w:firstRow="1" w:lastRow="0" w:firstColumn="1" w:lastColumn="0" w:noHBand="0" w:noVBand="1"/>
      </w:tblPr>
      <w:tblGrid>
        <w:gridCol w:w="2696"/>
        <w:gridCol w:w="1540"/>
        <w:gridCol w:w="1830"/>
        <w:gridCol w:w="1540"/>
      </w:tblGrid>
      <w:tr w:rsidR="00CB2519" w:rsidTr="00277C86">
        <w:trPr>
          <w:trHeight w:val="960"/>
          <w:tblHeader/>
          <w:jc w:val="center"/>
        </w:trPr>
        <w:tc>
          <w:tcPr>
            <w:tcW w:w="2696" w:type="dxa"/>
            <w:tcBorders>
              <w:top w:val="single" w:sz="8" w:space="0" w:color="A6A6A6"/>
              <w:left w:val="single" w:sz="8" w:space="0" w:color="A6A6A6"/>
              <w:bottom w:val="nil"/>
              <w:right w:val="single" w:sz="8" w:space="0" w:color="A6A6A6"/>
            </w:tcBorders>
            <w:shd w:val="clear" w:color="auto" w:fill="CCCCCC"/>
            <w:vAlign w:val="center"/>
            <w:hideMark/>
          </w:tcPr>
          <w:p w:rsidR="00CB2519" w:rsidRDefault="00CB2519" w:rsidP="00277C86">
            <w:pPr>
              <w:spacing w:line="360" w:lineRule="auto"/>
              <w:jc w:val="center"/>
              <w:rPr>
                <w:b/>
                <w:bCs/>
                <w:color w:val="000000"/>
                <w:sz w:val="20"/>
                <w:szCs w:val="20"/>
                <w:lang w:val="es-MX" w:eastAsia="es-MX"/>
              </w:rPr>
            </w:pPr>
            <w:r>
              <w:rPr>
                <w:b/>
                <w:bCs/>
                <w:color w:val="000000"/>
                <w:sz w:val="20"/>
                <w:szCs w:val="20"/>
              </w:rPr>
              <w:t>PODERES Y ÓRGANOS AUTÓNOMOS</w:t>
            </w:r>
          </w:p>
        </w:tc>
        <w:tc>
          <w:tcPr>
            <w:tcW w:w="1540" w:type="dxa"/>
            <w:tcBorders>
              <w:top w:val="single" w:sz="8" w:space="0" w:color="A6A6A6"/>
              <w:left w:val="nil"/>
              <w:bottom w:val="nil"/>
              <w:right w:val="single" w:sz="8" w:space="0" w:color="A6A6A6"/>
            </w:tcBorders>
            <w:shd w:val="clear" w:color="auto" w:fill="CCCCCC"/>
            <w:vAlign w:val="center"/>
            <w:hideMark/>
          </w:tcPr>
          <w:p w:rsidR="00CB2519" w:rsidRDefault="00CB2519" w:rsidP="00277C86">
            <w:pPr>
              <w:spacing w:line="360" w:lineRule="auto"/>
              <w:jc w:val="center"/>
              <w:rPr>
                <w:b/>
                <w:bCs/>
                <w:color w:val="000000"/>
                <w:sz w:val="20"/>
                <w:szCs w:val="20"/>
              </w:rPr>
            </w:pPr>
            <w:r>
              <w:rPr>
                <w:b/>
                <w:bCs/>
                <w:color w:val="000000"/>
                <w:sz w:val="20"/>
                <w:szCs w:val="20"/>
              </w:rPr>
              <w:t>AUTORIZADO  2023</w:t>
            </w:r>
          </w:p>
          <w:p w:rsidR="00CB2519" w:rsidRDefault="00CB2519" w:rsidP="00277C86">
            <w:pPr>
              <w:spacing w:line="360" w:lineRule="auto"/>
              <w:jc w:val="center"/>
              <w:rPr>
                <w:b/>
                <w:bCs/>
                <w:color w:val="000000"/>
                <w:sz w:val="20"/>
                <w:szCs w:val="20"/>
              </w:rPr>
            </w:pPr>
            <w:r>
              <w:rPr>
                <w:b/>
                <w:bCs/>
                <w:color w:val="000000"/>
                <w:sz w:val="20"/>
                <w:szCs w:val="20"/>
              </w:rPr>
              <w:t>($)</w:t>
            </w:r>
          </w:p>
        </w:tc>
        <w:tc>
          <w:tcPr>
            <w:tcW w:w="1830" w:type="dxa"/>
            <w:tcBorders>
              <w:top w:val="single" w:sz="8" w:space="0" w:color="A6A6A6"/>
              <w:left w:val="nil"/>
              <w:bottom w:val="nil"/>
              <w:right w:val="single" w:sz="8" w:space="0" w:color="A6A6A6"/>
            </w:tcBorders>
            <w:shd w:val="clear" w:color="auto" w:fill="CCCCCC"/>
            <w:vAlign w:val="center"/>
            <w:hideMark/>
          </w:tcPr>
          <w:p w:rsidR="00CB2519" w:rsidRDefault="00CB2519" w:rsidP="00277C86">
            <w:pPr>
              <w:spacing w:line="360" w:lineRule="auto"/>
              <w:jc w:val="center"/>
              <w:rPr>
                <w:b/>
                <w:bCs/>
                <w:color w:val="000000"/>
                <w:sz w:val="20"/>
                <w:szCs w:val="20"/>
              </w:rPr>
            </w:pPr>
            <w:r>
              <w:rPr>
                <w:b/>
                <w:bCs/>
                <w:color w:val="000000"/>
                <w:sz w:val="20"/>
                <w:szCs w:val="20"/>
              </w:rPr>
              <w:t>ANTEPROYECTO 2024</w:t>
            </w:r>
          </w:p>
          <w:p w:rsidR="00CB2519" w:rsidRDefault="00CB2519" w:rsidP="00277C86">
            <w:pPr>
              <w:spacing w:line="360" w:lineRule="auto"/>
              <w:jc w:val="center"/>
              <w:rPr>
                <w:b/>
                <w:bCs/>
                <w:color w:val="000000"/>
                <w:sz w:val="20"/>
                <w:szCs w:val="20"/>
              </w:rPr>
            </w:pPr>
            <w:r>
              <w:rPr>
                <w:b/>
                <w:bCs/>
                <w:color w:val="000000"/>
                <w:sz w:val="20"/>
                <w:szCs w:val="20"/>
              </w:rPr>
              <w:t>($)</w:t>
            </w:r>
          </w:p>
        </w:tc>
        <w:tc>
          <w:tcPr>
            <w:tcW w:w="1540" w:type="dxa"/>
            <w:tcBorders>
              <w:top w:val="single" w:sz="8" w:space="0" w:color="A6A6A6"/>
              <w:left w:val="nil"/>
              <w:bottom w:val="nil"/>
              <w:right w:val="single" w:sz="8" w:space="0" w:color="A6A6A6"/>
            </w:tcBorders>
            <w:shd w:val="clear" w:color="auto" w:fill="CCCCCC"/>
            <w:vAlign w:val="center"/>
            <w:hideMark/>
          </w:tcPr>
          <w:p w:rsidR="00CB2519" w:rsidRDefault="00CB2519" w:rsidP="00277C86">
            <w:pPr>
              <w:spacing w:line="360" w:lineRule="auto"/>
              <w:jc w:val="center"/>
              <w:rPr>
                <w:b/>
                <w:bCs/>
                <w:color w:val="000000"/>
                <w:sz w:val="20"/>
                <w:szCs w:val="20"/>
              </w:rPr>
            </w:pPr>
            <w:r>
              <w:rPr>
                <w:b/>
                <w:bCs/>
                <w:color w:val="000000"/>
                <w:sz w:val="20"/>
                <w:szCs w:val="20"/>
              </w:rPr>
              <w:t>INICIATIVA FINAL PROPUESTA 2024</w:t>
            </w:r>
          </w:p>
          <w:p w:rsidR="00CB2519" w:rsidRDefault="00CB2519" w:rsidP="00277C86">
            <w:pPr>
              <w:spacing w:line="360" w:lineRule="auto"/>
              <w:jc w:val="center"/>
              <w:rPr>
                <w:b/>
                <w:bCs/>
                <w:color w:val="000000"/>
                <w:sz w:val="20"/>
                <w:szCs w:val="20"/>
              </w:rPr>
            </w:pPr>
            <w:r>
              <w:rPr>
                <w:b/>
                <w:bCs/>
                <w:color w:val="000000"/>
                <w:sz w:val="20"/>
                <w:szCs w:val="20"/>
              </w:rPr>
              <w:t>($)</w:t>
            </w:r>
          </w:p>
        </w:tc>
      </w:tr>
      <w:tr w:rsidR="00CB2519" w:rsidTr="00277C86">
        <w:trPr>
          <w:trHeight w:val="315"/>
          <w:jc w:val="center"/>
        </w:trPr>
        <w:tc>
          <w:tcPr>
            <w:tcW w:w="2696" w:type="dxa"/>
            <w:tcBorders>
              <w:top w:val="single" w:sz="8" w:space="0" w:color="A6A6A6"/>
              <w:left w:val="single" w:sz="8" w:space="0" w:color="A6A6A6"/>
              <w:bottom w:val="single" w:sz="8" w:space="0" w:color="A6A6A6"/>
              <w:right w:val="single" w:sz="8" w:space="0" w:color="A6A6A6"/>
            </w:tcBorders>
            <w:vAlign w:val="center"/>
            <w:hideMark/>
          </w:tcPr>
          <w:p w:rsidR="00CB2519" w:rsidRDefault="00CB2519" w:rsidP="00277C86">
            <w:pPr>
              <w:spacing w:line="360" w:lineRule="auto"/>
              <w:jc w:val="both"/>
              <w:rPr>
                <w:color w:val="000000"/>
                <w:sz w:val="20"/>
                <w:szCs w:val="20"/>
              </w:rPr>
            </w:pPr>
            <w:r>
              <w:rPr>
                <w:color w:val="000000"/>
                <w:sz w:val="20"/>
                <w:szCs w:val="20"/>
              </w:rPr>
              <w:t>Poder Legislativo</w:t>
            </w:r>
          </w:p>
        </w:tc>
        <w:tc>
          <w:tcPr>
            <w:tcW w:w="1540" w:type="dxa"/>
            <w:tcBorders>
              <w:top w:val="single" w:sz="8" w:space="0" w:color="A6A6A6"/>
              <w:left w:val="nil"/>
              <w:bottom w:val="single" w:sz="8" w:space="0" w:color="A6A6A6"/>
              <w:right w:val="single" w:sz="8" w:space="0" w:color="A6A6A6"/>
            </w:tcBorders>
            <w:vAlign w:val="center"/>
            <w:hideMark/>
          </w:tcPr>
          <w:p w:rsidR="00CB2519" w:rsidRDefault="00CB2519" w:rsidP="00277C86">
            <w:pPr>
              <w:spacing w:line="254" w:lineRule="auto"/>
              <w:jc w:val="right"/>
              <w:rPr>
                <w:color w:val="000000"/>
                <w:sz w:val="20"/>
                <w:szCs w:val="20"/>
                <w:lang w:val="es-MX" w:eastAsia="es-MX"/>
              </w:rPr>
            </w:pPr>
            <w:r>
              <w:rPr>
                <w:color w:val="000000"/>
                <w:sz w:val="20"/>
                <w:szCs w:val="20"/>
              </w:rPr>
              <w:t>418,615,666.00</w:t>
            </w:r>
          </w:p>
        </w:tc>
        <w:tc>
          <w:tcPr>
            <w:tcW w:w="1830" w:type="dxa"/>
            <w:tcBorders>
              <w:top w:val="single" w:sz="8" w:space="0" w:color="A6A6A6"/>
              <w:left w:val="nil"/>
              <w:bottom w:val="single" w:sz="8" w:space="0" w:color="A6A6A6"/>
              <w:right w:val="single" w:sz="8" w:space="0" w:color="A6A6A6"/>
            </w:tcBorders>
            <w:vAlign w:val="center"/>
            <w:hideMark/>
          </w:tcPr>
          <w:p w:rsidR="00CB2519" w:rsidRDefault="00CB2519" w:rsidP="00277C86">
            <w:pPr>
              <w:spacing w:line="254" w:lineRule="auto"/>
              <w:jc w:val="right"/>
              <w:rPr>
                <w:color w:val="000000"/>
                <w:sz w:val="20"/>
                <w:szCs w:val="20"/>
              </w:rPr>
            </w:pPr>
            <w:r>
              <w:rPr>
                <w:color w:val="000000"/>
                <w:sz w:val="20"/>
                <w:szCs w:val="20"/>
              </w:rPr>
              <w:t>447,066,600.00</w:t>
            </w:r>
          </w:p>
        </w:tc>
        <w:tc>
          <w:tcPr>
            <w:tcW w:w="1540" w:type="dxa"/>
            <w:tcBorders>
              <w:top w:val="single" w:sz="8" w:space="0" w:color="A6A6A6"/>
              <w:left w:val="nil"/>
              <w:bottom w:val="single" w:sz="8" w:space="0" w:color="A6A6A6"/>
              <w:right w:val="single" w:sz="8" w:space="0" w:color="A6A6A6"/>
            </w:tcBorders>
            <w:vAlign w:val="center"/>
            <w:hideMark/>
          </w:tcPr>
          <w:p w:rsidR="00CB2519" w:rsidRDefault="00CB2519" w:rsidP="00277C86">
            <w:pPr>
              <w:spacing w:line="254" w:lineRule="auto"/>
              <w:jc w:val="right"/>
              <w:rPr>
                <w:color w:val="000000"/>
                <w:sz w:val="20"/>
                <w:szCs w:val="20"/>
              </w:rPr>
            </w:pPr>
            <w:r>
              <w:rPr>
                <w:color w:val="000000"/>
                <w:sz w:val="20"/>
                <w:szCs w:val="20"/>
              </w:rPr>
              <w:t>446,020,427.00</w:t>
            </w:r>
          </w:p>
        </w:tc>
      </w:tr>
      <w:tr w:rsidR="00CB2519" w:rsidTr="00277C86">
        <w:trPr>
          <w:trHeight w:val="315"/>
          <w:jc w:val="center"/>
        </w:trPr>
        <w:tc>
          <w:tcPr>
            <w:tcW w:w="2696" w:type="dxa"/>
            <w:tcBorders>
              <w:top w:val="nil"/>
              <w:left w:val="single" w:sz="8" w:space="0" w:color="A6A6A6"/>
              <w:bottom w:val="single" w:sz="8" w:space="0" w:color="A6A6A6"/>
              <w:right w:val="single" w:sz="8" w:space="0" w:color="A6A6A6"/>
            </w:tcBorders>
            <w:vAlign w:val="center"/>
            <w:hideMark/>
          </w:tcPr>
          <w:p w:rsidR="00CB2519" w:rsidRDefault="00CB2519" w:rsidP="00277C86">
            <w:pPr>
              <w:spacing w:line="360" w:lineRule="auto"/>
              <w:jc w:val="both"/>
              <w:rPr>
                <w:color w:val="000000"/>
                <w:sz w:val="20"/>
                <w:szCs w:val="20"/>
              </w:rPr>
            </w:pPr>
            <w:r>
              <w:rPr>
                <w:color w:val="000000"/>
                <w:sz w:val="20"/>
                <w:szCs w:val="20"/>
              </w:rPr>
              <w:t>Poder Judicial</w:t>
            </w:r>
          </w:p>
        </w:tc>
        <w:tc>
          <w:tcPr>
            <w:tcW w:w="1540" w:type="dxa"/>
            <w:tcBorders>
              <w:top w:val="nil"/>
              <w:left w:val="nil"/>
              <w:bottom w:val="single" w:sz="8" w:space="0" w:color="A6A6A6"/>
              <w:right w:val="single" w:sz="8" w:space="0" w:color="A6A6A6"/>
            </w:tcBorders>
            <w:vAlign w:val="center"/>
            <w:hideMark/>
          </w:tcPr>
          <w:p w:rsidR="00CB2519" w:rsidRDefault="00CB2519" w:rsidP="00277C86">
            <w:pPr>
              <w:spacing w:line="254" w:lineRule="auto"/>
              <w:jc w:val="right"/>
              <w:rPr>
                <w:color w:val="000000"/>
                <w:sz w:val="20"/>
                <w:szCs w:val="20"/>
              </w:rPr>
            </w:pPr>
            <w:r>
              <w:rPr>
                <w:color w:val="000000"/>
                <w:sz w:val="20"/>
                <w:szCs w:val="20"/>
              </w:rPr>
              <w:t>450,610,019.00</w:t>
            </w:r>
          </w:p>
        </w:tc>
        <w:tc>
          <w:tcPr>
            <w:tcW w:w="1830" w:type="dxa"/>
            <w:tcBorders>
              <w:top w:val="nil"/>
              <w:left w:val="nil"/>
              <w:bottom w:val="single" w:sz="8" w:space="0" w:color="A6A6A6"/>
              <w:right w:val="single" w:sz="8" w:space="0" w:color="A6A6A6"/>
            </w:tcBorders>
            <w:vAlign w:val="center"/>
            <w:hideMark/>
          </w:tcPr>
          <w:p w:rsidR="00CB2519" w:rsidRDefault="00CB2519" w:rsidP="00277C86">
            <w:pPr>
              <w:spacing w:line="254" w:lineRule="auto"/>
              <w:jc w:val="right"/>
              <w:rPr>
                <w:color w:val="000000"/>
                <w:sz w:val="20"/>
                <w:szCs w:val="20"/>
              </w:rPr>
            </w:pPr>
            <w:r>
              <w:rPr>
                <w:color w:val="000000"/>
                <w:sz w:val="20"/>
                <w:szCs w:val="20"/>
              </w:rPr>
              <w:t>482,152,720.00</w:t>
            </w:r>
          </w:p>
        </w:tc>
        <w:tc>
          <w:tcPr>
            <w:tcW w:w="1540" w:type="dxa"/>
            <w:tcBorders>
              <w:top w:val="nil"/>
              <w:left w:val="nil"/>
              <w:bottom w:val="single" w:sz="8" w:space="0" w:color="A6A6A6"/>
              <w:right w:val="single" w:sz="8" w:space="0" w:color="A6A6A6"/>
            </w:tcBorders>
            <w:vAlign w:val="center"/>
            <w:hideMark/>
          </w:tcPr>
          <w:p w:rsidR="00CB2519" w:rsidRDefault="00CB2519" w:rsidP="00277C86">
            <w:pPr>
              <w:spacing w:line="254" w:lineRule="auto"/>
              <w:jc w:val="right"/>
              <w:rPr>
                <w:color w:val="000000"/>
                <w:sz w:val="20"/>
                <w:szCs w:val="20"/>
              </w:rPr>
            </w:pPr>
            <w:r>
              <w:rPr>
                <w:color w:val="000000"/>
                <w:sz w:val="20"/>
                <w:szCs w:val="20"/>
              </w:rPr>
              <w:t>482,152,720.00</w:t>
            </w:r>
          </w:p>
        </w:tc>
      </w:tr>
      <w:tr w:rsidR="00CB2519" w:rsidTr="00277C86">
        <w:trPr>
          <w:trHeight w:val="553"/>
          <w:jc w:val="center"/>
        </w:trPr>
        <w:tc>
          <w:tcPr>
            <w:tcW w:w="2696" w:type="dxa"/>
            <w:tcBorders>
              <w:top w:val="nil"/>
              <w:left w:val="single" w:sz="8" w:space="0" w:color="A6A6A6"/>
              <w:bottom w:val="single" w:sz="8" w:space="0" w:color="A6A6A6"/>
              <w:right w:val="single" w:sz="8" w:space="0" w:color="A6A6A6"/>
            </w:tcBorders>
            <w:vAlign w:val="center"/>
            <w:hideMark/>
          </w:tcPr>
          <w:p w:rsidR="00CB2519" w:rsidRDefault="00CB2519" w:rsidP="00277C86">
            <w:pPr>
              <w:spacing w:line="360" w:lineRule="auto"/>
              <w:jc w:val="both"/>
              <w:rPr>
                <w:color w:val="000000"/>
                <w:sz w:val="20"/>
                <w:szCs w:val="20"/>
              </w:rPr>
            </w:pPr>
            <w:r>
              <w:rPr>
                <w:color w:val="000000"/>
                <w:sz w:val="20"/>
                <w:szCs w:val="20"/>
              </w:rPr>
              <w:t>Universidad Autónoma de Tlaxcala</w:t>
            </w:r>
          </w:p>
        </w:tc>
        <w:tc>
          <w:tcPr>
            <w:tcW w:w="1540" w:type="dxa"/>
            <w:tcBorders>
              <w:top w:val="nil"/>
              <w:left w:val="nil"/>
              <w:bottom w:val="single" w:sz="8" w:space="0" w:color="A6A6A6"/>
              <w:right w:val="single" w:sz="8" w:space="0" w:color="A6A6A6"/>
            </w:tcBorders>
            <w:vAlign w:val="center"/>
            <w:hideMark/>
          </w:tcPr>
          <w:p w:rsidR="00CB2519" w:rsidRDefault="00CB2519" w:rsidP="00277C86">
            <w:pPr>
              <w:spacing w:line="254" w:lineRule="auto"/>
              <w:jc w:val="right"/>
              <w:rPr>
                <w:color w:val="000000"/>
                <w:sz w:val="20"/>
                <w:szCs w:val="20"/>
              </w:rPr>
            </w:pPr>
            <w:r>
              <w:rPr>
                <w:color w:val="000000"/>
                <w:sz w:val="20"/>
                <w:szCs w:val="20"/>
              </w:rPr>
              <w:t>129,419,950.00</w:t>
            </w:r>
          </w:p>
        </w:tc>
        <w:tc>
          <w:tcPr>
            <w:tcW w:w="1830" w:type="dxa"/>
            <w:tcBorders>
              <w:top w:val="nil"/>
              <w:left w:val="nil"/>
              <w:bottom w:val="single" w:sz="8" w:space="0" w:color="A6A6A6"/>
              <w:right w:val="single" w:sz="8" w:space="0" w:color="A6A6A6"/>
            </w:tcBorders>
            <w:vAlign w:val="center"/>
            <w:hideMark/>
          </w:tcPr>
          <w:p w:rsidR="00CB2519" w:rsidRDefault="00CB2519" w:rsidP="00277C86">
            <w:pPr>
              <w:spacing w:line="254" w:lineRule="auto"/>
              <w:jc w:val="right"/>
              <w:rPr>
                <w:color w:val="000000"/>
                <w:sz w:val="20"/>
                <w:szCs w:val="20"/>
              </w:rPr>
            </w:pPr>
            <w:r>
              <w:rPr>
                <w:color w:val="000000"/>
                <w:sz w:val="20"/>
                <w:szCs w:val="20"/>
              </w:rPr>
              <w:t>133,394,782.00</w:t>
            </w:r>
          </w:p>
        </w:tc>
        <w:tc>
          <w:tcPr>
            <w:tcW w:w="1540" w:type="dxa"/>
            <w:tcBorders>
              <w:top w:val="nil"/>
              <w:left w:val="nil"/>
              <w:bottom w:val="single" w:sz="8" w:space="0" w:color="A6A6A6"/>
              <w:right w:val="single" w:sz="8" w:space="0" w:color="A6A6A6"/>
            </w:tcBorders>
            <w:vAlign w:val="center"/>
            <w:hideMark/>
          </w:tcPr>
          <w:p w:rsidR="00CB2519" w:rsidRDefault="00CB2519" w:rsidP="00277C86">
            <w:pPr>
              <w:spacing w:line="254" w:lineRule="auto"/>
              <w:jc w:val="right"/>
              <w:rPr>
                <w:color w:val="000000"/>
                <w:sz w:val="20"/>
                <w:szCs w:val="20"/>
              </w:rPr>
            </w:pPr>
            <w:r>
              <w:rPr>
                <w:color w:val="000000"/>
                <w:sz w:val="20"/>
                <w:szCs w:val="20"/>
              </w:rPr>
              <w:t>133,394,782.00</w:t>
            </w:r>
          </w:p>
        </w:tc>
      </w:tr>
      <w:tr w:rsidR="00CB2519" w:rsidTr="00277C86">
        <w:trPr>
          <w:trHeight w:val="615"/>
          <w:jc w:val="center"/>
        </w:trPr>
        <w:tc>
          <w:tcPr>
            <w:tcW w:w="2696" w:type="dxa"/>
            <w:tcBorders>
              <w:top w:val="nil"/>
              <w:left w:val="single" w:sz="8" w:space="0" w:color="A6A6A6"/>
              <w:bottom w:val="single" w:sz="8" w:space="0" w:color="A6A6A6"/>
              <w:right w:val="single" w:sz="8" w:space="0" w:color="A6A6A6"/>
            </w:tcBorders>
            <w:vAlign w:val="center"/>
            <w:hideMark/>
          </w:tcPr>
          <w:p w:rsidR="00CB2519" w:rsidRDefault="00CB2519" w:rsidP="00277C86">
            <w:pPr>
              <w:spacing w:line="360" w:lineRule="auto"/>
              <w:jc w:val="both"/>
              <w:rPr>
                <w:color w:val="000000"/>
                <w:sz w:val="20"/>
                <w:szCs w:val="20"/>
              </w:rPr>
            </w:pPr>
            <w:r>
              <w:rPr>
                <w:color w:val="000000"/>
                <w:sz w:val="20"/>
                <w:szCs w:val="20"/>
              </w:rPr>
              <w:lastRenderedPageBreak/>
              <w:t>Comisión Estatal de Derechos Humanos</w:t>
            </w:r>
          </w:p>
        </w:tc>
        <w:tc>
          <w:tcPr>
            <w:tcW w:w="1540" w:type="dxa"/>
            <w:tcBorders>
              <w:top w:val="nil"/>
              <w:left w:val="nil"/>
              <w:bottom w:val="single" w:sz="8" w:space="0" w:color="A6A6A6"/>
              <w:right w:val="single" w:sz="8" w:space="0" w:color="A6A6A6"/>
            </w:tcBorders>
            <w:vAlign w:val="center"/>
            <w:hideMark/>
          </w:tcPr>
          <w:p w:rsidR="00CB2519" w:rsidRDefault="00CB2519" w:rsidP="00277C86">
            <w:pPr>
              <w:spacing w:line="254" w:lineRule="auto"/>
              <w:jc w:val="right"/>
              <w:rPr>
                <w:color w:val="000000"/>
                <w:sz w:val="20"/>
                <w:szCs w:val="20"/>
              </w:rPr>
            </w:pPr>
            <w:r>
              <w:rPr>
                <w:color w:val="000000"/>
                <w:sz w:val="20"/>
                <w:szCs w:val="20"/>
              </w:rPr>
              <w:t>25,352,221.00</w:t>
            </w:r>
          </w:p>
        </w:tc>
        <w:tc>
          <w:tcPr>
            <w:tcW w:w="1830" w:type="dxa"/>
            <w:tcBorders>
              <w:top w:val="nil"/>
              <w:left w:val="nil"/>
              <w:bottom w:val="single" w:sz="8" w:space="0" w:color="A6A6A6"/>
              <w:right w:val="single" w:sz="8" w:space="0" w:color="A6A6A6"/>
            </w:tcBorders>
            <w:vAlign w:val="center"/>
            <w:hideMark/>
          </w:tcPr>
          <w:p w:rsidR="00CB2519" w:rsidRDefault="00CB2519" w:rsidP="00277C86">
            <w:pPr>
              <w:spacing w:line="254" w:lineRule="auto"/>
              <w:jc w:val="right"/>
              <w:rPr>
                <w:color w:val="000000"/>
                <w:sz w:val="20"/>
                <w:szCs w:val="20"/>
              </w:rPr>
            </w:pPr>
            <w:r>
              <w:rPr>
                <w:color w:val="000000"/>
                <w:sz w:val="20"/>
                <w:szCs w:val="20"/>
              </w:rPr>
              <w:t>27,352,221.00</w:t>
            </w:r>
          </w:p>
        </w:tc>
        <w:tc>
          <w:tcPr>
            <w:tcW w:w="1540" w:type="dxa"/>
            <w:tcBorders>
              <w:top w:val="nil"/>
              <w:left w:val="nil"/>
              <w:bottom w:val="single" w:sz="8" w:space="0" w:color="A6A6A6"/>
              <w:right w:val="single" w:sz="8" w:space="0" w:color="A6A6A6"/>
            </w:tcBorders>
            <w:vAlign w:val="center"/>
            <w:hideMark/>
          </w:tcPr>
          <w:p w:rsidR="00CB2519" w:rsidRDefault="00CB2519" w:rsidP="00277C86">
            <w:pPr>
              <w:spacing w:line="254" w:lineRule="auto"/>
              <w:jc w:val="right"/>
              <w:rPr>
                <w:color w:val="000000"/>
                <w:sz w:val="20"/>
                <w:szCs w:val="20"/>
              </w:rPr>
            </w:pPr>
            <w:r>
              <w:rPr>
                <w:color w:val="000000"/>
                <w:sz w:val="20"/>
                <w:szCs w:val="20"/>
              </w:rPr>
              <w:t>26,095,253.00</w:t>
            </w:r>
          </w:p>
        </w:tc>
      </w:tr>
      <w:tr w:rsidR="00CB2519" w:rsidTr="00277C86">
        <w:trPr>
          <w:trHeight w:val="615"/>
          <w:jc w:val="center"/>
        </w:trPr>
        <w:tc>
          <w:tcPr>
            <w:tcW w:w="2696" w:type="dxa"/>
            <w:tcBorders>
              <w:top w:val="nil"/>
              <w:left w:val="single" w:sz="8" w:space="0" w:color="A6A6A6"/>
              <w:bottom w:val="single" w:sz="8" w:space="0" w:color="A6A6A6"/>
              <w:right w:val="single" w:sz="8" w:space="0" w:color="A6A6A6"/>
            </w:tcBorders>
            <w:vAlign w:val="center"/>
            <w:hideMark/>
          </w:tcPr>
          <w:p w:rsidR="00CB2519" w:rsidRDefault="00CB2519" w:rsidP="00277C86">
            <w:pPr>
              <w:spacing w:line="360" w:lineRule="auto"/>
              <w:jc w:val="both"/>
              <w:rPr>
                <w:color w:val="000000"/>
                <w:sz w:val="20"/>
                <w:szCs w:val="20"/>
              </w:rPr>
            </w:pPr>
            <w:r>
              <w:rPr>
                <w:color w:val="000000"/>
                <w:sz w:val="20"/>
                <w:szCs w:val="20"/>
              </w:rPr>
              <w:t>Instituto Tlaxcalteca de Elecciones</w:t>
            </w:r>
          </w:p>
        </w:tc>
        <w:tc>
          <w:tcPr>
            <w:tcW w:w="1540" w:type="dxa"/>
            <w:tcBorders>
              <w:top w:val="nil"/>
              <w:left w:val="nil"/>
              <w:bottom w:val="single" w:sz="8" w:space="0" w:color="A6A6A6"/>
              <w:right w:val="single" w:sz="8" w:space="0" w:color="A6A6A6"/>
            </w:tcBorders>
            <w:vAlign w:val="center"/>
            <w:hideMark/>
          </w:tcPr>
          <w:p w:rsidR="00CB2519" w:rsidRDefault="00CB2519" w:rsidP="00277C86">
            <w:pPr>
              <w:spacing w:line="254" w:lineRule="auto"/>
              <w:jc w:val="right"/>
              <w:rPr>
                <w:color w:val="000000"/>
                <w:sz w:val="20"/>
                <w:szCs w:val="20"/>
              </w:rPr>
            </w:pPr>
            <w:r>
              <w:rPr>
                <w:color w:val="000000"/>
                <w:sz w:val="20"/>
                <w:szCs w:val="20"/>
              </w:rPr>
              <w:t>113,490,308.00</w:t>
            </w:r>
          </w:p>
        </w:tc>
        <w:tc>
          <w:tcPr>
            <w:tcW w:w="1830" w:type="dxa"/>
            <w:tcBorders>
              <w:top w:val="nil"/>
              <w:left w:val="nil"/>
              <w:bottom w:val="single" w:sz="8" w:space="0" w:color="A6A6A6"/>
              <w:right w:val="single" w:sz="8" w:space="0" w:color="A6A6A6"/>
            </w:tcBorders>
            <w:vAlign w:val="center"/>
            <w:hideMark/>
          </w:tcPr>
          <w:p w:rsidR="00CB2519" w:rsidRDefault="00CB2519" w:rsidP="00277C86">
            <w:pPr>
              <w:spacing w:line="254" w:lineRule="auto"/>
              <w:jc w:val="right"/>
              <w:rPr>
                <w:color w:val="000000"/>
                <w:sz w:val="20"/>
                <w:szCs w:val="20"/>
              </w:rPr>
            </w:pPr>
            <w:r>
              <w:rPr>
                <w:color w:val="000000"/>
                <w:sz w:val="20"/>
                <w:szCs w:val="20"/>
              </w:rPr>
              <w:t>275,689,154.00</w:t>
            </w:r>
          </w:p>
        </w:tc>
        <w:tc>
          <w:tcPr>
            <w:tcW w:w="1540" w:type="dxa"/>
            <w:tcBorders>
              <w:top w:val="nil"/>
              <w:left w:val="nil"/>
              <w:bottom w:val="single" w:sz="8" w:space="0" w:color="A6A6A6"/>
              <w:right w:val="single" w:sz="8" w:space="0" w:color="A6A6A6"/>
            </w:tcBorders>
            <w:vAlign w:val="center"/>
            <w:hideMark/>
          </w:tcPr>
          <w:p w:rsidR="00CB2519" w:rsidRDefault="00CB2519" w:rsidP="00277C86">
            <w:pPr>
              <w:spacing w:line="254" w:lineRule="auto"/>
              <w:jc w:val="right"/>
              <w:rPr>
                <w:color w:val="000000"/>
                <w:sz w:val="20"/>
                <w:szCs w:val="20"/>
              </w:rPr>
            </w:pPr>
            <w:r>
              <w:rPr>
                <w:color w:val="000000"/>
                <w:sz w:val="20"/>
                <w:szCs w:val="20"/>
              </w:rPr>
              <w:t>275,689,154.00</w:t>
            </w:r>
          </w:p>
        </w:tc>
      </w:tr>
      <w:tr w:rsidR="00CB2519" w:rsidTr="00277C86">
        <w:trPr>
          <w:trHeight w:val="754"/>
          <w:jc w:val="center"/>
        </w:trPr>
        <w:tc>
          <w:tcPr>
            <w:tcW w:w="2696" w:type="dxa"/>
            <w:tcBorders>
              <w:top w:val="nil"/>
              <w:left w:val="single" w:sz="8" w:space="0" w:color="A6A6A6"/>
              <w:bottom w:val="single" w:sz="8" w:space="0" w:color="A6A6A6"/>
              <w:right w:val="single" w:sz="8" w:space="0" w:color="A6A6A6"/>
            </w:tcBorders>
            <w:vAlign w:val="center"/>
            <w:hideMark/>
          </w:tcPr>
          <w:p w:rsidR="00CB2519" w:rsidRDefault="00CB2519" w:rsidP="00277C86">
            <w:pPr>
              <w:spacing w:line="360" w:lineRule="auto"/>
              <w:jc w:val="both"/>
              <w:rPr>
                <w:color w:val="000000"/>
                <w:sz w:val="20"/>
                <w:szCs w:val="20"/>
              </w:rPr>
            </w:pPr>
            <w:r>
              <w:rPr>
                <w:color w:val="000000"/>
                <w:sz w:val="20"/>
                <w:szCs w:val="20"/>
              </w:rPr>
              <w:t>Instituto de Acceso a la Información Pública y Protección de Datos Personales</w:t>
            </w:r>
          </w:p>
        </w:tc>
        <w:tc>
          <w:tcPr>
            <w:tcW w:w="1540" w:type="dxa"/>
            <w:tcBorders>
              <w:top w:val="nil"/>
              <w:left w:val="nil"/>
              <w:bottom w:val="single" w:sz="8" w:space="0" w:color="A6A6A6"/>
              <w:right w:val="single" w:sz="8" w:space="0" w:color="A6A6A6"/>
            </w:tcBorders>
            <w:vAlign w:val="center"/>
            <w:hideMark/>
          </w:tcPr>
          <w:p w:rsidR="00CB2519" w:rsidRDefault="00CB2519" w:rsidP="00277C86">
            <w:pPr>
              <w:spacing w:line="254" w:lineRule="auto"/>
              <w:jc w:val="right"/>
              <w:rPr>
                <w:color w:val="000000"/>
                <w:sz w:val="20"/>
                <w:szCs w:val="20"/>
              </w:rPr>
            </w:pPr>
            <w:r>
              <w:rPr>
                <w:color w:val="000000"/>
                <w:sz w:val="20"/>
                <w:szCs w:val="20"/>
              </w:rPr>
              <w:t>19,043,057.00</w:t>
            </w:r>
          </w:p>
        </w:tc>
        <w:tc>
          <w:tcPr>
            <w:tcW w:w="1830" w:type="dxa"/>
            <w:tcBorders>
              <w:top w:val="nil"/>
              <w:left w:val="nil"/>
              <w:bottom w:val="single" w:sz="8" w:space="0" w:color="A6A6A6"/>
              <w:right w:val="single" w:sz="8" w:space="0" w:color="A6A6A6"/>
            </w:tcBorders>
            <w:vAlign w:val="center"/>
            <w:hideMark/>
          </w:tcPr>
          <w:p w:rsidR="00CB2519" w:rsidRDefault="00CB2519" w:rsidP="00277C86">
            <w:pPr>
              <w:spacing w:line="254" w:lineRule="auto"/>
              <w:jc w:val="right"/>
              <w:rPr>
                <w:color w:val="000000"/>
                <w:sz w:val="20"/>
                <w:szCs w:val="20"/>
              </w:rPr>
            </w:pPr>
            <w:r>
              <w:rPr>
                <w:color w:val="000000"/>
                <w:sz w:val="20"/>
                <w:szCs w:val="20"/>
              </w:rPr>
              <w:t>21,043,057.00</w:t>
            </w:r>
          </w:p>
        </w:tc>
        <w:tc>
          <w:tcPr>
            <w:tcW w:w="1540" w:type="dxa"/>
            <w:tcBorders>
              <w:top w:val="nil"/>
              <w:left w:val="nil"/>
              <w:bottom w:val="single" w:sz="8" w:space="0" w:color="A6A6A6"/>
              <w:right w:val="single" w:sz="8" w:space="0" w:color="A6A6A6"/>
            </w:tcBorders>
            <w:vAlign w:val="center"/>
            <w:hideMark/>
          </w:tcPr>
          <w:p w:rsidR="00CB2519" w:rsidRDefault="00CB2519" w:rsidP="00277C86">
            <w:pPr>
              <w:spacing w:line="254" w:lineRule="auto"/>
              <w:jc w:val="right"/>
              <w:rPr>
                <w:color w:val="000000"/>
                <w:sz w:val="20"/>
                <w:szCs w:val="20"/>
              </w:rPr>
            </w:pPr>
            <w:r>
              <w:rPr>
                <w:color w:val="000000"/>
                <w:sz w:val="20"/>
                <w:szCs w:val="20"/>
              </w:rPr>
              <w:t>21,043,057.00</w:t>
            </w:r>
          </w:p>
        </w:tc>
      </w:tr>
      <w:tr w:rsidR="00CB2519" w:rsidTr="00277C86">
        <w:trPr>
          <w:trHeight w:val="611"/>
          <w:jc w:val="center"/>
        </w:trPr>
        <w:tc>
          <w:tcPr>
            <w:tcW w:w="2696" w:type="dxa"/>
            <w:tcBorders>
              <w:top w:val="nil"/>
              <w:left w:val="single" w:sz="8" w:space="0" w:color="A6A6A6"/>
              <w:bottom w:val="single" w:sz="8" w:space="0" w:color="A6A6A6"/>
              <w:right w:val="single" w:sz="8" w:space="0" w:color="A6A6A6"/>
            </w:tcBorders>
            <w:vAlign w:val="center"/>
            <w:hideMark/>
          </w:tcPr>
          <w:p w:rsidR="00CB2519" w:rsidRDefault="00CB2519" w:rsidP="00277C86">
            <w:pPr>
              <w:spacing w:line="360" w:lineRule="auto"/>
              <w:jc w:val="both"/>
              <w:rPr>
                <w:color w:val="000000"/>
                <w:sz w:val="20"/>
                <w:szCs w:val="20"/>
              </w:rPr>
            </w:pPr>
            <w:r>
              <w:rPr>
                <w:color w:val="000000"/>
                <w:sz w:val="20"/>
                <w:szCs w:val="20"/>
              </w:rPr>
              <w:t>Tribunal de Conciliación y Arbitraje</w:t>
            </w:r>
          </w:p>
        </w:tc>
        <w:tc>
          <w:tcPr>
            <w:tcW w:w="1540" w:type="dxa"/>
            <w:tcBorders>
              <w:top w:val="nil"/>
              <w:left w:val="nil"/>
              <w:bottom w:val="single" w:sz="8" w:space="0" w:color="A6A6A6"/>
              <w:right w:val="single" w:sz="8" w:space="0" w:color="A6A6A6"/>
            </w:tcBorders>
            <w:vAlign w:val="center"/>
            <w:hideMark/>
          </w:tcPr>
          <w:p w:rsidR="00CB2519" w:rsidRDefault="00CB2519" w:rsidP="00277C86">
            <w:pPr>
              <w:spacing w:line="254" w:lineRule="auto"/>
              <w:jc w:val="right"/>
              <w:rPr>
                <w:color w:val="000000"/>
                <w:sz w:val="20"/>
                <w:szCs w:val="20"/>
              </w:rPr>
            </w:pPr>
            <w:r>
              <w:rPr>
                <w:color w:val="000000"/>
                <w:sz w:val="20"/>
                <w:szCs w:val="20"/>
              </w:rPr>
              <w:t>17,481,909.00</w:t>
            </w:r>
          </w:p>
        </w:tc>
        <w:tc>
          <w:tcPr>
            <w:tcW w:w="1830" w:type="dxa"/>
            <w:tcBorders>
              <w:top w:val="nil"/>
              <w:left w:val="nil"/>
              <w:bottom w:val="single" w:sz="8" w:space="0" w:color="A6A6A6"/>
              <w:right w:val="single" w:sz="8" w:space="0" w:color="A6A6A6"/>
            </w:tcBorders>
            <w:vAlign w:val="center"/>
            <w:hideMark/>
          </w:tcPr>
          <w:p w:rsidR="00CB2519" w:rsidRDefault="00CB2519" w:rsidP="00277C86">
            <w:pPr>
              <w:spacing w:line="254" w:lineRule="auto"/>
              <w:jc w:val="right"/>
              <w:rPr>
                <w:color w:val="000000"/>
                <w:sz w:val="20"/>
                <w:szCs w:val="20"/>
              </w:rPr>
            </w:pPr>
            <w:r>
              <w:rPr>
                <w:color w:val="000000"/>
                <w:sz w:val="20"/>
                <w:szCs w:val="20"/>
              </w:rPr>
              <w:t>19,127,000.00</w:t>
            </w:r>
          </w:p>
        </w:tc>
        <w:tc>
          <w:tcPr>
            <w:tcW w:w="1540" w:type="dxa"/>
            <w:tcBorders>
              <w:top w:val="nil"/>
              <w:left w:val="nil"/>
              <w:bottom w:val="single" w:sz="8" w:space="0" w:color="A6A6A6"/>
              <w:right w:val="single" w:sz="8" w:space="0" w:color="A6A6A6"/>
            </w:tcBorders>
            <w:vAlign w:val="center"/>
            <w:hideMark/>
          </w:tcPr>
          <w:p w:rsidR="00CB2519" w:rsidRDefault="00CB2519" w:rsidP="00277C86">
            <w:pPr>
              <w:spacing w:line="254" w:lineRule="auto"/>
              <w:jc w:val="right"/>
              <w:rPr>
                <w:color w:val="000000"/>
                <w:sz w:val="20"/>
                <w:szCs w:val="20"/>
              </w:rPr>
            </w:pPr>
            <w:r>
              <w:rPr>
                <w:color w:val="000000"/>
                <w:sz w:val="20"/>
                <w:szCs w:val="20"/>
              </w:rPr>
              <w:t>18,331,909.00</w:t>
            </w:r>
          </w:p>
        </w:tc>
      </w:tr>
      <w:tr w:rsidR="00CB2519" w:rsidTr="00277C86">
        <w:trPr>
          <w:trHeight w:val="615"/>
          <w:jc w:val="center"/>
        </w:trPr>
        <w:tc>
          <w:tcPr>
            <w:tcW w:w="2696" w:type="dxa"/>
            <w:tcBorders>
              <w:top w:val="nil"/>
              <w:left w:val="single" w:sz="8" w:space="0" w:color="A6A6A6"/>
              <w:bottom w:val="single" w:sz="8" w:space="0" w:color="A6A6A6"/>
              <w:right w:val="single" w:sz="8" w:space="0" w:color="A6A6A6"/>
            </w:tcBorders>
            <w:vAlign w:val="center"/>
            <w:hideMark/>
          </w:tcPr>
          <w:p w:rsidR="00CB2519" w:rsidRDefault="00CB2519" w:rsidP="00277C86">
            <w:pPr>
              <w:spacing w:line="360" w:lineRule="auto"/>
              <w:jc w:val="both"/>
              <w:rPr>
                <w:color w:val="000000"/>
                <w:sz w:val="20"/>
                <w:szCs w:val="20"/>
              </w:rPr>
            </w:pPr>
            <w:r>
              <w:rPr>
                <w:color w:val="000000"/>
                <w:sz w:val="20"/>
                <w:szCs w:val="20"/>
              </w:rPr>
              <w:t>Tribunal Electoral de Tlaxcala</w:t>
            </w:r>
          </w:p>
        </w:tc>
        <w:tc>
          <w:tcPr>
            <w:tcW w:w="1540" w:type="dxa"/>
            <w:tcBorders>
              <w:top w:val="nil"/>
              <w:left w:val="nil"/>
              <w:bottom w:val="single" w:sz="8" w:space="0" w:color="A6A6A6"/>
              <w:right w:val="single" w:sz="8" w:space="0" w:color="A6A6A6"/>
            </w:tcBorders>
            <w:vAlign w:val="center"/>
            <w:hideMark/>
          </w:tcPr>
          <w:p w:rsidR="00CB2519" w:rsidRDefault="00CB2519" w:rsidP="00277C86">
            <w:pPr>
              <w:spacing w:line="254" w:lineRule="auto"/>
              <w:jc w:val="right"/>
              <w:rPr>
                <w:color w:val="000000"/>
                <w:sz w:val="20"/>
                <w:szCs w:val="20"/>
              </w:rPr>
            </w:pPr>
            <w:r>
              <w:rPr>
                <w:color w:val="000000"/>
                <w:sz w:val="20"/>
                <w:szCs w:val="20"/>
              </w:rPr>
              <w:t>35,715,123.00</w:t>
            </w:r>
          </w:p>
        </w:tc>
        <w:tc>
          <w:tcPr>
            <w:tcW w:w="1830" w:type="dxa"/>
            <w:tcBorders>
              <w:top w:val="nil"/>
              <w:left w:val="nil"/>
              <w:bottom w:val="single" w:sz="8" w:space="0" w:color="A6A6A6"/>
              <w:right w:val="single" w:sz="8" w:space="0" w:color="A6A6A6"/>
            </w:tcBorders>
            <w:vAlign w:val="center"/>
            <w:hideMark/>
          </w:tcPr>
          <w:p w:rsidR="00CB2519" w:rsidRDefault="00CB2519" w:rsidP="00277C86">
            <w:pPr>
              <w:spacing w:line="254" w:lineRule="auto"/>
              <w:jc w:val="right"/>
              <w:rPr>
                <w:color w:val="000000"/>
                <w:sz w:val="20"/>
                <w:szCs w:val="20"/>
              </w:rPr>
            </w:pPr>
            <w:r>
              <w:rPr>
                <w:color w:val="000000"/>
                <w:sz w:val="20"/>
                <w:szCs w:val="20"/>
              </w:rPr>
              <w:t>55,583,785.00</w:t>
            </w:r>
          </w:p>
        </w:tc>
        <w:tc>
          <w:tcPr>
            <w:tcW w:w="1540" w:type="dxa"/>
            <w:tcBorders>
              <w:top w:val="nil"/>
              <w:left w:val="nil"/>
              <w:bottom w:val="single" w:sz="8" w:space="0" w:color="A6A6A6"/>
              <w:right w:val="single" w:sz="8" w:space="0" w:color="A6A6A6"/>
            </w:tcBorders>
            <w:vAlign w:val="center"/>
            <w:hideMark/>
          </w:tcPr>
          <w:p w:rsidR="00CB2519" w:rsidRDefault="00CB2519" w:rsidP="00277C86">
            <w:pPr>
              <w:spacing w:line="254" w:lineRule="auto"/>
              <w:jc w:val="right"/>
              <w:rPr>
                <w:color w:val="000000"/>
                <w:sz w:val="20"/>
                <w:szCs w:val="20"/>
              </w:rPr>
            </w:pPr>
            <w:r>
              <w:rPr>
                <w:color w:val="000000"/>
                <w:sz w:val="20"/>
                <w:szCs w:val="20"/>
              </w:rPr>
              <w:t>45,907,570.00</w:t>
            </w:r>
          </w:p>
        </w:tc>
      </w:tr>
      <w:tr w:rsidR="00CB2519" w:rsidTr="00277C86">
        <w:trPr>
          <w:trHeight w:val="615"/>
          <w:jc w:val="center"/>
        </w:trPr>
        <w:tc>
          <w:tcPr>
            <w:tcW w:w="2696" w:type="dxa"/>
            <w:tcBorders>
              <w:top w:val="nil"/>
              <w:left w:val="single" w:sz="8" w:space="0" w:color="A6A6A6"/>
              <w:bottom w:val="single" w:sz="8" w:space="0" w:color="A6A6A6"/>
              <w:right w:val="single" w:sz="8" w:space="0" w:color="A6A6A6"/>
            </w:tcBorders>
            <w:vAlign w:val="center"/>
            <w:hideMark/>
          </w:tcPr>
          <w:p w:rsidR="00CB2519" w:rsidRDefault="00CB2519" w:rsidP="00277C86">
            <w:pPr>
              <w:spacing w:line="360" w:lineRule="auto"/>
              <w:jc w:val="both"/>
              <w:rPr>
                <w:color w:val="000000"/>
                <w:sz w:val="20"/>
                <w:szCs w:val="20"/>
              </w:rPr>
            </w:pPr>
            <w:r>
              <w:rPr>
                <w:color w:val="000000"/>
                <w:sz w:val="20"/>
                <w:szCs w:val="20"/>
              </w:rPr>
              <w:t>Secretaría Ejecutiva del Sistema Anticorrupción del Estado de Tlaxcala</w:t>
            </w:r>
          </w:p>
        </w:tc>
        <w:tc>
          <w:tcPr>
            <w:tcW w:w="1540" w:type="dxa"/>
            <w:tcBorders>
              <w:top w:val="nil"/>
              <w:left w:val="nil"/>
              <w:bottom w:val="single" w:sz="8" w:space="0" w:color="A6A6A6"/>
              <w:right w:val="single" w:sz="8" w:space="0" w:color="A6A6A6"/>
            </w:tcBorders>
            <w:vAlign w:val="center"/>
            <w:hideMark/>
          </w:tcPr>
          <w:p w:rsidR="00CB2519" w:rsidRDefault="00CB2519" w:rsidP="00277C86">
            <w:pPr>
              <w:spacing w:line="254" w:lineRule="auto"/>
              <w:jc w:val="right"/>
              <w:rPr>
                <w:color w:val="000000"/>
                <w:sz w:val="20"/>
                <w:szCs w:val="20"/>
              </w:rPr>
            </w:pPr>
            <w:r>
              <w:rPr>
                <w:color w:val="000000"/>
                <w:sz w:val="20"/>
                <w:szCs w:val="20"/>
              </w:rPr>
              <w:t>12,600,182.00</w:t>
            </w:r>
          </w:p>
        </w:tc>
        <w:tc>
          <w:tcPr>
            <w:tcW w:w="1830" w:type="dxa"/>
            <w:tcBorders>
              <w:top w:val="nil"/>
              <w:left w:val="nil"/>
              <w:bottom w:val="single" w:sz="8" w:space="0" w:color="A6A6A6"/>
              <w:right w:val="single" w:sz="8" w:space="0" w:color="A6A6A6"/>
            </w:tcBorders>
            <w:vAlign w:val="center"/>
            <w:hideMark/>
          </w:tcPr>
          <w:p w:rsidR="00CB2519" w:rsidRDefault="00CB2519" w:rsidP="00277C86">
            <w:pPr>
              <w:spacing w:line="254" w:lineRule="auto"/>
              <w:jc w:val="right"/>
              <w:rPr>
                <w:color w:val="000000"/>
                <w:sz w:val="20"/>
                <w:szCs w:val="20"/>
              </w:rPr>
            </w:pPr>
            <w:r>
              <w:rPr>
                <w:color w:val="000000"/>
                <w:sz w:val="20"/>
                <w:szCs w:val="20"/>
              </w:rPr>
              <w:t>13,005,663.00</w:t>
            </w:r>
          </w:p>
        </w:tc>
        <w:tc>
          <w:tcPr>
            <w:tcW w:w="1540" w:type="dxa"/>
            <w:tcBorders>
              <w:top w:val="nil"/>
              <w:left w:val="nil"/>
              <w:bottom w:val="single" w:sz="8" w:space="0" w:color="A6A6A6"/>
              <w:right w:val="single" w:sz="8" w:space="0" w:color="A6A6A6"/>
            </w:tcBorders>
            <w:vAlign w:val="center"/>
            <w:hideMark/>
          </w:tcPr>
          <w:p w:rsidR="00CB2519" w:rsidRDefault="00CB2519" w:rsidP="00277C86">
            <w:pPr>
              <w:spacing w:line="254" w:lineRule="auto"/>
              <w:jc w:val="right"/>
              <w:rPr>
                <w:color w:val="000000"/>
                <w:sz w:val="20"/>
                <w:szCs w:val="20"/>
              </w:rPr>
            </w:pPr>
            <w:r>
              <w:rPr>
                <w:color w:val="000000"/>
                <w:sz w:val="20"/>
                <w:szCs w:val="20"/>
              </w:rPr>
              <w:t>12,839,161.00</w:t>
            </w:r>
          </w:p>
        </w:tc>
      </w:tr>
      <w:tr w:rsidR="00CB2519" w:rsidTr="00277C86">
        <w:trPr>
          <w:trHeight w:val="615"/>
          <w:jc w:val="center"/>
        </w:trPr>
        <w:tc>
          <w:tcPr>
            <w:tcW w:w="2696" w:type="dxa"/>
            <w:tcBorders>
              <w:top w:val="nil"/>
              <w:left w:val="single" w:sz="8" w:space="0" w:color="A6A6A6"/>
              <w:bottom w:val="single" w:sz="8" w:space="0" w:color="A6A6A6"/>
              <w:right w:val="single" w:sz="8" w:space="0" w:color="A6A6A6"/>
            </w:tcBorders>
            <w:vAlign w:val="center"/>
            <w:hideMark/>
          </w:tcPr>
          <w:p w:rsidR="00CB2519" w:rsidRDefault="00CB2519" w:rsidP="00277C86">
            <w:pPr>
              <w:spacing w:line="360" w:lineRule="auto"/>
              <w:jc w:val="both"/>
              <w:rPr>
                <w:color w:val="000000"/>
                <w:sz w:val="20"/>
                <w:szCs w:val="20"/>
              </w:rPr>
            </w:pPr>
            <w:r>
              <w:rPr>
                <w:color w:val="000000"/>
                <w:sz w:val="20"/>
                <w:szCs w:val="20"/>
              </w:rPr>
              <w:t>Tribunal de Justicia Administrativa</w:t>
            </w:r>
          </w:p>
        </w:tc>
        <w:tc>
          <w:tcPr>
            <w:tcW w:w="1540" w:type="dxa"/>
            <w:tcBorders>
              <w:top w:val="nil"/>
              <w:left w:val="nil"/>
              <w:bottom w:val="single" w:sz="8" w:space="0" w:color="A6A6A6"/>
              <w:right w:val="single" w:sz="8" w:space="0" w:color="A6A6A6"/>
            </w:tcBorders>
            <w:vAlign w:val="center"/>
            <w:hideMark/>
          </w:tcPr>
          <w:p w:rsidR="00CB2519" w:rsidRDefault="00CB2519" w:rsidP="00277C86">
            <w:pPr>
              <w:spacing w:line="254" w:lineRule="auto"/>
              <w:jc w:val="right"/>
              <w:rPr>
                <w:color w:val="000000"/>
                <w:sz w:val="20"/>
                <w:szCs w:val="20"/>
              </w:rPr>
            </w:pPr>
            <w:r>
              <w:rPr>
                <w:color w:val="000000"/>
                <w:sz w:val="20"/>
                <w:szCs w:val="20"/>
              </w:rPr>
              <w:t>53,052,716.00</w:t>
            </w:r>
          </w:p>
        </w:tc>
        <w:tc>
          <w:tcPr>
            <w:tcW w:w="1830" w:type="dxa"/>
            <w:tcBorders>
              <w:top w:val="nil"/>
              <w:left w:val="nil"/>
              <w:bottom w:val="single" w:sz="8" w:space="0" w:color="A6A6A6"/>
              <w:right w:val="single" w:sz="8" w:space="0" w:color="A6A6A6"/>
            </w:tcBorders>
            <w:vAlign w:val="center"/>
            <w:hideMark/>
          </w:tcPr>
          <w:p w:rsidR="00CB2519" w:rsidRDefault="00CB2519" w:rsidP="00277C86">
            <w:pPr>
              <w:spacing w:line="254" w:lineRule="auto"/>
              <w:jc w:val="right"/>
              <w:rPr>
                <w:color w:val="000000"/>
                <w:sz w:val="20"/>
                <w:szCs w:val="20"/>
              </w:rPr>
            </w:pPr>
            <w:r>
              <w:rPr>
                <w:color w:val="000000"/>
                <w:sz w:val="20"/>
                <w:szCs w:val="20"/>
              </w:rPr>
              <w:t>65,052,716.00</w:t>
            </w:r>
          </w:p>
        </w:tc>
        <w:tc>
          <w:tcPr>
            <w:tcW w:w="1540" w:type="dxa"/>
            <w:tcBorders>
              <w:top w:val="nil"/>
              <w:left w:val="nil"/>
              <w:bottom w:val="single" w:sz="8" w:space="0" w:color="A6A6A6"/>
              <w:right w:val="single" w:sz="8" w:space="0" w:color="A6A6A6"/>
            </w:tcBorders>
            <w:vAlign w:val="center"/>
            <w:hideMark/>
          </w:tcPr>
          <w:p w:rsidR="00CB2519" w:rsidRDefault="00CB2519" w:rsidP="00277C86">
            <w:pPr>
              <w:spacing w:line="254" w:lineRule="auto"/>
              <w:jc w:val="right"/>
              <w:rPr>
                <w:color w:val="000000"/>
                <w:sz w:val="20"/>
                <w:szCs w:val="20"/>
              </w:rPr>
            </w:pPr>
            <w:r>
              <w:rPr>
                <w:color w:val="000000"/>
                <w:sz w:val="20"/>
                <w:szCs w:val="20"/>
              </w:rPr>
              <w:t>65,052,716.00</w:t>
            </w:r>
          </w:p>
        </w:tc>
      </w:tr>
      <w:tr w:rsidR="00CB2519" w:rsidTr="00277C86">
        <w:trPr>
          <w:trHeight w:val="330"/>
          <w:jc w:val="center"/>
        </w:trPr>
        <w:tc>
          <w:tcPr>
            <w:tcW w:w="2696" w:type="dxa"/>
            <w:tcBorders>
              <w:top w:val="nil"/>
              <w:left w:val="single" w:sz="8" w:space="0" w:color="A6A6A6"/>
              <w:bottom w:val="single" w:sz="8" w:space="0" w:color="A6A6A6"/>
              <w:right w:val="single" w:sz="8" w:space="0" w:color="A6A6A6"/>
            </w:tcBorders>
            <w:shd w:val="clear" w:color="auto" w:fill="CCCCCC"/>
            <w:vAlign w:val="center"/>
            <w:hideMark/>
          </w:tcPr>
          <w:p w:rsidR="00CB2519" w:rsidRDefault="00CB2519" w:rsidP="00277C86">
            <w:pPr>
              <w:spacing w:line="360" w:lineRule="auto"/>
              <w:jc w:val="center"/>
              <w:rPr>
                <w:b/>
                <w:bCs/>
                <w:color w:val="000000"/>
                <w:sz w:val="20"/>
                <w:szCs w:val="20"/>
              </w:rPr>
            </w:pPr>
            <w:r>
              <w:rPr>
                <w:b/>
                <w:bCs/>
                <w:color w:val="000000"/>
                <w:sz w:val="20"/>
                <w:szCs w:val="20"/>
              </w:rPr>
              <w:t>TOTAL</w:t>
            </w:r>
          </w:p>
        </w:tc>
        <w:tc>
          <w:tcPr>
            <w:tcW w:w="1540" w:type="dxa"/>
            <w:tcBorders>
              <w:top w:val="nil"/>
              <w:left w:val="nil"/>
              <w:bottom w:val="single" w:sz="8" w:space="0" w:color="A6A6A6"/>
              <w:right w:val="single" w:sz="8" w:space="0" w:color="A6A6A6"/>
            </w:tcBorders>
            <w:shd w:val="clear" w:color="auto" w:fill="CCCCCC"/>
            <w:vAlign w:val="center"/>
            <w:hideMark/>
          </w:tcPr>
          <w:p w:rsidR="00CB2519" w:rsidRDefault="00CB2519" w:rsidP="00277C86">
            <w:pPr>
              <w:spacing w:line="254" w:lineRule="auto"/>
              <w:jc w:val="right"/>
              <w:rPr>
                <w:b/>
                <w:bCs/>
                <w:color w:val="000000"/>
                <w:sz w:val="20"/>
                <w:szCs w:val="20"/>
              </w:rPr>
            </w:pPr>
            <w:r>
              <w:rPr>
                <w:b/>
                <w:bCs/>
                <w:color w:val="000000"/>
                <w:sz w:val="20"/>
                <w:szCs w:val="20"/>
              </w:rPr>
              <w:t>1,275,381,151.00</w:t>
            </w:r>
          </w:p>
        </w:tc>
        <w:tc>
          <w:tcPr>
            <w:tcW w:w="1830" w:type="dxa"/>
            <w:tcBorders>
              <w:top w:val="nil"/>
              <w:left w:val="nil"/>
              <w:bottom w:val="single" w:sz="8" w:space="0" w:color="A6A6A6"/>
              <w:right w:val="single" w:sz="8" w:space="0" w:color="A6A6A6"/>
            </w:tcBorders>
            <w:shd w:val="clear" w:color="auto" w:fill="CCCCCC"/>
            <w:vAlign w:val="center"/>
            <w:hideMark/>
          </w:tcPr>
          <w:p w:rsidR="00CB2519" w:rsidRDefault="00CB2519" w:rsidP="00277C86">
            <w:pPr>
              <w:spacing w:line="254" w:lineRule="auto"/>
              <w:jc w:val="right"/>
              <w:rPr>
                <w:b/>
                <w:bCs/>
                <w:color w:val="000000"/>
                <w:sz w:val="20"/>
                <w:szCs w:val="20"/>
              </w:rPr>
            </w:pPr>
            <w:r>
              <w:rPr>
                <w:b/>
                <w:bCs/>
                <w:color w:val="000000"/>
                <w:sz w:val="20"/>
                <w:szCs w:val="20"/>
              </w:rPr>
              <w:t>1,539,467,698.00</w:t>
            </w:r>
          </w:p>
        </w:tc>
        <w:tc>
          <w:tcPr>
            <w:tcW w:w="1540" w:type="dxa"/>
            <w:tcBorders>
              <w:top w:val="nil"/>
              <w:left w:val="nil"/>
              <w:bottom w:val="single" w:sz="8" w:space="0" w:color="A6A6A6"/>
              <w:right w:val="single" w:sz="8" w:space="0" w:color="A6A6A6"/>
            </w:tcBorders>
            <w:shd w:val="clear" w:color="auto" w:fill="CCCCCC"/>
            <w:vAlign w:val="center"/>
            <w:hideMark/>
          </w:tcPr>
          <w:p w:rsidR="00CB2519" w:rsidRDefault="00CB2519" w:rsidP="00277C86">
            <w:pPr>
              <w:spacing w:line="254" w:lineRule="auto"/>
              <w:jc w:val="right"/>
              <w:rPr>
                <w:b/>
                <w:bCs/>
                <w:color w:val="000000"/>
                <w:sz w:val="20"/>
                <w:szCs w:val="20"/>
              </w:rPr>
            </w:pPr>
            <w:r>
              <w:rPr>
                <w:b/>
                <w:bCs/>
                <w:color w:val="000000"/>
                <w:sz w:val="20"/>
                <w:szCs w:val="20"/>
              </w:rPr>
              <w:t>1,526,526,749.00</w:t>
            </w:r>
          </w:p>
        </w:tc>
      </w:tr>
    </w:tbl>
    <w:p w:rsidR="00CB2519" w:rsidRDefault="00CB2519" w:rsidP="00CB2519">
      <w:pPr>
        <w:spacing w:after="200" w:line="360" w:lineRule="auto"/>
        <w:jc w:val="center"/>
        <w:rPr>
          <w:rFonts w:eastAsia="Calibri"/>
          <w:b/>
          <w:sz w:val="20"/>
          <w:szCs w:val="20"/>
        </w:rPr>
      </w:pPr>
    </w:p>
    <w:p w:rsidR="002B0B79" w:rsidRDefault="00EA4C80" w:rsidP="00523A0F">
      <w:pPr>
        <w:spacing w:after="200" w:line="360" w:lineRule="auto"/>
        <w:jc w:val="both"/>
        <w:rPr>
          <w:rFonts w:eastAsia="Calibri"/>
          <w:b/>
          <w:sz w:val="20"/>
          <w:szCs w:val="20"/>
        </w:rPr>
      </w:pPr>
      <w:r>
        <w:rPr>
          <w:rFonts w:eastAsia="Calibri"/>
          <w:b/>
          <w:sz w:val="20"/>
          <w:szCs w:val="20"/>
        </w:rPr>
        <w:t xml:space="preserve">  </w:t>
      </w:r>
    </w:p>
    <w:p w:rsidR="002B0B79" w:rsidRDefault="002B0B79" w:rsidP="00840E7D">
      <w:pPr>
        <w:spacing w:after="200"/>
        <w:jc w:val="both"/>
        <w:rPr>
          <w:rFonts w:eastAsia="Calibri"/>
          <w:b/>
          <w:sz w:val="20"/>
          <w:szCs w:val="20"/>
        </w:rPr>
      </w:pPr>
    </w:p>
    <w:p w:rsidR="00505BAF" w:rsidRDefault="00505BAF" w:rsidP="00840E7D">
      <w:pPr>
        <w:spacing w:after="200"/>
        <w:jc w:val="both"/>
        <w:rPr>
          <w:rFonts w:eastAsia="Calibri"/>
          <w:b/>
          <w:sz w:val="20"/>
          <w:szCs w:val="20"/>
        </w:rPr>
      </w:pPr>
    </w:p>
    <w:p w:rsidR="00505BAF" w:rsidRDefault="00505BAF" w:rsidP="00840E7D">
      <w:pPr>
        <w:spacing w:after="200"/>
        <w:jc w:val="both"/>
        <w:rPr>
          <w:rFonts w:eastAsia="Calibri"/>
          <w:b/>
          <w:sz w:val="20"/>
          <w:szCs w:val="20"/>
        </w:rPr>
      </w:pPr>
    </w:p>
    <w:p w:rsidR="00D74205" w:rsidRDefault="00D74205" w:rsidP="00840E7D">
      <w:pPr>
        <w:spacing w:after="200"/>
        <w:jc w:val="both"/>
        <w:rPr>
          <w:rFonts w:eastAsia="Calibri"/>
          <w:b/>
          <w:sz w:val="20"/>
          <w:szCs w:val="20"/>
        </w:rPr>
      </w:pPr>
    </w:p>
    <w:p w:rsidR="00F62331" w:rsidRPr="00C77F95" w:rsidRDefault="00F62331" w:rsidP="00840E7D">
      <w:pPr>
        <w:spacing w:after="200"/>
        <w:jc w:val="both"/>
        <w:rPr>
          <w:rFonts w:eastAsia="Calibri"/>
          <w:b/>
          <w:sz w:val="20"/>
          <w:szCs w:val="20"/>
        </w:rPr>
      </w:pPr>
      <w:r w:rsidRPr="00C77F95">
        <w:rPr>
          <w:rFonts w:eastAsia="Calibri"/>
          <w:b/>
          <w:sz w:val="20"/>
          <w:szCs w:val="20"/>
        </w:rPr>
        <w:t>Por lo antes expuesto, se somete a la consideración de este Congreso del Estado de Tlaxcala la siguiente:</w:t>
      </w:r>
    </w:p>
    <w:sectPr w:rsidR="00F62331" w:rsidRPr="00C77F95" w:rsidSect="00133B56">
      <w:headerReference w:type="even" r:id="rId19"/>
      <w:headerReference w:type="default" r:id="rId20"/>
      <w:footerReference w:type="even" r:id="rId21"/>
      <w:footerReference w:type="default" r:id="rId22"/>
      <w:pgSz w:w="12240" w:h="15840"/>
      <w:pgMar w:top="3119" w:right="1021" w:bottom="1701" w:left="3119" w:header="709" w:footer="709" w:gutter="0"/>
      <w:pgNumType w:fmt="upperRoman"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12C0" w:rsidRDefault="006F12C0" w:rsidP="0037578E">
      <w:r>
        <w:separator/>
      </w:r>
    </w:p>
  </w:endnote>
  <w:endnote w:type="continuationSeparator" w:id="0">
    <w:p w:rsidR="006F12C0" w:rsidRDefault="006F12C0" w:rsidP="003757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Univers LT">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WenQuanYi Micro Hei">
    <w:altName w:val="MS Gothic"/>
    <w:charset w:val="80"/>
    <w:family w:val="auto"/>
    <w:pitch w:val="variable"/>
  </w:font>
  <w:font w:name="Lohit Hindi">
    <w:altName w:val="MS Gothic"/>
    <w:charset w:val="80"/>
    <w:family w:val="auto"/>
    <w:pitch w:val="variable"/>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0432821"/>
      <w:docPartObj>
        <w:docPartGallery w:val="Page Numbers (Bottom of Page)"/>
        <w:docPartUnique/>
      </w:docPartObj>
    </w:sdtPr>
    <w:sdtEndPr>
      <w:rPr>
        <w:sz w:val="18"/>
        <w:szCs w:val="18"/>
      </w:rPr>
    </w:sdtEndPr>
    <w:sdtContent>
      <w:p w:rsidR="008F0754" w:rsidRDefault="008F0754" w:rsidP="001D5FE1">
        <w:pPr>
          <w:pStyle w:val="Piedepgina"/>
          <w:tabs>
            <w:tab w:val="clear" w:pos="4419"/>
            <w:tab w:val="clear" w:pos="8838"/>
            <w:tab w:val="right" w:pos="8101"/>
          </w:tabs>
        </w:pPr>
        <w:r>
          <w:tab/>
        </w:r>
      </w:p>
      <w:p w:rsidR="008F0754" w:rsidRPr="008C010C" w:rsidRDefault="008F0754" w:rsidP="001D5FE1">
        <w:pPr>
          <w:pStyle w:val="Piedepgina"/>
          <w:tabs>
            <w:tab w:val="right" w:pos="8101"/>
          </w:tabs>
          <w:rPr>
            <w:sz w:val="18"/>
            <w:szCs w:val="18"/>
          </w:rPr>
        </w:pPr>
        <w:r>
          <w:tab/>
        </w:r>
        <w:r w:rsidRPr="008C010C">
          <w:rPr>
            <w:sz w:val="18"/>
            <w:szCs w:val="18"/>
          </w:rPr>
          <w:tab/>
        </w:r>
        <w:r w:rsidRPr="008C010C">
          <w:rPr>
            <w:sz w:val="18"/>
            <w:szCs w:val="18"/>
          </w:rPr>
          <w:fldChar w:fldCharType="begin"/>
        </w:r>
        <w:r w:rsidRPr="008C010C">
          <w:rPr>
            <w:sz w:val="18"/>
            <w:szCs w:val="18"/>
          </w:rPr>
          <w:instrText>PAGE   \* MERGEFORMAT</w:instrText>
        </w:r>
        <w:r w:rsidRPr="008C010C">
          <w:rPr>
            <w:sz w:val="18"/>
            <w:szCs w:val="18"/>
          </w:rPr>
          <w:fldChar w:fldCharType="separate"/>
        </w:r>
        <w:r w:rsidRPr="001D1321">
          <w:rPr>
            <w:noProof/>
            <w:sz w:val="18"/>
            <w:szCs w:val="18"/>
          </w:rPr>
          <w:t>22</w:t>
        </w:r>
        <w:r w:rsidRPr="008C010C">
          <w:rPr>
            <w:sz w:val="18"/>
            <w:szCs w:val="18"/>
          </w:rPr>
          <w:fldChar w:fldCharType="end"/>
        </w:r>
      </w:p>
    </w:sdtContent>
  </w:sdt>
  <w:p w:rsidR="008F0754" w:rsidRPr="008C010C" w:rsidRDefault="008F0754" w:rsidP="001D5FE1">
    <w:pPr>
      <w:pStyle w:val="Piedepgina"/>
      <w:tabs>
        <w:tab w:val="clear" w:pos="4419"/>
        <w:tab w:val="clear" w:pos="8838"/>
        <w:tab w:val="left" w:pos="5085"/>
      </w:tabs>
      <w:rPr>
        <w:sz w:val="18"/>
        <w:szCs w:val="18"/>
      </w:rPr>
    </w:pPr>
    <w:r>
      <w:rPr>
        <w:sz w:val="18"/>
        <w:szCs w:val="18"/>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48481784"/>
      <w:docPartObj>
        <w:docPartGallery w:val="Page Numbers (Bottom of Page)"/>
        <w:docPartUnique/>
      </w:docPartObj>
    </w:sdtPr>
    <w:sdtEndPr>
      <w:rPr>
        <w:sz w:val="18"/>
        <w:szCs w:val="18"/>
      </w:rPr>
    </w:sdtEndPr>
    <w:sdtContent>
      <w:p w:rsidR="008F0754" w:rsidRPr="008C010C" w:rsidRDefault="008F0754">
        <w:pPr>
          <w:pStyle w:val="Piedepgina"/>
          <w:jc w:val="right"/>
          <w:rPr>
            <w:sz w:val="18"/>
            <w:szCs w:val="18"/>
          </w:rPr>
        </w:pPr>
        <w:r w:rsidRPr="008C010C">
          <w:rPr>
            <w:sz w:val="18"/>
            <w:szCs w:val="18"/>
          </w:rPr>
          <w:fldChar w:fldCharType="begin"/>
        </w:r>
        <w:r w:rsidRPr="008C010C">
          <w:rPr>
            <w:sz w:val="18"/>
            <w:szCs w:val="18"/>
          </w:rPr>
          <w:instrText>PAGE   \* MERGEFORMAT</w:instrText>
        </w:r>
        <w:r w:rsidRPr="008C010C">
          <w:rPr>
            <w:sz w:val="18"/>
            <w:szCs w:val="18"/>
          </w:rPr>
          <w:fldChar w:fldCharType="separate"/>
        </w:r>
        <w:r w:rsidR="0061353E">
          <w:rPr>
            <w:noProof/>
            <w:sz w:val="18"/>
            <w:szCs w:val="18"/>
          </w:rPr>
          <w:t>XXXVIII</w:t>
        </w:r>
        <w:r w:rsidRPr="008C010C">
          <w:rPr>
            <w:sz w:val="18"/>
            <w:szCs w:val="18"/>
          </w:rPr>
          <w:fldChar w:fldCharType="end"/>
        </w:r>
      </w:p>
    </w:sdtContent>
  </w:sdt>
  <w:p w:rsidR="008F0754" w:rsidRDefault="008F075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12C0" w:rsidRDefault="006F12C0" w:rsidP="0037578E">
      <w:r>
        <w:separator/>
      </w:r>
    </w:p>
  </w:footnote>
  <w:footnote w:type="continuationSeparator" w:id="0">
    <w:p w:rsidR="006F12C0" w:rsidRDefault="006F12C0" w:rsidP="0037578E">
      <w:r>
        <w:continuationSeparator/>
      </w:r>
    </w:p>
  </w:footnote>
  <w:footnote w:id="1">
    <w:p w:rsidR="00CB2519" w:rsidRDefault="00CB2519" w:rsidP="00CB2519">
      <w:pPr>
        <w:pStyle w:val="Textonotapie"/>
        <w:rPr>
          <w:sz w:val="16"/>
        </w:rPr>
      </w:pPr>
      <w:r>
        <w:rPr>
          <w:rStyle w:val="Refdenotaalpie"/>
          <w:b/>
          <w:sz w:val="16"/>
        </w:rPr>
        <w:footnoteRef/>
      </w:r>
      <w:r>
        <w:rPr>
          <w:sz w:val="16"/>
        </w:rPr>
        <w:t xml:space="preserve"> Valuaciones Actuariales del Norte, S.C. Consultoría Actuarial.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0754" w:rsidRDefault="008F0754">
    <w:pPr>
      <w:pStyle w:val="Textoindependiente"/>
      <w:spacing w:line="14" w:lineRule="aut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0754" w:rsidRDefault="008F0754">
    <w:pPr>
      <w:pStyle w:val="Textoindependiente"/>
      <w:spacing w:line="14"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B"/>
    <w:multiLevelType w:val="multilevel"/>
    <w:tmpl w:val="F24A82B0"/>
    <w:lvl w:ilvl="0">
      <w:numFmt w:val="decimal"/>
      <w:pStyle w:val="Ttulo9"/>
      <w:lvlText w:val="%1"/>
      <w:legacy w:legacy="1" w:legacySpace="0" w:legacyIndent="0"/>
      <w:lvlJc w:val="left"/>
    </w:lvl>
    <w:lvl w:ilvl="1">
      <w:numFmt w:val="none"/>
      <w:lvlText w:val=""/>
      <w:lvlJc w:val="left"/>
    </w:lvl>
    <w:lvl w:ilvl="2">
      <w:numFmt w:val="none"/>
      <w:lvlText w:val=""/>
      <w:lvlJc w:val="left"/>
    </w:lvl>
    <w:lvl w:ilvl="3">
      <w:numFmt w:val="none"/>
      <w:lvlText w:val=""/>
      <w:lvlJc w:val="left"/>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
    <w:nsid w:val="01ED221F"/>
    <w:multiLevelType w:val="hybridMultilevel"/>
    <w:tmpl w:val="540A89C4"/>
    <w:lvl w:ilvl="0" w:tplc="080A000F">
      <w:start w:val="1"/>
      <w:numFmt w:val="decimal"/>
      <w:lvlText w:val="%1."/>
      <w:lvlJc w:val="left"/>
      <w:pPr>
        <w:ind w:left="720" w:hanging="360"/>
      </w:pPr>
    </w:lvl>
    <w:lvl w:ilvl="1" w:tplc="080A000F">
      <w:start w:val="1"/>
      <w:numFmt w:val="decimal"/>
      <w:lvlText w:val="%2."/>
      <w:lvlJc w:val="left"/>
      <w:pPr>
        <w:ind w:left="1440" w:hanging="360"/>
      </w:pPr>
    </w:lvl>
    <w:lvl w:ilvl="2" w:tplc="B1B6402A">
      <w:start w:val="1"/>
      <w:numFmt w:val="lowerLetter"/>
      <w:lvlText w:val="%3)"/>
      <w:lvlJc w:val="left"/>
      <w:pPr>
        <w:ind w:left="2340" w:hanging="36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33D74E8"/>
    <w:multiLevelType w:val="hybridMultilevel"/>
    <w:tmpl w:val="8E92EB3A"/>
    <w:lvl w:ilvl="0" w:tplc="259AD210">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47643D5"/>
    <w:multiLevelType w:val="hybridMultilevel"/>
    <w:tmpl w:val="E402AF7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D03557B"/>
    <w:multiLevelType w:val="hybridMultilevel"/>
    <w:tmpl w:val="49E661D4"/>
    <w:lvl w:ilvl="0" w:tplc="8FC89840">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A4041B2"/>
    <w:multiLevelType w:val="hybridMultilevel"/>
    <w:tmpl w:val="F0966FE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2978233E"/>
    <w:multiLevelType w:val="hybridMultilevel"/>
    <w:tmpl w:val="B1B27F82"/>
    <w:lvl w:ilvl="0" w:tplc="ADDEA14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D0A12C3"/>
    <w:multiLevelType w:val="hybridMultilevel"/>
    <w:tmpl w:val="FDB0F1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D914A24"/>
    <w:multiLevelType w:val="hybridMultilevel"/>
    <w:tmpl w:val="17D4654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EAA63A0"/>
    <w:multiLevelType w:val="hybridMultilevel"/>
    <w:tmpl w:val="5C06BF4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310B3844"/>
    <w:multiLevelType w:val="hybridMultilevel"/>
    <w:tmpl w:val="7F0A202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20933C2"/>
    <w:multiLevelType w:val="hybridMultilevel"/>
    <w:tmpl w:val="93EA0EE0"/>
    <w:lvl w:ilvl="0" w:tplc="080A000F">
      <w:start w:val="1"/>
      <w:numFmt w:val="decimal"/>
      <w:lvlText w:val="%1."/>
      <w:lvlJc w:val="left"/>
      <w:pPr>
        <w:ind w:left="709" w:hanging="360"/>
      </w:pPr>
    </w:lvl>
    <w:lvl w:ilvl="1" w:tplc="080A0019" w:tentative="1">
      <w:start w:val="1"/>
      <w:numFmt w:val="lowerLetter"/>
      <w:lvlText w:val="%2."/>
      <w:lvlJc w:val="left"/>
      <w:pPr>
        <w:ind w:left="1429" w:hanging="360"/>
      </w:pPr>
    </w:lvl>
    <w:lvl w:ilvl="2" w:tplc="080A001B" w:tentative="1">
      <w:start w:val="1"/>
      <w:numFmt w:val="lowerRoman"/>
      <w:lvlText w:val="%3."/>
      <w:lvlJc w:val="right"/>
      <w:pPr>
        <w:ind w:left="2149" w:hanging="180"/>
      </w:pPr>
    </w:lvl>
    <w:lvl w:ilvl="3" w:tplc="080A000F" w:tentative="1">
      <w:start w:val="1"/>
      <w:numFmt w:val="decimal"/>
      <w:lvlText w:val="%4."/>
      <w:lvlJc w:val="left"/>
      <w:pPr>
        <w:ind w:left="2869" w:hanging="360"/>
      </w:pPr>
    </w:lvl>
    <w:lvl w:ilvl="4" w:tplc="080A0019" w:tentative="1">
      <w:start w:val="1"/>
      <w:numFmt w:val="lowerLetter"/>
      <w:lvlText w:val="%5."/>
      <w:lvlJc w:val="left"/>
      <w:pPr>
        <w:ind w:left="3589" w:hanging="360"/>
      </w:pPr>
    </w:lvl>
    <w:lvl w:ilvl="5" w:tplc="080A001B" w:tentative="1">
      <w:start w:val="1"/>
      <w:numFmt w:val="lowerRoman"/>
      <w:lvlText w:val="%6."/>
      <w:lvlJc w:val="right"/>
      <w:pPr>
        <w:ind w:left="4309" w:hanging="180"/>
      </w:pPr>
    </w:lvl>
    <w:lvl w:ilvl="6" w:tplc="080A000F" w:tentative="1">
      <w:start w:val="1"/>
      <w:numFmt w:val="decimal"/>
      <w:lvlText w:val="%7."/>
      <w:lvlJc w:val="left"/>
      <w:pPr>
        <w:ind w:left="5029" w:hanging="360"/>
      </w:pPr>
    </w:lvl>
    <w:lvl w:ilvl="7" w:tplc="080A0019" w:tentative="1">
      <w:start w:val="1"/>
      <w:numFmt w:val="lowerLetter"/>
      <w:lvlText w:val="%8."/>
      <w:lvlJc w:val="left"/>
      <w:pPr>
        <w:ind w:left="5749" w:hanging="360"/>
      </w:pPr>
    </w:lvl>
    <w:lvl w:ilvl="8" w:tplc="080A001B" w:tentative="1">
      <w:start w:val="1"/>
      <w:numFmt w:val="lowerRoman"/>
      <w:lvlText w:val="%9."/>
      <w:lvlJc w:val="right"/>
      <w:pPr>
        <w:ind w:left="6469" w:hanging="180"/>
      </w:pPr>
    </w:lvl>
  </w:abstractNum>
  <w:abstractNum w:abstractNumId="12">
    <w:nsid w:val="32FC31F9"/>
    <w:multiLevelType w:val="hybridMultilevel"/>
    <w:tmpl w:val="D0B8BF2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567788B"/>
    <w:multiLevelType w:val="hybridMultilevel"/>
    <w:tmpl w:val="B202AE24"/>
    <w:lvl w:ilvl="0" w:tplc="2DF69A96">
      <w:start w:val="1"/>
      <w:numFmt w:val="upperRoman"/>
      <w:pStyle w:val="Ttulo2"/>
      <w:lvlText w:val="%1."/>
      <w:lvlJc w:val="left"/>
      <w:pPr>
        <w:tabs>
          <w:tab w:val="num" w:pos="1080"/>
        </w:tabs>
        <w:ind w:left="1080" w:hanging="720"/>
      </w:pPr>
      <w:rPr>
        <w:rFonts w:hint="default"/>
      </w:rPr>
    </w:lvl>
    <w:lvl w:ilvl="1" w:tplc="0C0A0001">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
    <w:nsid w:val="35AC3844"/>
    <w:multiLevelType w:val="hybridMultilevel"/>
    <w:tmpl w:val="C8E47D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361624AA"/>
    <w:multiLevelType w:val="hybridMultilevel"/>
    <w:tmpl w:val="AB7AFFF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38100893"/>
    <w:multiLevelType w:val="hybridMultilevel"/>
    <w:tmpl w:val="4B5C74B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3E4D4F63"/>
    <w:multiLevelType w:val="hybridMultilevel"/>
    <w:tmpl w:val="B6D8355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3F1A14E2"/>
    <w:multiLevelType w:val="hybridMultilevel"/>
    <w:tmpl w:val="18DC31CE"/>
    <w:lvl w:ilvl="0" w:tplc="A14C7A9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42DD4DA8"/>
    <w:multiLevelType w:val="hybridMultilevel"/>
    <w:tmpl w:val="E7843BA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43BC54C3"/>
    <w:multiLevelType w:val="hybridMultilevel"/>
    <w:tmpl w:val="0896AB60"/>
    <w:lvl w:ilvl="0" w:tplc="B2F29CDA">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1">
    <w:nsid w:val="473C0663"/>
    <w:multiLevelType w:val="hybridMultilevel"/>
    <w:tmpl w:val="82CC40C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4C900253"/>
    <w:multiLevelType w:val="hybridMultilevel"/>
    <w:tmpl w:val="83642934"/>
    <w:lvl w:ilvl="0" w:tplc="AA80740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4F13624C"/>
    <w:multiLevelType w:val="hybridMultilevel"/>
    <w:tmpl w:val="986AB80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50FF12FA"/>
    <w:multiLevelType w:val="hybridMultilevel"/>
    <w:tmpl w:val="8F3C931E"/>
    <w:lvl w:ilvl="0" w:tplc="D3666D2C">
      <w:start w:val="10"/>
      <w:numFmt w:val="upperRoman"/>
      <w:lvlText w:val="%1."/>
      <w:lvlJc w:val="left"/>
      <w:pPr>
        <w:ind w:left="144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55E03AE0"/>
    <w:multiLevelType w:val="hybridMultilevel"/>
    <w:tmpl w:val="E84AFDB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56751C0A"/>
    <w:multiLevelType w:val="hybridMultilevel"/>
    <w:tmpl w:val="BDEA5CF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5B4417C3"/>
    <w:multiLevelType w:val="hybridMultilevel"/>
    <w:tmpl w:val="71D0D3B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606264C7"/>
    <w:multiLevelType w:val="hybridMultilevel"/>
    <w:tmpl w:val="CDFCEE0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63C82FE9"/>
    <w:multiLevelType w:val="hybridMultilevel"/>
    <w:tmpl w:val="7F7C55D6"/>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0">
    <w:nsid w:val="65105489"/>
    <w:multiLevelType w:val="hybridMultilevel"/>
    <w:tmpl w:val="7AD483A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6ADB2D86"/>
    <w:multiLevelType w:val="hybridMultilevel"/>
    <w:tmpl w:val="4B569FBC"/>
    <w:lvl w:ilvl="0" w:tplc="E2CAEB70">
      <w:start w:val="3"/>
      <w:numFmt w:val="upperRoman"/>
      <w:lvlText w:val="%1."/>
      <w:lvlJc w:val="left"/>
      <w:pPr>
        <w:ind w:left="1069"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70146E35"/>
    <w:multiLevelType w:val="hybridMultilevel"/>
    <w:tmpl w:val="AD0E70A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70914B95"/>
    <w:multiLevelType w:val="hybridMultilevel"/>
    <w:tmpl w:val="C4EC3DB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71F87750"/>
    <w:multiLevelType w:val="hybridMultilevel"/>
    <w:tmpl w:val="0CB4A55A"/>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73026661"/>
    <w:multiLevelType w:val="hybridMultilevel"/>
    <w:tmpl w:val="C10EBFD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0F">
      <w:start w:val="1"/>
      <w:numFmt w:val="decimal"/>
      <w:lvlText w:val="%3."/>
      <w:lvlJc w:val="left"/>
      <w:pPr>
        <w:ind w:left="2160" w:hanging="18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74C613A3"/>
    <w:multiLevelType w:val="hybridMultilevel"/>
    <w:tmpl w:val="FA5AE10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766A182C"/>
    <w:multiLevelType w:val="hybridMultilevel"/>
    <w:tmpl w:val="044E9818"/>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3"/>
  </w:num>
  <w:num w:numId="2">
    <w:abstractNumId w:val="0"/>
  </w:num>
  <w:num w:numId="3">
    <w:abstractNumId w:val="26"/>
  </w:num>
  <w:num w:numId="4">
    <w:abstractNumId w:val="1"/>
  </w:num>
  <w:num w:numId="5">
    <w:abstractNumId w:val="3"/>
  </w:num>
  <w:num w:numId="6">
    <w:abstractNumId w:val="29"/>
  </w:num>
  <w:num w:numId="7">
    <w:abstractNumId w:val="19"/>
  </w:num>
  <w:num w:numId="8">
    <w:abstractNumId w:val="17"/>
  </w:num>
  <w:num w:numId="9">
    <w:abstractNumId w:val="28"/>
  </w:num>
  <w:num w:numId="10">
    <w:abstractNumId w:val="4"/>
  </w:num>
  <w:num w:numId="11">
    <w:abstractNumId w:val="35"/>
  </w:num>
  <w:num w:numId="12">
    <w:abstractNumId w:val="37"/>
  </w:num>
  <w:num w:numId="13">
    <w:abstractNumId w:val="34"/>
  </w:num>
  <w:num w:numId="14">
    <w:abstractNumId w:val="22"/>
  </w:num>
  <w:num w:numId="15">
    <w:abstractNumId w:val="2"/>
  </w:num>
  <w:num w:numId="16">
    <w:abstractNumId w:val="24"/>
  </w:num>
  <w:num w:numId="17">
    <w:abstractNumId w:val="21"/>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8"/>
  </w:num>
  <w:num w:numId="21">
    <w:abstractNumId w:val="31"/>
  </w:num>
  <w:num w:numId="22">
    <w:abstractNumId w:val="25"/>
  </w:num>
  <w:num w:numId="23">
    <w:abstractNumId w:val="9"/>
  </w:num>
  <w:num w:numId="24">
    <w:abstractNumId w:val="15"/>
  </w:num>
  <w:num w:numId="25">
    <w:abstractNumId w:val="27"/>
  </w:num>
  <w:num w:numId="26">
    <w:abstractNumId w:val="8"/>
  </w:num>
  <w:num w:numId="27">
    <w:abstractNumId w:val="10"/>
  </w:num>
  <w:num w:numId="28">
    <w:abstractNumId w:val="16"/>
  </w:num>
  <w:num w:numId="29">
    <w:abstractNumId w:val="36"/>
  </w:num>
  <w:num w:numId="30">
    <w:abstractNumId w:val="23"/>
  </w:num>
  <w:num w:numId="31">
    <w:abstractNumId w:val="33"/>
  </w:num>
  <w:num w:numId="32">
    <w:abstractNumId w:val="7"/>
  </w:num>
  <w:num w:numId="33">
    <w:abstractNumId w:val="11"/>
  </w:num>
  <w:num w:numId="34">
    <w:abstractNumId w:val="20"/>
  </w:num>
  <w:num w:numId="35">
    <w:abstractNumId w:val="14"/>
  </w:num>
  <w:num w:numId="36">
    <w:abstractNumId w:val="12"/>
  </w:num>
  <w:num w:numId="37">
    <w:abstractNumId w:val="5"/>
  </w:num>
  <w:num w:numId="38">
    <w:abstractNumId w:val="32"/>
  </w:num>
  <w:num w:numId="39">
    <w:abstractNumId w:val="6"/>
  </w:num>
  <w:num w:numId="40">
    <w:abstractNumId w:val="30"/>
  </w:num>
  <w:num w:numId="41">
    <w:abstractNumId w:val="1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7"/>
    <w:lvlOverride w:ilvl="0">
      <w:startOverride w:val="1"/>
    </w:lvlOverride>
    <w:lvlOverride w:ilvl="1"/>
    <w:lvlOverride w:ilvl="2"/>
    <w:lvlOverride w:ilvl="3"/>
    <w:lvlOverride w:ilvl="4"/>
    <w:lvlOverride w:ilvl="5"/>
    <w:lvlOverride w:ilvl="6"/>
    <w:lvlOverride w:ilvl="7"/>
    <w:lvlOverride w:ilvl="8"/>
  </w:num>
  <w:num w:numId="4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4"/>
    <w:lvlOverride w:ilvl="0">
      <w:startOverride w:val="1"/>
    </w:lvlOverride>
    <w:lvlOverride w:ilvl="1"/>
    <w:lvlOverride w:ilvl="2"/>
    <w:lvlOverride w:ilvl="3"/>
    <w:lvlOverride w:ilvl="4"/>
    <w:lvlOverride w:ilvl="5"/>
    <w:lvlOverride w:ilvl="6"/>
    <w:lvlOverride w:ilvl="7"/>
    <w:lvlOverride w:ilvl="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578E"/>
    <w:rsid w:val="00001771"/>
    <w:rsid w:val="00007CE4"/>
    <w:rsid w:val="00017584"/>
    <w:rsid w:val="00020221"/>
    <w:rsid w:val="0002177F"/>
    <w:rsid w:val="00021B2A"/>
    <w:rsid w:val="000264C5"/>
    <w:rsid w:val="00032343"/>
    <w:rsid w:val="000419A4"/>
    <w:rsid w:val="00041C6E"/>
    <w:rsid w:val="00045194"/>
    <w:rsid w:val="00045373"/>
    <w:rsid w:val="00051685"/>
    <w:rsid w:val="00051D11"/>
    <w:rsid w:val="00053F24"/>
    <w:rsid w:val="00057584"/>
    <w:rsid w:val="00060466"/>
    <w:rsid w:val="0007530C"/>
    <w:rsid w:val="0008428D"/>
    <w:rsid w:val="00086DDD"/>
    <w:rsid w:val="00087033"/>
    <w:rsid w:val="00096094"/>
    <w:rsid w:val="000A2382"/>
    <w:rsid w:val="000B1D84"/>
    <w:rsid w:val="000B5CB6"/>
    <w:rsid w:val="000C0717"/>
    <w:rsid w:val="000D16F6"/>
    <w:rsid w:val="000D53A8"/>
    <w:rsid w:val="000E38EF"/>
    <w:rsid w:val="000E6706"/>
    <w:rsid w:val="000F04B5"/>
    <w:rsid w:val="000F38EF"/>
    <w:rsid w:val="000F760F"/>
    <w:rsid w:val="001008BA"/>
    <w:rsid w:val="00101529"/>
    <w:rsid w:val="00102586"/>
    <w:rsid w:val="00120010"/>
    <w:rsid w:val="0012414B"/>
    <w:rsid w:val="0012771B"/>
    <w:rsid w:val="00133B56"/>
    <w:rsid w:val="001358C1"/>
    <w:rsid w:val="00141AAE"/>
    <w:rsid w:val="0014567D"/>
    <w:rsid w:val="00147350"/>
    <w:rsid w:val="001559A2"/>
    <w:rsid w:val="00155FD1"/>
    <w:rsid w:val="00172DDC"/>
    <w:rsid w:val="001733CB"/>
    <w:rsid w:val="001764E9"/>
    <w:rsid w:val="00177F7A"/>
    <w:rsid w:val="0018103D"/>
    <w:rsid w:val="00182D65"/>
    <w:rsid w:val="00184D33"/>
    <w:rsid w:val="00186BA7"/>
    <w:rsid w:val="001A663C"/>
    <w:rsid w:val="001C22ED"/>
    <w:rsid w:val="001C654A"/>
    <w:rsid w:val="001D4CCF"/>
    <w:rsid w:val="001D5FE1"/>
    <w:rsid w:val="001E1CCA"/>
    <w:rsid w:val="001E3349"/>
    <w:rsid w:val="001F2F78"/>
    <w:rsid w:val="00200C82"/>
    <w:rsid w:val="002160EB"/>
    <w:rsid w:val="00220E9C"/>
    <w:rsid w:val="00220F6D"/>
    <w:rsid w:val="0022686A"/>
    <w:rsid w:val="002378D3"/>
    <w:rsid w:val="00244BB1"/>
    <w:rsid w:val="002468ED"/>
    <w:rsid w:val="00252EF7"/>
    <w:rsid w:val="00253E38"/>
    <w:rsid w:val="00260969"/>
    <w:rsid w:val="00260CBF"/>
    <w:rsid w:val="00271D12"/>
    <w:rsid w:val="00275BE3"/>
    <w:rsid w:val="00276498"/>
    <w:rsid w:val="002865B7"/>
    <w:rsid w:val="00296E0F"/>
    <w:rsid w:val="0029701A"/>
    <w:rsid w:val="002A15FB"/>
    <w:rsid w:val="002A22EB"/>
    <w:rsid w:val="002A61AF"/>
    <w:rsid w:val="002B0269"/>
    <w:rsid w:val="002B0464"/>
    <w:rsid w:val="002B0B79"/>
    <w:rsid w:val="002C3A3B"/>
    <w:rsid w:val="002D7A49"/>
    <w:rsid w:val="002E0CC2"/>
    <w:rsid w:val="002E75B0"/>
    <w:rsid w:val="002E798F"/>
    <w:rsid w:val="002F3F0E"/>
    <w:rsid w:val="0030093F"/>
    <w:rsid w:val="00307FA2"/>
    <w:rsid w:val="0031323D"/>
    <w:rsid w:val="0031580A"/>
    <w:rsid w:val="00316E95"/>
    <w:rsid w:val="00317822"/>
    <w:rsid w:val="00324358"/>
    <w:rsid w:val="0032460B"/>
    <w:rsid w:val="00334FB7"/>
    <w:rsid w:val="003420E3"/>
    <w:rsid w:val="00345295"/>
    <w:rsid w:val="00347003"/>
    <w:rsid w:val="00363D03"/>
    <w:rsid w:val="0036716F"/>
    <w:rsid w:val="00372711"/>
    <w:rsid w:val="00374431"/>
    <w:rsid w:val="00374499"/>
    <w:rsid w:val="0037578E"/>
    <w:rsid w:val="00393FB6"/>
    <w:rsid w:val="003A200D"/>
    <w:rsid w:val="003A4581"/>
    <w:rsid w:val="003A62BF"/>
    <w:rsid w:val="003B0AFA"/>
    <w:rsid w:val="003B0D2E"/>
    <w:rsid w:val="003B6888"/>
    <w:rsid w:val="003C1CA0"/>
    <w:rsid w:val="003C294E"/>
    <w:rsid w:val="003C490D"/>
    <w:rsid w:val="003D1D83"/>
    <w:rsid w:val="003D457A"/>
    <w:rsid w:val="003D6C3F"/>
    <w:rsid w:val="0040100F"/>
    <w:rsid w:val="00404E4A"/>
    <w:rsid w:val="00423BFC"/>
    <w:rsid w:val="004334CC"/>
    <w:rsid w:val="004336DD"/>
    <w:rsid w:val="00433F14"/>
    <w:rsid w:val="00437F63"/>
    <w:rsid w:val="0045216D"/>
    <w:rsid w:val="00461147"/>
    <w:rsid w:val="0048092D"/>
    <w:rsid w:val="00482512"/>
    <w:rsid w:val="004A1725"/>
    <w:rsid w:val="004A65B7"/>
    <w:rsid w:val="004C1176"/>
    <w:rsid w:val="004C3031"/>
    <w:rsid w:val="004C4572"/>
    <w:rsid w:val="004C5A8E"/>
    <w:rsid w:val="004D46D5"/>
    <w:rsid w:val="004E0EBD"/>
    <w:rsid w:val="004E401A"/>
    <w:rsid w:val="004F06DA"/>
    <w:rsid w:val="004F27D4"/>
    <w:rsid w:val="004F62F7"/>
    <w:rsid w:val="00505BAF"/>
    <w:rsid w:val="0051405D"/>
    <w:rsid w:val="00514D47"/>
    <w:rsid w:val="00521596"/>
    <w:rsid w:val="00521EE6"/>
    <w:rsid w:val="00523A0F"/>
    <w:rsid w:val="00525508"/>
    <w:rsid w:val="005349C4"/>
    <w:rsid w:val="00536123"/>
    <w:rsid w:val="005446DD"/>
    <w:rsid w:val="0054506C"/>
    <w:rsid w:val="00550444"/>
    <w:rsid w:val="0056239D"/>
    <w:rsid w:val="00575254"/>
    <w:rsid w:val="00590908"/>
    <w:rsid w:val="0059307C"/>
    <w:rsid w:val="0059344A"/>
    <w:rsid w:val="005A2D53"/>
    <w:rsid w:val="005A2DF4"/>
    <w:rsid w:val="005A452C"/>
    <w:rsid w:val="005A7426"/>
    <w:rsid w:val="005C2F2E"/>
    <w:rsid w:val="005D0796"/>
    <w:rsid w:val="005E0A04"/>
    <w:rsid w:val="005E3E9A"/>
    <w:rsid w:val="005E57DF"/>
    <w:rsid w:val="005E6BC4"/>
    <w:rsid w:val="005F66CD"/>
    <w:rsid w:val="00603689"/>
    <w:rsid w:val="00603D23"/>
    <w:rsid w:val="0060601A"/>
    <w:rsid w:val="0060749B"/>
    <w:rsid w:val="006114A2"/>
    <w:rsid w:val="00612325"/>
    <w:rsid w:val="0061353E"/>
    <w:rsid w:val="006239B3"/>
    <w:rsid w:val="00623D76"/>
    <w:rsid w:val="00626D20"/>
    <w:rsid w:val="00627CEC"/>
    <w:rsid w:val="00634198"/>
    <w:rsid w:val="00637C6F"/>
    <w:rsid w:val="0064189E"/>
    <w:rsid w:val="0064716B"/>
    <w:rsid w:val="00653F13"/>
    <w:rsid w:val="006558E3"/>
    <w:rsid w:val="006A32E4"/>
    <w:rsid w:val="006A6126"/>
    <w:rsid w:val="006A72A7"/>
    <w:rsid w:val="006B0E5C"/>
    <w:rsid w:val="006B431E"/>
    <w:rsid w:val="006B5A43"/>
    <w:rsid w:val="006B78F7"/>
    <w:rsid w:val="006B7AB6"/>
    <w:rsid w:val="006C16B4"/>
    <w:rsid w:val="006C7F24"/>
    <w:rsid w:val="006E08E4"/>
    <w:rsid w:val="006E786A"/>
    <w:rsid w:val="006F12C0"/>
    <w:rsid w:val="006F1573"/>
    <w:rsid w:val="007039E0"/>
    <w:rsid w:val="0070499F"/>
    <w:rsid w:val="00710377"/>
    <w:rsid w:val="00711259"/>
    <w:rsid w:val="00711CF9"/>
    <w:rsid w:val="00712D3D"/>
    <w:rsid w:val="007229C7"/>
    <w:rsid w:val="007256C0"/>
    <w:rsid w:val="00733773"/>
    <w:rsid w:val="00734AAC"/>
    <w:rsid w:val="00735D39"/>
    <w:rsid w:val="0075123E"/>
    <w:rsid w:val="00751B1A"/>
    <w:rsid w:val="00755168"/>
    <w:rsid w:val="0075795C"/>
    <w:rsid w:val="007610E4"/>
    <w:rsid w:val="007642D6"/>
    <w:rsid w:val="007646BC"/>
    <w:rsid w:val="00765750"/>
    <w:rsid w:val="0077102A"/>
    <w:rsid w:val="00771337"/>
    <w:rsid w:val="00776FBF"/>
    <w:rsid w:val="00786D45"/>
    <w:rsid w:val="007A02BB"/>
    <w:rsid w:val="007A0BF5"/>
    <w:rsid w:val="007A3943"/>
    <w:rsid w:val="007A5775"/>
    <w:rsid w:val="007A6FDB"/>
    <w:rsid w:val="007B40C3"/>
    <w:rsid w:val="007C6377"/>
    <w:rsid w:val="007C7311"/>
    <w:rsid w:val="007D0DF5"/>
    <w:rsid w:val="007D2807"/>
    <w:rsid w:val="007E2244"/>
    <w:rsid w:val="007E5B16"/>
    <w:rsid w:val="007E5C0B"/>
    <w:rsid w:val="007E5C0C"/>
    <w:rsid w:val="007E5FE2"/>
    <w:rsid w:val="007E76DD"/>
    <w:rsid w:val="007F2A68"/>
    <w:rsid w:val="007F3BBD"/>
    <w:rsid w:val="00800638"/>
    <w:rsid w:val="00803B70"/>
    <w:rsid w:val="00811D94"/>
    <w:rsid w:val="0081217F"/>
    <w:rsid w:val="00813C03"/>
    <w:rsid w:val="00816684"/>
    <w:rsid w:val="00817077"/>
    <w:rsid w:val="00822BF0"/>
    <w:rsid w:val="00824248"/>
    <w:rsid w:val="0082605E"/>
    <w:rsid w:val="00835955"/>
    <w:rsid w:val="00835F7D"/>
    <w:rsid w:val="0083769F"/>
    <w:rsid w:val="00840E7D"/>
    <w:rsid w:val="008419D4"/>
    <w:rsid w:val="00843966"/>
    <w:rsid w:val="0085527B"/>
    <w:rsid w:val="0088316C"/>
    <w:rsid w:val="00891DF4"/>
    <w:rsid w:val="00897474"/>
    <w:rsid w:val="008A53E0"/>
    <w:rsid w:val="008A5F3E"/>
    <w:rsid w:val="008A69F4"/>
    <w:rsid w:val="008A719B"/>
    <w:rsid w:val="008B1F22"/>
    <w:rsid w:val="008B3EB8"/>
    <w:rsid w:val="008B3F50"/>
    <w:rsid w:val="008C065A"/>
    <w:rsid w:val="008C5F8F"/>
    <w:rsid w:val="008C79D9"/>
    <w:rsid w:val="008D4291"/>
    <w:rsid w:val="008E1609"/>
    <w:rsid w:val="008E266D"/>
    <w:rsid w:val="008F060C"/>
    <w:rsid w:val="008F0754"/>
    <w:rsid w:val="00901D57"/>
    <w:rsid w:val="00911981"/>
    <w:rsid w:val="009129F0"/>
    <w:rsid w:val="0091569B"/>
    <w:rsid w:val="00921709"/>
    <w:rsid w:val="009224D9"/>
    <w:rsid w:val="009307BE"/>
    <w:rsid w:val="00931ADA"/>
    <w:rsid w:val="009327B0"/>
    <w:rsid w:val="0094756F"/>
    <w:rsid w:val="00955A4C"/>
    <w:rsid w:val="0095697A"/>
    <w:rsid w:val="00963F89"/>
    <w:rsid w:val="0097189B"/>
    <w:rsid w:val="009811FF"/>
    <w:rsid w:val="0099364D"/>
    <w:rsid w:val="00997956"/>
    <w:rsid w:val="009A3559"/>
    <w:rsid w:val="009A7446"/>
    <w:rsid w:val="009B2EE6"/>
    <w:rsid w:val="009C2E76"/>
    <w:rsid w:val="009C441C"/>
    <w:rsid w:val="009C499E"/>
    <w:rsid w:val="009C57A7"/>
    <w:rsid w:val="009C7872"/>
    <w:rsid w:val="009D10EC"/>
    <w:rsid w:val="009D1BEE"/>
    <w:rsid w:val="009D2976"/>
    <w:rsid w:val="009D3A2C"/>
    <w:rsid w:val="009D5402"/>
    <w:rsid w:val="009D7B28"/>
    <w:rsid w:val="009F5AFF"/>
    <w:rsid w:val="00A04023"/>
    <w:rsid w:val="00A05988"/>
    <w:rsid w:val="00A23145"/>
    <w:rsid w:val="00A31B5F"/>
    <w:rsid w:val="00A36A76"/>
    <w:rsid w:val="00A440FD"/>
    <w:rsid w:val="00A533A2"/>
    <w:rsid w:val="00A635FC"/>
    <w:rsid w:val="00A64D2A"/>
    <w:rsid w:val="00A65107"/>
    <w:rsid w:val="00A72206"/>
    <w:rsid w:val="00A73805"/>
    <w:rsid w:val="00A77D4E"/>
    <w:rsid w:val="00A90467"/>
    <w:rsid w:val="00A92B6E"/>
    <w:rsid w:val="00A94BE5"/>
    <w:rsid w:val="00AB2A87"/>
    <w:rsid w:val="00AB32BA"/>
    <w:rsid w:val="00AB7E86"/>
    <w:rsid w:val="00AC1ECC"/>
    <w:rsid w:val="00AC2E56"/>
    <w:rsid w:val="00AC4BE7"/>
    <w:rsid w:val="00AC4DD2"/>
    <w:rsid w:val="00AC5F26"/>
    <w:rsid w:val="00AC653D"/>
    <w:rsid w:val="00AC7F83"/>
    <w:rsid w:val="00AD0365"/>
    <w:rsid w:val="00AD09D5"/>
    <w:rsid w:val="00AD3533"/>
    <w:rsid w:val="00AD5744"/>
    <w:rsid w:val="00AE2619"/>
    <w:rsid w:val="00AE72DA"/>
    <w:rsid w:val="00AF6BAD"/>
    <w:rsid w:val="00B0284C"/>
    <w:rsid w:val="00B27DEF"/>
    <w:rsid w:val="00B30016"/>
    <w:rsid w:val="00B36069"/>
    <w:rsid w:val="00B408D6"/>
    <w:rsid w:val="00B451D0"/>
    <w:rsid w:val="00B560F7"/>
    <w:rsid w:val="00B572C1"/>
    <w:rsid w:val="00B621EC"/>
    <w:rsid w:val="00B70391"/>
    <w:rsid w:val="00B708F7"/>
    <w:rsid w:val="00B84DB4"/>
    <w:rsid w:val="00B8501C"/>
    <w:rsid w:val="00B8508B"/>
    <w:rsid w:val="00B933BC"/>
    <w:rsid w:val="00B95C25"/>
    <w:rsid w:val="00BA08B6"/>
    <w:rsid w:val="00BA13B0"/>
    <w:rsid w:val="00BA2A06"/>
    <w:rsid w:val="00BA4AD8"/>
    <w:rsid w:val="00BA6675"/>
    <w:rsid w:val="00BA6AFB"/>
    <w:rsid w:val="00BA6FE1"/>
    <w:rsid w:val="00BA7339"/>
    <w:rsid w:val="00BB09B5"/>
    <w:rsid w:val="00BB4FD3"/>
    <w:rsid w:val="00BB540C"/>
    <w:rsid w:val="00BB5F09"/>
    <w:rsid w:val="00BC4DC0"/>
    <w:rsid w:val="00BC730E"/>
    <w:rsid w:val="00BC7D85"/>
    <w:rsid w:val="00BD23C2"/>
    <w:rsid w:val="00BE4550"/>
    <w:rsid w:val="00BE5A70"/>
    <w:rsid w:val="00BF0B7E"/>
    <w:rsid w:val="00BF2333"/>
    <w:rsid w:val="00BF4698"/>
    <w:rsid w:val="00C05CE1"/>
    <w:rsid w:val="00C1799C"/>
    <w:rsid w:val="00C17D66"/>
    <w:rsid w:val="00C22EA0"/>
    <w:rsid w:val="00C236FF"/>
    <w:rsid w:val="00C310DD"/>
    <w:rsid w:val="00C408B5"/>
    <w:rsid w:val="00C40A20"/>
    <w:rsid w:val="00C4281D"/>
    <w:rsid w:val="00C44BB8"/>
    <w:rsid w:val="00C44BE8"/>
    <w:rsid w:val="00C56CC7"/>
    <w:rsid w:val="00C71FE1"/>
    <w:rsid w:val="00C72496"/>
    <w:rsid w:val="00C73370"/>
    <w:rsid w:val="00C739CD"/>
    <w:rsid w:val="00C77F95"/>
    <w:rsid w:val="00C838F0"/>
    <w:rsid w:val="00C84D83"/>
    <w:rsid w:val="00C85102"/>
    <w:rsid w:val="00C863AB"/>
    <w:rsid w:val="00C96E1B"/>
    <w:rsid w:val="00CB2519"/>
    <w:rsid w:val="00CB2FCF"/>
    <w:rsid w:val="00CB757B"/>
    <w:rsid w:val="00CC2D89"/>
    <w:rsid w:val="00CC5595"/>
    <w:rsid w:val="00CE2E85"/>
    <w:rsid w:val="00CE32DA"/>
    <w:rsid w:val="00CF08B4"/>
    <w:rsid w:val="00CF3ADB"/>
    <w:rsid w:val="00D03954"/>
    <w:rsid w:val="00D051D5"/>
    <w:rsid w:val="00D05CE3"/>
    <w:rsid w:val="00D1146A"/>
    <w:rsid w:val="00D123CE"/>
    <w:rsid w:val="00D161BF"/>
    <w:rsid w:val="00D26950"/>
    <w:rsid w:val="00D337BD"/>
    <w:rsid w:val="00D411B3"/>
    <w:rsid w:val="00D411EA"/>
    <w:rsid w:val="00D42748"/>
    <w:rsid w:val="00D57AE2"/>
    <w:rsid w:val="00D6203F"/>
    <w:rsid w:val="00D622B3"/>
    <w:rsid w:val="00D74205"/>
    <w:rsid w:val="00D841A2"/>
    <w:rsid w:val="00DA24A9"/>
    <w:rsid w:val="00DA3EBB"/>
    <w:rsid w:val="00DA4D77"/>
    <w:rsid w:val="00DB1990"/>
    <w:rsid w:val="00DB233D"/>
    <w:rsid w:val="00DB2712"/>
    <w:rsid w:val="00DB6BA4"/>
    <w:rsid w:val="00DC05D7"/>
    <w:rsid w:val="00DD3A94"/>
    <w:rsid w:val="00DE1663"/>
    <w:rsid w:val="00DE7C9C"/>
    <w:rsid w:val="00E008C2"/>
    <w:rsid w:val="00E10488"/>
    <w:rsid w:val="00E13734"/>
    <w:rsid w:val="00E1406B"/>
    <w:rsid w:val="00E15E10"/>
    <w:rsid w:val="00E15E6A"/>
    <w:rsid w:val="00E170CC"/>
    <w:rsid w:val="00E21C04"/>
    <w:rsid w:val="00E21C37"/>
    <w:rsid w:val="00E2393E"/>
    <w:rsid w:val="00E26B41"/>
    <w:rsid w:val="00E3371A"/>
    <w:rsid w:val="00E42D6C"/>
    <w:rsid w:val="00E43D19"/>
    <w:rsid w:val="00E50DCE"/>
    <w:rsid w:val="00E5185B"/>
    <w:rsid w:val="00E51973"/>
    <w:rsid w:val="00E60B4B"/>
    <w:rsid w:val="00E67A2E"/>
    <w:rsid w:val="00E804FD"/>
    <w:rsid w:val="00E8490F"/>
    <w:rsid w:val="00E86469"/>
    <w:rsid w:val="00E903F6"/>
    <w:rsid w:val="00E948B5"/>
    <w:rsid w:val="00E94C1B"/>
    <w:rsid w:val="00E96A72"/>
    <w:rsid w:val="00EA4C80"/>
    <w:rsid w:val="00EA6F41"/>
    <w:rsid w:val="00EB2EF3"/>
    <w:rsid w:val="00EC08A2"/>
    <w:rsid w:val="00EC0C28"/>
    <w:rsid w:val="00EC41CC"/>
    <w:rsid w:val="00EC7396"/>
    <w:rsid w:val="00ED3128"/>
    <w:rsid w:val="00EE1ABD"/>
    <w:rsid w:val="00EE551E"/>
    <w:rsid w:val="00EE5E45"/>
    <w:rsid w:val="00EF4674"/>
    <w:rsid w:val="00F02440"/>
    <w:rsid w:val="00F06431"/>
    <w:rsid w:val="00F06EF0"/>
    <w:rsid w:val="00F0734A"/>
    <w:rsid w:val="00F10229"/>
    <w:rsid w:val="00F1084C"/>
    <w:rsid w:val="00F10913"/>
    <w:rsid w:val="00F13A3B"/>
    <w:rsid w:val="00F22334"/>
    <w:rsid w:val="00F26FDB"/>
    <w:rsid w:val="00F27576"/>
    <w:rsid w:val="00F3036F"/>
    <w:rsid w:val="00F30738"/>
    <w:rsid w:val="00F36D7A"/>
    <w:rsid w:val="00F450D9"/>
    <w:rsid w:val="00F45C24"/>
    <w:rsid w:val="00F474F5"/>
    <w:rsid w:val="00F47B92"/>
    <w:rsid w:val="00F6228F"/>
    <w:rsid w:val="00F62331"/>
    <w:rsid w:val="00F63E06"/>
    <w:rsid w:val="00F67B87"/>
    <w:rsid w:val="00F76312"/>
    <w:rsid w:val="00F77ABC"/>
    <w:rsid w:val="00F90141"/>
    <w:rsid w:val="00F909DF"/>
    <w:rsid w:val="00F923B8"/>
    <w:rsid w:val="00F94CE4"/>
    <w:rsid w:val="00F956AC"/>
    <w:rsid w:val="00FB32F7"/>
    <w:rsid w:val="00FB42D9"/>
    <w:rsid w:val="00FC11E6"/>
    <w:rsid w:val="00FC2D6B"/>
    <w:rsid w:val="00FC3A60"/>
    <w:rsid w:val="00FF0372"/>
    <w:rsid w:val="00FF581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128FF43-C1F9-4FB2-93A9-61FAB1EB61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7578E"/>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qFormat/>
    <w:rsid w:val="0037578E"/>
    <w:pPr>
      <w:keepNext/>
      <w:tabs>
        <w:tab w:val="left" w:pos="5580"/>
      </w:tabs>
      <w:jc w:val="center"/>
      <w:outlineLvl w:val="0"/>
    </w:pPr>
    <w:rPr>
      <w:b/>
      <w:lang w:val="en-US"/>
    </w:rPr>
  </w:style>
  <w:style w:type="paragraph" w:styleId="Ttulo2">
    <w:name w:val="heading 2"/>
    <w:basedOn w:val="Normal"/>
    <w:next w:val="Normal"/>
    <w:link w:val="Ttulo2Car"/>
    <w:qFormat/>
    <w:rsid w:val="0037578E"/>
    <w:pPr>
      <w:keepNext/>
      <w:numPr>
        <w:numId w:val="1"/>
      </w:numPr>
      <w:tabs>
        <w:tab w:val="clear" w:pos="1080"/>
      </w:tabs>
      <w:ind w:left="0" w:firstLine="0"/>
      <w:outlineLvl w:val="1"/>
    </w:pPr>
    <w:rPr>
      <w:b/>
      <w:bCs/>
      <w:lang w:val="es-MX"/>
    </w:rPr>
  </w:style>
  <w:style w:type="paragraph" w:styleId="Ttulo3">
    <w:name w:val="heading 3"/>
    <w:basedOn w:val="Normal"/>
    <w:next w:val="Normal"/>
    <w:link w:val="Ttulo3Car"/>
    <w:qFormat/>
    <w:rsid w:val="0037578E"/>
    <w:pPr>
      <w:keepNext/>
      <w:ind w:left="1080"/>
      <w:jc w:val="center"/>
      <w:outlineLvl w:val="2"/>
    </w:pPr>
    <w:rPr>
      <w:rFonts w:ascii="Arial Narrow" w:hAnsi="Arial Narrow" w:cs="Arial"/>
      <w:b/>
      <w:sz w:val="22"/>
    </w:rPr>
  </w:style>
  <w:style w:type="paragraph" w:styleId="Ttulo4">
    <w:name w:val="heading 4"/>
    <w:basedOn w:val="Normal"/>
    <w:next w:val="Normal"/>
    <w:link w:val="Ttulo4Car"/>
    <w:qFormat/>
    <w:rsid w:val="0037578E"/>
    <w:pPr>
      <w:keepNext/>
      <w:tabs>
        <w:tab w:val="left" w:pos="1800"/>
      </w:tabs>
      <w:jc w:val="both"/>
      <w:outlineLvl w:val="3"/>
    </w:pPr>
    <w:rPr>
      <w:rFonts w:ascii="Arial" w:hAnsi="Arial" w:cs="Arial"/>
      <w:sz w:val="28"/>
    </w:rPr>
  </w:style>
  <w:style w:type="paragraph" w:styleId="Ttulo5">
    <w:name w:val="heading 5"/>
    <w:basedOn w:val="Normal"/>
    <w:next w:val="Normal"/>
    <w:link w:val="Ttulo5Car"/>
    <w:qFormat/>
    <w:rsid w:val="0037578E"/>
    <w:pPr>
      <w:keepNext/>
      <w:ind w:left="110"/>
      <w:jc w:val="center"/>
      <w:outlineLvl w:val="4"/>
    </w:pPr>
    <w:rPr>
      <w:rFonts w:ascii="Arial Narrow" w:hAnsi="Arial Narrow" w:cs="Arial"/>
      <w:b/>
      <w:color w:val="FF0000"/>
      <w:sz w:val="22"/>
    </w:rPr>
  </w:style>
  <w:style w:type="paragraph" w:styleId="Ttulo6">
    <w:name w:val="heading 6"/>
    <w:basedOn w:val="Normal"/>
    <w:next w:val="Normal"/>
    <w:link w:val="Ttulo6Car"/>
    <w:qFormat/>
    <w:rsid w:val="0037578E"/>
    <w:pPr>
      <w:keepNext/>
      <w:ind w:left="110"/>
      <w:jc w:val="center"/>
      <w:outlineLvl w:val="5"/>
    </w:pPr>
    <w:rPr>
      <w:rFonts w:ascii="Arial Narrow" w:hAnsi="Arial Narrow" w:cs="Arial"/>
      <w:b/>
      <w:sz w:val="22"/>
    </w:rPr>
  </w:style>
  <w:style w:type="paragraph" w:styleId="Ttulo7">
    <w:name w:val="heading 7"/>
    <w:basedOn w:val="Normal"/>
    <w:next w:val="Normal"/>
    <w:link w:val="Ttulo7Car"/>
    <w:uiPriority w:val="99"/>
    <w:qFormat/>
    <w:rsid w:val="0037578E"/>
    <w:pPr>
      <w:keepNext/>
      <w:tabs>
        <w:tab w:val="left" w:pos="1756"/>
        <w:tab w:val="left" w:pos="2834"/>
        <w:tab w:val="left" w:pos="4790"/>
        <w:tab w:val="left" w:pos="5668"/>
        <w:tab w:val="left" w:pos="7936"/>
        <w:tab w:val="left" w:pos="8560"/>
      </w:tabs>
      <w:jc w:val="center"/>
      <w:outlineLvl w:val="6"/>
    </w:pPr>
    <w:rPr>
      <w:rFonts w:ascii="Arial" w:hAnsi="Arial" w:cs="Arial"/>
      <w:b/>
      <w:bCs/>
      <w:sz w:val="20"/>
    </w:rPr>
  </w:style>
  <w:style w:type="paragraph" w:styleId="Ttulo8">
    <w:name w:val="heading 8"/>
    <w:basedOn w:val="Normal"/>
    <w:next w:val="Normal"/>
    <w:link w:val="Ttulo8Car"/>
    <w:uiPriority w:val="99"/>
    <w:qFormat/>
    <w:rsid w:val="0037578E"/>
    <w:pPr>
      <w:keepNext/>
      <w:jc w:val="both"/>
      <w:outlineLvl w:val="7"/>
    </w:pPr>
    <w:rPr>
      <w:rFonts w:ascii="Arial" w:hAnsi="Arial" w:cs="Arial"/>
      <w:b/>
      <w:bCs/>
      <w:color w:val="FF0000"/>
    </w:rPr>
  </w:style>
  <w:style w:type="paragraph" w:styleId="Ttulo9">
    <w:name w:val="heading 9"/>
    <w:basedOn w:val="Normal"/>
    <w:next w:val="Normal"/>
    <w:link w:val="Ttulo9Car"/>
    <w:uiPriority w:val="99"/>
    <w:qFormat/>
    <w:rsid w:val="0037578E"/>
    <w:pPr>
      <w:keepNext/>
      <w:numPr>
        <w:numId w:val="2"/>
      </w:numPr>
      <w:tabs>
        <w:tab w:val="left" w:pos="720"/>
        <w:tab w:val="right" w:pos="8000"/>
      </w:tabs>
      <w:overflowPunct w:val="0"/>
      <w:autoSpaceDE w:val="0"/>
      <w:autoSpaceDN w:val="0"/>
      <w:adjustRightInd w:val="0"/>
      <w:ind w:left="720" w:right="-89" w:hanging="720"/>
      <w:jc w:val="both"/>
      <w:textAlignment w:val="baseline"/>
      <w:outlineLvl w:val="8"/>
    </w:pPr>
    <w:rPr>
      <w:rFonts w:ascii="Arial" w:hAnsi="Arial"/>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37578E"/>
    <w:rPr>
      <w:rFonts w:ascii="Times New Roman" w:eastAsia="Times New Roman" w:hAnsi="Times New Roman" w:cs="Times New Roman"/>
      <w:b/>
      <w:sz w:val="24"/>
      <w:szCs w:val="24"/>
      <w:lang w:val="en-US" w:eastAsia="es-ES"/>
    </w:rPr>
  </w:style>
  <w:style w:type="character" w:customStyle="1" w:styleId="Ttulo2Car">
    <w:name w:val="Título 2 Car"/>
    <w:basedOn w:val="Fuentedeprrafopredeter"/>
    <w:link w:val="Ttulo2"/>
    <w:rsid w:val="0037578E"/>
    <w:rPr>
      <w:rFonts w:ascii="Times New Roman" w:eastAsia="Times New Roman" w:hAnsi="Times New Roman" w:cs="Times New Roman"/>
      <w:b/>
      <w:bCs/>
      <w:sz w:val="24"/>
      <w:szCs w:val="24"/>
      <w:lang w:eastAsia="es-ES"/>
    </w:rPr>
  </w:style>
  <w:style w:type="character" w:customStyle="1" w:styleId="Ttulo3Car">
    <w:name w:val="Título 3 Car"/>
    <w:basedOn w:val="Fuentedeprrafopredeter"/>
    <w:link w:val="Ttulo3"/>
    <w:rsid w:val="0037578E"/>
    <w:rPr>
      <w:rFonts w:ascii="Arial Narrow" w:eastAsia="Times New Roman" w:hAnsi="Arial Narrow" w:cs="Arial"/>
      <w:b/>
      <w:szCs w:val="24"/>
      <w:lang w:val="es-ES" w:eastAsia="es-ES"/>
    </w:rPr>
  </w:style>
  <w:style w:type="character" w:customStyle="1" w:styleId="Ttulo4Car">
    <w:name w:val="Título 4 Car"/>
    <w:basedOn w:val="Fuentedeprrafopredeter"/>
    <w:link w:val="Ttulo4"/>
    <w:rsid w:val="0037578E"/>
    <w:rPr>
      <w:rFonts w:ascii="Arial" w:eastAsia="Times New Roman" w:hAnsi="Arial" w:cs="Arial"/>
      <w:sz w:val="28"/>
      <w:szCs w:val="24"/>
      <w:lang w:val="es-ES" w:eastAsia="es-ES"/>
    </w:rPr>
  </w:style>
  <w:style w:type="character" w:customStyle="1" w:styleId="Ttulo5Car">
    <w:name w:val="Título 5 Car"/>
    <w:basedOn w:val="Fuentedeprrafopredeter"/>
    <w:link w:val="Ttulo5"/>
    <w:rsid w:val="0037578E"/>
    <w:rPr>
      <w:rFonts w:ascii="Arial Narrow" w:eastAsia="Times New Roman" w:hAnsi="Arial Narrow" w:cs="Arial"/>
      <w:b/>
      <w:color w:val="FF0000"/>
      <w:szCs w:val="24"/>
      <w:lang w:val="es-ES" w:eastAsia="es-ES"/>
    </w:rPr>
  </w:style>
  <w:style w:type="character" w:customStyle="1" w:styleId="Ttulo6Car">
    <w:name w:val="Título 6 Car"/>
    <w:basedOn w:val="Fuentedeprrafopredeter"/>
    <w:link w:val="Ttulo6"/>
    <w:rsid w:val="0037578E"/>
    <w:rPr>
      <w:rFonts w:ascii="Arial Narrow" w:eastAsia="Times New Roman" w:hAnsi="Arial Narrow" w:cs="Arial"/>
      <w:b/>
      <w:szCs w:val="24"/>
      <w:lang w:val="es-ES" w:eastAsia="es-ES"/>
    </w:rPr>
  </w:style>
  <w:style w:type="character" w:customStyle="1" w:styleId="Ttulo7Car">
    <w:name w:val="Título 7 Car"/>
    <w:basedOn w:val="Fuentedeprrafopredeter"/>
    <w:link w:val="Ttulo7"/>
    <w:uiPriority w:val="99"/>
    <w:rsid w:val="0037578E"/>
    <w:rPr>
      <w:rFonts w:ascii="Arial" w:eastAsia="Times New Roman" w:hAnsi="Arial" w:cs="Arial"/>
      <w:b/>
      <w:bCs/>
      <w:sz w:val="20"/>
      <w:szCs w:val="24"/>
      <w:lang w:val="es-ES" w:eastAsia="es-ES"/>
    </w:rPr>
  </w:style>
  <w:style w:type="character" w:customStyle="1" w:styleId="Ttulo8Car">
    <w:name w:val="Título 8 Car"/>
    <w:basedOn w:val="Fuentedeprrafopredeter"/>
    <w:link w:val="Ttulo8"/>
    <w:uiPriority w:val="99"/>
    <w:rsid w:val="0037578E"/>
    <w:rPr>
      <w:rFonts w:ascii="Arial" w:eastAsia="Times New Roman" w:hAnsi="Arial" w:cs="Arial"/>
      <w:b/>
      <w:bCs/>
      <w:color w:val="FF0000"/>
      <w:sz w:val="24"/>
      <w:szCs w:val="24"/>
      <w:lang w:val="es-ES" w:eastAsia="es-ES"/>
    </w:rPr>
  </w:style>
  <w:style w:type="character" w:customStyle="1" w:styleId="Ttulo9Car">
    <w:name w:val="Título 9 Car"/>
    <w:basedOn w:val="Fuentedeprrafopredeter"/>
    <w:link w:val="Ttulo9"/>
    <w:uiPriority w:val="99"/>
    <w:rsid w:val="0037578E"/>
    <w:rPr>
      <w:rFonts w:ascii="Arial" w:eastAsia="Times New Roman" w:hAnsi="Arial" w:cs="Times New Roman"/>
      <w:sz w:val="24"/>
      <w:szCs w:val="20"/>
      <w:lang w:val="es-ES" w:eastAsia="es-ES"/>
    </w:rPr>
  </w:style>
  <w:style w:type="paragraph" w:styleId="Textoindependiente">
    <w:name w:val="Body Text"/>
    <w:basedOn w:val="Normal"/>
    <w:link w:val="TextoindependienteCar"/>
    <w:uiPriority w:val="99"/>
    <w:qFormat/>
    <w:rsid w:val="0037578E"/>
    <w:pPr>
      <w:spacing w:line="360" w:lineRule="auto"/>
      <w:jc w:val="both"/>
    </w:pPr>
    <w:rPr>
      <w:rFonts w:ascii="Arial" w:hAnsi="Arial" w:cs="Arial"/>
      <w:b/>
      <w:bCs/>
      <w:sz w:val="20"/>
    </w:rPr>
  </w:style>
  <w:style w:type="character" w:customStyle="1" w:styleId="TextoindependienteCar">
    <w:name w:val="Texto independiente Car"/>
    <w:basedOn w:val="Fuentedeprrafopredeter"/>
    <w:link w:val="Textoindependiente"/>
    <w:uiPriority w:val="99"/>
    <w:rsid w:val="0037578E"/>
    <w:rPr>
      <w:rFonts w:ascii="Arial" w:eastAsia="Times New Roman" w:hAnsi="Arial" w:cs="Arial"/>
      <w:b/>
      <w:bCs/>
      <w:sz w:val="20"/>
      <w:szCs w:val="24"/>
      <w:lang w:val="es-ES" w:eastAsia="es-ES"/>
    </w:rPr>
  </w:style>
  <w:style w:type="paragraph" w:styleId="Textoindependiente3">
    <w:name w:val="Body Text 3"/>
    <w:basedOn w:val="Normal"/>
    <w:link w:val="Textoindependiente3Car"/>
    <w:uiPriority w:val="99"/>
    <w:rsid w:val="0037578E"/>
    <w:pPr>
      <w:spacing w:line="360" w:lineRule="auto"/>
      <w:jc w:val="both"/>
    </w:pPr>
    <w:rPr>
      <w:rFonts w:ascii="Arial" w:hAnsi="Arial"/>
      <w:sz w:val="20"/>
    </w:rPr>
  </w:style>
  <w:style w:type="character" w:customStyle="1" w:styleId="Textoindependiente3Car">
    <w:name w:val="Texto independiente 3 Car"/>
    <w:basedOn w:val="Fuentedeprrafopredeter"/>
    <w:link w:val="Textoindependiente3"/>
    <w:uiPriority w:val="99"/>
    <w:rsid w:val="0037578E"/>
    <w:rPr>
      <w:rFonts w:ascii="Arial" w:eastAsia="Times New Roman" w:hAnsi="Arial" w:cs="Times New Roman"/>
      <w:sz w:val="20"/>
      <w:szCs w:val="24"/>
      <w:lang w:val="es-ES" w:eastAsia="es-ES"/>
    </w:rPr>
  </w:style>
  <w:style w:type="paragraph" w:styleId="Textoindependiente2">
    <w:name w:val="Body Text 2"/>
    <w:basedOn w:val="Normal"/>
    <w:link w:val="Textoindependiente2Car"/>
    <w:uiPriority w:val="99"/>
    <w:rsid w:val="0037578E"/>
    <w:rPr>
      <w:rFonts w:ascii="Tahoma" w:hAnsi="Tahoma" w:cs="Tahoma"/>
      <w:sz w:val="28"/>
      <w:lang w:val="es-MX"/>
    </w:rPr>
  </w:style>
  <w:style w:type="character" w:customStyle="1" w:styleId="Textoindependiente2Car">
    <w:name w:val="Texto independiente 2 Car"/>
    <w:basedOn w:val="Fuentedeprrafopredeter"/>
    <w:link w:val="Textoindependiente2"/>
    <w:uiPriority w:val="99"/>
    <w:rsid w:val="0037578E"/>
    <w:rPr>
      <w:rFonts w:ascii="Tahoma" w:eastAsia="Times New Roman" w:hAnsi="Tahoma" w:cs="Tahoma"/>
      <w:sz w:val="28"/>
      <w:szCs w:val="24"/>
      <w:lang w:eastAsia="es-ES"/>
    </w:rPr>
  </w:style>
  <w:style w:type="paragraph" w:customStyle="1" w:styleId="PRIMERAPLANA">
    <w:name w:val="PRIMERA PLANA"/>
    <w:basedOn w:val="Normal"/>
    <w:uiPriority w:val="99"/>
    <w:rsid w:val="0037578E"/>
    <w:pPr>
      <w:jc w:val="both"/>
    </w:pPr>
    <w:rPr>
      <w:rFonts w:ascii="Arial" w:hAnsi="Arial"/>
      <w:sz w:val="20"/>
      <w:szCs w:val="20"/>
      <w:lang w:val="es-ES_tradnl"/>
    </w:rPr>
  </w:style>
  <w:style w:type="paragraph" w:styleId="NormalWeb">
    <w:name w:val="Normal (Web)"/>
    <w:basedOn w:val="Normal"/>
    <w:uiPriority w:val="99"/>
    <w:rsid w:val="0037578E"/>
    <w:pPr>
      <w:spacing w:before="100" w:beforeAutospacing="1" w:after="100" w:afterAutospacing="1"/>
    </w:pPr>
  </w:style>
  <w:style w:type="paragraph" w:customStyle="1" w:styleId="Default">
    <w:name w:val="Default"/>
    <w:uiPriority w:val="99"/>
    <w:rsid w:val="0037578E"/>
    <w:pPr>
      <w:autoSpaceDE w:val="0"/>
      <w:autoSpaceDN w:val="0"/>
      <w:adjustRightInd w:val="0"/>
      <w:spacing w:after="0" w:line="240" w:lineRule="auto"/>
    </w:pPr>
    <w:rPr>
      <w:rFonts w:ascii="Times New Roman" w:eastAsia="Times New Roman" w:hAnsi="Times New Roman" w:cs="Times New Roman"/>
      <w:color w:val="000000"/>
      <w:sz w:val="24"/>
      <w:szCs w:val="24"/>
      <w:lang w:val="es-ES" w:eastAsia="es-ES"/>
    </w:rPr>
  </w:style>
  <w:style w:type="paragraph" w:styleId="Piedepgina">
    <w:name w:val="footer"/>
    <w:basedOn w:val="Normal"/>
    <w:link w:val="PiedepginaCar"/>
    <w:uiPriority w:val="99"/>
    <w:rsid w:val="0037578E"/>
    <w:pPr>
      <w:tabs>
        <w:tab w:val="center" w:pos="4419"/>
        <w:tab w:val="right" w:pos="8838"/>
      </w:tabs>
    </w:pPr>
  </w:style>
  <w:style w:type="character" w:customStyle="1" w:styleId="PiedepginaCar">
    <w:name w:val="Pie de página Car"/>
    <w:basedOn w:val="Fuentedeprrafopredeter"/>
    <w:link w:val="Piedepgina"/>
    <w:uiPriority w:val="99"/>
    <w:rsid w:val="0037578E"/>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7578E"/>
  </w:style>
  <w:style w:type="paragraph" w:styleId="Encabezado">
    <w:name w:val="header"/>
    <w:basedOn w:val="Normal"/>
    <w:link w:val="EncabezadoCar"/>
    <w:uiPriority w:val="99"/>
    <w:rsid w:val="0037578E"/>
    <w:pPr>
      <w:tabs>
        <w:tab w:val="center" w:pos="4419"/>
        <w:tab w:val="right" w:pos="8838"/>
      </w:tabs>
    </w:pPr>
  </w:style>
  <w:style w:type="character" w:customStyle="1" w:styleId="EncabezadoCar">
    <w:name w:val="Encabezado Car"/>
    <w:basedOn w:val="Fuentedeprrafopredeter"/>
    <w:link w:val="Encabezado"/>
    <w:uiPriority w:val="99"/>
    <w:rsid w:val="0037578E"/>
    <w:rPr>
      <w:rFonts w:ascii="Times New Roman" w:eastAsia="Times New Roman" w:hAnsi="Times New Roman" w:cs="Times New Roman"/>
      <w:sz w:val="24"/>
      <w:szCs w:val="24"/>
      <w:lang w:val="es-ES" w:eastAsia="es-ES"/>
    </w:rPr>
  </w:style>
  <w:style w:type="character" w:styleId="Hipervnculo">
    <w:name w:val="Hyperlink"/>
    <w:uiPriority w:val="99"/>
    <w:unhideWhenUsed/>
    <w:rsid w:val="0037578E"/>
    <w:rPr>
      <w:color w:val="0000FF"/>
      <w:u w:val="single"/>
    </w:rPr>
  </w:style>
  <w:style w:type="paragraph" w:styleId="Prrafodelista">
    <w:name w:val="List Paragraph"/>
    <w:basedOn w:val="Normal"/>
    <w:uiPriority w:val="34"/>
    <w:qFormat/>
    <w:rsid w:val="0037578E"/>
    <w:pPr>
      <w:ind w:left="708"/>
    </w:pPr>
  </w:style>
  <w:style w:type="character" w:customStyle="1" w:styleId="Sangra2detindependienteCar">
    <w:name w:val="Sangría 2 de t. independiente Car"/>
    <w:basedOn w:val="Fuentedeprrafopredeter"/>
    <w:link w:val="Sangra2detindependiente"/>
    <w:uiPriority w:val="99"/>
    <w:semiHidden/>
    <w:rsid w:val="0037578E"/>
    <w:rPr>
      <w:rFonts w:ascii="Times New Roman" w:eastAsia="Times New Roman" w:hAnsi="Times New Roman" w:cs="Times New Roman"/>
      <w:sz w:val="24"/>
      <w:szCs w:val="24"/>
      <w:lang w:val="es-ES" w:eastAsia="es-ES"/>
    </w:rPr>
  </w:style>
  <w:style w:type="paragraph" w:styleId="Sangra2detindependiente">
    <w:name w:val="Body Text Indent 2"/>
    <w:basedOn w:val="Normal"/>
    <w:link w:val="Sangra2detindependienteCar"/>
    <w:uiPriority w:val="99"/>
    <w:semiHidden/>
    <w:unhideWhenUsed/>
    <w:rsid w:val="0037578E"/>
    <w:pPr>
      <w:spacing w:after="120" w:line="480" w:lineRule="auto"/>
      <w:ind w:left="283"/>
    </w:pPr>
  </w:style>
  <w:style w:type="character" w:customStyle="1" w:styleId="A12">
    <w:name w:val="A12"/>
    <w:uiPriority w:val="99"/>
    <w:rsid w:val="0037578E"/>
    <w:rPr>
      <w:rFonts w:cs="Univers LT"/>
      <w:b/>
      <w:bCs/>
      <w:color w:val="000000"/>
      <w:sz w:val="97"/>
      <w:szCs w:val="97"/>
    </w:rPr>
  </w:style>
  <w:style w:type="character" w:customStyle="1" w:styleId="TextodegloboCar">
    <w:name w:val="Texto de globo Car"/>
    <w:basedOn w:val="Fuentedeprrafopredeter"/>
    <w:link w:val="Textodeglobo"/>
    <w:uiPriority w:val="99"/>
    <w:rsid w:val="0037578E"/>
    <w:rPr>
      <w:rFonts w:ascii="Tahoma" w:eastAsia="Times New Roman" w:hAnsi="Tahoma" w:cs="Times New Roman"/>
      <w:sz w:val="16"/>
      <w:szCs w:val="16"/>
      <w:lang w:val="es-ES" w:eastAsia="es-ES"/>
    </w:rPr>
  </w:style>
  <w:style w:type="paragraph" w:styleId="Textodeglobo">
    <w:name w:val="Balloon Text"/>
    <w:basedOn w:val="Normal"/>
    <w:link w:val="TextodegloboCar"/>
    <w:uiPriority w:val="99"/>
    <w:unhideWhenUsed/>
    <w:rsid w:val="0037578E"/>
    <w:rPr>
      <w:rFonts w:ascii="Tahoma" w:hAnsi="Tahoma"/>
      <w:sz w:val="16"/>
      <w:szCs w:val="16"/>
    </w:rPr>
  </w:style>
  <w:style w:type="character" w:styleId="nfasis">
    <w:name w:val="Emphasis"/>
    <w:uiPriority w:val="20"/>
    <w:qFormat/>
    <w:rsid w:val="0037578E"/>
    <w:rPr>
      <w:i/>
      <w:iCs/>
    </w:rPr>
  </w:style>
  <w:style w:type="paragraph" w:styleId="Citadestacada">
    <w:name w:val="Intense Quote"/>
    <w:basedOn w:val="Normal"/>
    <w:next w:val="Normal"/>
    <w:link w:val="CitadestacadaCar"/>
    <w:uiPriority w:val="30"/>
    <w:qFormat/>
    <w:rsid w:val="0037578E"/>
    <w:pPr>
      <w:pBdr>
        <w:bottom w:val="single" w:sz="4" w:space="4" w:color="4F81BD"/>
      </w:pBdr>
      <w:spacing w:before="200" w:after="280" w:line="276" w:lineRule="auto"/>
      <w:ind w:left="936" w:right="936"/>
    </w:pPr>
    <w:rPr>
      <w:rFonts w:ascii="Calibri" w:eastAsia="Calibri" w:hAnsi="Calibri"/>
      <w:b/>
      <w:bCs/>
      <w:i/>
      <w:iCs/>
      <w:color w:val="4F81BD"/>
      <w:sz w:val="22"/>
      <w:szCs w:val="22"/>
      <w:lang w:eastAsia="en-US"/>
    </w:rPr>
  </w:style>
  <w:style w:type="character" w:customStyle="1" w:styleId="CitadestacadaCar">
    <w:name w:val="Cita destacada Car"/>
    <w:basedOn w:val="Fuentedeprrafopredeter"/>
    <w:link w:val="Citadestacada"/>
    <w:uiPriority w:val="30"/>
    <w:rsid w:val="0037578E"/>
    <w:rPr>
      <w:rFonts w:ascii="Calibri" w:eastAsia="Calibri" w:hAnsi="Calibri" w:cs="Times New Roman"/>
      <w:b/>
      <w:bCs/>
      <w:i/>
      <w:iCs/>
      <w:color w:val="4F81BD"/>
      <w:lang w:val="es-ES"/>
    </w:rPr>
  </w:style>
  <w:style w:type="paragraph" w:styleId="Textonotapie">
    <w:name w:val="footnote text"/>
    <w:basedOn w:val="Normal"/>
    <w:link w:val="TextonotapieCar"/>
    <w:uiPriority w:val="99"/>
    <w:semiHidden/>
    <w:unhideWhenUsed/>
    <w:rsid w:val="0037578E"/>
    <w:rPr>
      <w:rFonts w:ascii="Calibri" w:eastAsia="Calibri" w:hAnsi="Calibri"/>
      <w:sz w:val="20"/>
      <w:szCs w:val="20"/>
      <w:lang w:eastAsia="en-US"/>
    </w:rPr>
  </w:style>
  <w:style w:type="character" w:customStyle="1" w:styleId="TextonotapieCar">
    <w:name w:val="Texto nota pie Car"/>
    <w:basedOn w:val="Fuentedeprrafopredeter"/>
    <w:link w:val="Textonotapie"/>
    <w:uiPriority w:val="99"/>
    <w:semiHidden/>
    <w:rsid w:val="0037578E"/>
    <w:rPr>
      <w:rFonts w:ascii="Calibri" w:eastAsia="Calibri" w:hAnsi="Calibri" w:cs="Times New Roman"/>
      <w:sz w:val="20"/>
      <w:szCs w:val="20"/>
      <w:lang w:val="es-ES"/>
    </w:rPr>
  </w:style>
  <w:style w:type="character" w:styleId="Refdenotaalpie">
    <w:name w:val="footnote reference"/>
    <w:uiPriority w:val="99"/>
    <w:semiHidden/>
    <w:unhideWhenUsed/>
    <w:rsid w:val="0037578E"/>
    <w:rPr>
      <w:vertAlign w:val="superscript"/>
    </w:rPr>
  </w:style>
  <w:style w:type="character" w:customStyle="1" w:styleId="apple-converted-space">
    <w:name w:val="apple-converted-space"/>
    <w:basedOn w:val="Fuentedeprrafopredeter"/>
    <w:rsid w:val="0037578E"/>
  </w:style>
  <w:style w:type="character" w:styleId="Textoennegrita">
    <w:name w:val="Strong"/>
    <w:uiPriority w:val="22"/>
    <w:qFormat/>
    <w:rsid w:val="0037578E"/>
    <w:rPr>
      <w:b/>
      <w:bCs/>
    </w:rPr>
  </w:style>
  <w:style w:type="paragraph" w:customStyle="1" w:styleId="xl63">
    <w:name w:val="xl63"/>
    <w:basedOn w:val="Normal"/>
    <w:uiPriority w:val="99"/>
    <w:rsid w:val="0037578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Arial" w:hAnsi="Arial" w:cs="Arial"/>
      <w:b/>
      <w:bCs/>
      <w:sz w:val="16"/>
      <w:szCs w:val="16"/>
      <w:u w:val="single"/>
      <w:lang w:val="es-MX" w:eastAsia="es-MX"/>
    </w:rPr>
  </w:style>
  <w:style w:type="paragraph" w:customStyle="1" w:styleId="xl64">
    <w:name w:val="xl64"/>
    <w:basedOn w:val="Normal"/>
    <w:uiPriority w:val="99"/>
    <w:rsid w:val="0037578E"/>
    <w:pPr>
      <w:pBdr>
        <w:top w:val="single" w:sz="4" w:space="0" w:color="auto"/>
        <w:bottom w:val="single" w:sz="4" w:space="0" w:color="auto"/>
      </w:pBdr>
      <w:shd w:val="clear" w:color="000000" w:fill="FFFFFF"/>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65">
    <w:name w:val="xl65"/>
    <w:basedOn w:val="Normal"/>
    <w:uiPriority w:val="99"/>
    <w:rsid w:val="0037578E"/>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66">
    <w:name w:val="xl66"/>
    <w:basedOn w:val="Normal"/>
    <w:uiPriority w:val="99"/>
    <w:rsid w:val="0037578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67">
    <w:name w:val="xl67"/>
    <w:basedOn w:val="Normal"/>
    <w:uiPriority w:val="99"/>
    <w:rsid w:val="0037578E"/>
    <w:pPr>
      <w:pBdr>
        <w:top w:val="single" w:sz="4" w:space="0" w:color="auto"/>
        <w:bottom w:val="single" w:sz="4" w:space="0" w:color="auto"/>
      </w:pBdr>
      <w:shd w:val="clear" w:color="000000" w:fill="FFFFFF"/>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68">
    <w:name w:val="xl68"/>
    <w:basedOn w:val="Normal"/>
    <w:uiPriority w:val="99"/>
    <w:rsid w:val="0037578E"/>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69">
    <w:name w:val="xl69"/>
    <w:basedOn w:val="Normal"/>
    <w:uiPriority w:val="99"/>
    <w:rsid w:val="0037578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6"/>
      <w:szCs w:val="16"/>
      <w:lang w:val="es-MX" w:eastAsia="es-MX"/>
    </w:rPr>
  </w:style>
  <w:style w:type="paragraph" w:customStyle="1" w:styleId="xl70">
    <w:name w:val="xl70"/>
    <w:basedOn w:val="Normal"/>
    <w:uiPriority w:val="99"/>
    <w:rsid w:val="0037578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6"/>
      <w:szCs w:val="16"/>
      <w:lang w:val="es-MX" w:eastAsia="es-MX"/>
    </w:rPr>
  </w:style>
  <w:style w:type="paragraph" w:customStyle="1" w:styleId="xl71">
    <w:name w:val="xl71"/>
    <w:basedOn w:val="Normal"/>
    <w:uiPriority w:val="99"/>
    <w:rsid w:val="0037578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6"/>
      <w:szCs w:val="16"/>
      <w:lang w:val="es-MX" w:eastAsia="es-MX"/>
    </w:rPr>
  </w:style>
  <w:style w:type="paragraph" w:customStyle="1" w:styleId="xl72">
    <w:name w:val="xl72"/>
    <w:basedOn w:val="Normal"/>
    <w:uiPriority w:val="99"/>
    <w:rsid w:val="0037578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s-MX" w:eastAsia="es-MX"/>
    </w:rPr>
  </w:style>
  <w:style w:type="paragraph" w:customStyle="1" w:styleId="xl73">
    <w:name w:val="xl73"/>
    <w:basedOn w:val="Normal"/>
    <w:uiPriority w:val="99"/>
    <w:rsid w:val="003757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6"/>
      <w:szCs w:val="16"/>
      <w:lang w:val="es-MX" w:eastAsia="es-MX"/>
    </w:rPr>
  </w:style>
  <w:style w:type="paragraph" w:customStyle="1" w:styleId="xl74">
    <w:name w:val="xl74"/>
    <w:basedOn w:val="Normal"/>
    <w:uiPriority w:val="99"/>
    <w:rsid w:val="003757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6"/>
      <w:szCs w:val="16"/>
      <w:lang w:val="es-MX" w:eastAsia="es-MX"/>
    </w:rPr>
  </w:style>
  <w:style w:type="paragraph" w:customStyle="1" w:styleId="xl75">
    <w:name w:val="xl75"/>
    <w:basedOn w:val="Normal"/>
    <w:uiPriority w:val="99"/>
    <w:rsid w:val="0037578E"/>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MX" w:eastAsia="es-MX"/>
    </w:rPr>
  </w:style>
  <w:style w:type="paragraph" w:customStyle="1" w:styleId="xl76">
    <w:name w:val="xl76"/>
    <w:basedOn w:val="Normal"/>
    <w:uiPriority w:val="99"/>
    <w:rsid w:val="0037578E"/>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Arial" w:hAnsi="Arial" w:cs="Arial"/>
      <w:sz w:val="16"/>
      <w:szCs w:val="16"/>
      <w:lang w:val="es-MX" w:eastAsia="es-MX"/>
    </w:rPr>
  </w:style>
  <w:style w:type="paragraph" w:customStyle="1" w:styleId="xl77">
    <w:name w:val="xl77"/>
    <w:basedOn w:val="Normal"/>
    <w:uiPriority w:val="99"/>
    <w:rsid w:val="0037578E"/>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Arial" w:hAnsi="Arial" w:cs="Arial"/>
      <w:b/>
      <w:bCs/>
      <w:sz w:val="16"/>
      <w:szCs w:val="16"/>
      <w:lang w:val="es-MX" w:eastAsia="es-MX"/>
    </w:rPr>
  </w:style>
  <w:style w:type="paragraph" w:customStyle="1" w:styleId="xl78">
    <w:name w:val="xl78"/>
    <w:basedOn w:val="Normal"/>
    <w:uiPriority w:val="99"/>
    <w:rsid w:val="0037578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lang w:val="es-MX" w:eastAsia="es-MX"/>
    </w:rPr>
  </w:style>
  <w:style w:type="paragraph" w:customStyle="1" w:styleId="xl79">
    <w:name w:val="xl79"/>
    <w:basedOn w:val="Normal"/>
    <w:uiPriority w:val="99"/>
    <w:rsid w:val="003757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6"/>
      <w:szCs w:val="16"/>
      <w:lang w:val="es-MX" w:eastAsia="es-MX"/>
    </w:rPr>
  </w:style>
  <w:style w:type="paragraph" w:customStyle="1" w:styleId="xl80">
    <w:name w:val="xl80"/>
    <w:basedOn w:val="Normal"/>
    <w:uiPriority w:val="99"/>
    <w:rsid w:val="0037578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81">
    <w:name w:val="xl81"/>
    <w:basedOn w:val="Normal"/>
    <w:uiPriority w:val="99"/>
    <w:rsid w:val="0037578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lang w:val="es-MX" w:eastAsia="es-MX"/>
    </w:rPr>
  </w:style>
  <w:style w:type="paragraph" w:customStyle="1" w:styleId="xl82">
    <w:name w:val="xl82"/>
    <w:basedOn w:val="Normal"/>
    <w:uiPriority w:val="99"/>
    <w:rsid w:val="003757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6"/>
      <w:szCs w:val="16"/>
      <w:lang w:val="es-MX" w:eastAsia="es-MX"/>
    </w:rPr>
  </w:style>
  <w:style w:type="paragraph" w:customStyle="1" w:styleId="xl83">
    <w:name w:val="xl83"/>
    <w:basedOn w:val="Normal"/>
    <w:uiPriority w:val="99"/>
    <w:rsid w:val="003757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lang w:val="es-MX" w:eastAsia="es-MX"/>
    </w:rPr>
  </w:style>
  <w:style w:type="paragraph" w:customStyle="1" w:styleId="xl84">
    <w:name w:val="xl84"/>
    <w:basedOn w:val="Normal"/>
    <w:uiPriority w:val="99"/>
    <w:rsid w:val="0037578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85">
    <w:name w:val="xl85"/>
    <w:basedOn w:val="Normal"/>
    <w:uiPriority w:val="99"/>
    <w:rsid w:val="0037578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6"/>
      <w:szCs w:val="16"/>
      <w:lang w:val="es-MX" w:eastAsia="es-MX"/>
    </w:rPr>
  </w:style>
  <w:style w:type="paragraph" w:customStyle="1" w:styleId="xl86">
    <w:name w:val="xl86"/>
    <w:basedOn w:val="Normal"/>
    <w:uiPriority w:val="99"/>
    <w:rsid w:val="003757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b/>
      <w:bCs/>
      <w:sz w:val="16"/>
      <w:szCs w:val="16"/>
      <w:lang w:val="es-MX" w:eastAsia="es-MX"/>
    </w:rPr>
  </w:style>
  <w:style w:type="paragraph" w:customStyle="1" w:styleId="xl87">
    <w:name w:val="xl87"/>
    <w:basedOn w:val="Normal"/>
    <w:uiPriority w:val="99"/>
    <w:rsid w:val="0037578E"/>
    <w:pPr>
      <w:pBdr>
        <w:top w:val="single" w:sz="4" w:space="0" w:color="auto"/>
        <w:left w:val="single" w:sz="4" w:space="0" w:color="auto"/>
        <w:bottom w:val="single" w:sz="4" w:space="0" w:color="auto"/>
      </w:pBdr>
      <w:spacing w:before="100" w:beforeAutospacing="1" w:after="100" w:afterAutospacing="1"/>
      <w:jc w:val="center"/>
    </w:pPr>
    <w:rPr>
      <w:b/>
      <w:bCs/>
      <w:sz w:val="16"/>
      <w:szCs w:val="16"/>
      <w:lang w:val="es-MX" w:eastAsia="es-MX"/>
    </w:rPr>
  </w:style>
  <w:style w:type="paragraph" w:customStyle="1" w:styleId="xl88">
    <w:name w:val="xl88"/>
    <w:basedOn w:val="Normal"/>
    <w:uiPriority w:val="99"/>
    <w:rsid w:val="0037578E"/>
    <w:pPr>
      <w:pBdr>
        <w:top w:val="single" w:sz="4" w:space="0" w:color="auto"/>
        <w:bottom w:val="single" w:sz="4" w:space="0" w:color="auto"/>
      </w:pBdr>
      <w:spacing w:before="100" w:beforeAutospacing="1" w:after="100" w:afterAutospacing="1"/>
      <w:jc w:val="center"/>
    </w:pPr>
    <w:rPr>
      <w:b/>
      <w:bCs/>
      <w:sz w:val="16"/>
      <w:szCs w:val="16"/>
      <w:lang w:val="es-MX" w:eastAsia="es-MX"/>
    </w:rPr>
  </w:style>
  <w:style w:type="paragraph" w:customStyle="1" w:styleId="xl89">
    <w:name w:val="xl89"/>
    <w:basedOn w:val="Normal"/>
    <w:uiPriority w:val="99"/>
    <w:rsid w:val="0037578E"/>
    <w:pPr>
      <w:pBdr>
        <w:top w:val="single" w:sz="4" w:space="0" w:color="auto"/>
        <w:bottom w:val="single" w:sz="4" w:space="0" w:color="auto"/>
        <w:right w:val="single" w:sz="4" w:space="0" w:color="auto"/>
      </w:pBdr>
      <w:spacing w:before="100" w:beforeAutospacing="1" w:after="100" w:afterAutospacing="1"/>
      <w:jc w:val="center"/>
    </w:pPr>
    <w:rPr>
      <w:b/>
      <w:bCs/>
      <w:sz w:val="16"/>
      <w:szCs w:val="16"/>
      <w:lang w:val="es-MX" w:eastAsia="es-MX"/>
    </w:rPr>
  </w:style>
  <w:style w:type="paragraph" w:customStyle="1" w:styleId="xl90">
    <w:name w:val="xl90"/>
    <w:basedOn w:val="Normal"/>
    <w:uiPriority w:val="99"/>
    <w:rsid w:val="0037578E"/>
    <w:pPr>
      <w:spacing w:before="100" w:beforeAutospacing="1" w:after="100" w:afterAutospacing="1"/>
    </w:pPr>
    <w:rPr>
      <w:sz w:val="16"/>
      <w:szCs w:val="16"/>
      <w:lang w:val="es-MX" w:eastAsia="es-MX"/>
    </w:rPr>
  </w:style>
  <w:style w:type="paragraph" w:customStyle="1" w:styleId="xl91">
    <w:name w:val="xl91"/>
    <w:basedOn w:val="Normal"/>
    <w:uiPriority w:val="99"/>
    <w:rsid w:val="0037578E"/>
    <w:pPr>
      <w:spacing w:before="100" w:beforeAutospacing="1" w:after="100" w:afterAutospacing="1"/>
    </w:pPr>
    <w:rPr>
      <w:sz w:val="16"/>
      <w:szCs w:val="16"/>
      <w:lang w:val="es-MX" w:eastAsia="es-MX"/>
    </w:rPr>
  </w:style>
  <w:style w:type="paragraph" w:customStyle="1" w:styleId="xl92">
    <w:name w:val="xl92"/>
    <w:basedOn w:val="Normal"/>
    <w:uiPriority w:val="99"/>
    <w:rsid w:val="0037578E"/>
    <w:pPr>
      <w:spacing w:before="100" w:beforeAutospacing="1" w:after="100" w:afterAutospacing="1"/>
      <w:textAlignment w:val="center"/>
    </w:pPr>
    <w:rPr>
      <w:sz w:val="16"/>
      <w:szCs w:val="16"/>
      <w:lang w:val="es-MX" w:eastAsia="es-MX"/>
    </w:rPr>
  </w:style>
  <w:style w:type="paragraph" w:customStyle="1" w:styleId="xl93">
    <w:name w:val="xl93"/>
    <w:basedOn w:val="Normal"/>
    <w:uiPriority w:val="99"/>
    <w:rsid w:val="0037578E"/>
    <w:pPr>
      <w:shd w:val="clear" w:color="000000" w:fill="FFFFFF"/>
      <w:spacing w:before="100" w:beforeAutospacing="1" w:after="100" w:afterAutospacing="1"/>
      <w:textAlignment w:val="center"/>
    </w:pPr>
    <w:rPr>
      <w:sz w:val="16"/>
      <w:szCs w:val="16"/>
      <w:lang w:val="es-MX" w:eastAsia="es-MX"/>
    </w:rPr>
  </w:style>
  <w:style w:type="paragraph" w:customStyle="1" w:styleId="xl94">
    <w:name w:val="xl94"/>
    <w:basedOn w:val="Normal"/>
    <w:uiPriority w:val="99"/>
    <w:rsid w:val="0037578E"/>
    <w:pPr>
      <w:shd w:val="clear" w:color="000000" w:fill="FFFFFF"/>
      <w:spacing w:before="100" w:beforeAutospacing="1" w:after="100" w:afterAutospacing="1"/>
      <w:textAlignment w:val="center"/>
    </w:pPr>
    <w:rPr>
      <w:b/>
      <w:bCs/>
      <w:sz w:val="16"/>
      <w:szCs w:val="16"/>
      <w:lang w:val="es-MX" w:eastAsia="es-MX"/>
    </w:rPr>
  </w:style>
  <w:style w:type="paragraph" w:customStyle="1" w:styleId="xl95">
    <w:name w:val="xl95"/>
    <w:basedOn w:val="Normal"/>
    <w:uiPriority w:val="99"/>
    <w:rsid w:val="003757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lang w:val="es-MX" w:eastAsia="es-MX"/>
    </w:rPr>
  </w:style>
  <w:style w:type="paragraph" w:customStyle="1" w:styleId="xl96">
    <w:name w:val="xl96"/>
    <w:basedOn w:val="Normal"/>
    <w:uiPriority w:val="99"/>
    <w:rsid w:val="003757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b/>
      <w:bCs/>
      <w:sz w:val="16"/>
      <w:szCs w:val="16"/>
      <w:lang w:val="es-MX" w:eastAsia="es-MX"/>
    </w:rPr>
  </w:style>
  <w:style w:type="paragraph" w:customStyle="1" w:styleId="xl97">
    <w:name w:val="xl97"/>
    <w:basedOn w:val="Normal"/>
    <w:uiPriority w:val="99"/>
    <w:rsid w:val="0037578E"/>
    <w:pPr>
      <w:spacing w:before="100" w:beforeAutospacing="1" w:after="100" w:afterAutospacing="1"/>
    </w:pPr>
    <w:rPr>
      <w:sz w:val="16"/>
      <w:szCs w:val="16"/>
      <w:lang w:val="es-MX" w:eastAsia="es-MX"/>
    </w:rPr>
  </w:style>
  <w:style w:type="character" w:customStyle="1" w:styleId="TextocomentarioCar">
    <w:name w:val="Texto comentario Car"/>
    <w:basedOn w:val="Fuentedeprrafopredeter"/>
    <w:link w:val="Textocomentario"/>
    <w:uiPriority w:val="99"/>
    <w:rsid w:val="0037578E"/>
    <w:rPr>
      <w:rFonts w:ascii="Times New Roman" w:eastAsia="Times New Roman" w:hAnsi="Times New Roman" w:cs="Times New Roman"/>
      <w:sz w:val="20"/>
      <w:szCs w:val="20"/>
      <w:lang w:val="es-ES" w:eastAsia="es-ES"/>
    </w:rPr>
  </w:style>
  <w:style w:type="paragraph" w:styleId="Textocomentario">
    <w:name w:val="annotation text"/>
    <w:basedOn w:val="Normal"/>
    <w:link w:val="TextocomentarioCar"/>
    <w:uiPriority w:val="99"/>
    <w:unhideWhenUsed/>
    <w:rsid w:val="0037578E"/>
    <w:rPr>
      <w:sz w:val="20"/>
      <w:szCs w:val="20"/>
    </w:rPr>
  </w:style>
  <w:style w:type="character" w:customStyle="1" w:styleId="AsuntodelcomentarioCar">
    <w:name w:val="Asunto del comentario Car"/>
    <w:basedOn w:val="TextocomentarioCar"/>
    <w:link w:val="Asuntodelcomentario"/>
    <w:uiPriority w:val="99"/>
    <w:semiHidden/>
    <w:rsid w:val="0037578E"/>
    <w:rPr>
      <w:rFonts w:ascii="Times New Roman" w:eastAsia="Times New Roman" w:hAnsi="Times New Roman" w:cs="Times New Roman"/>
      <w:b/>
      <w:bCs/>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7578E"/>
    <w:rPr>
      <w:b/>
      <w:bCs/>
    </w:rPr>
  </w:style>
  <w:style w:type="paragraph" w:customStyle="1" w:styleId="Texto">
    <w:name w:val="Texto"/>
    <w:basedOn w:val="Normal"/>
    <w:link w:val="TextoCar"/>
    <w:qFormat/>
    <w:rsid w:val="0037578E"/>
    <w:pPr>
      <w:spacing w:after="101" w:line="216" w:lineRule="exact"/>
      <w:ind w:firstLine="288"/>
      <w:jc w:val="both"/>
    </w:pPr>
    <w:rPr>
      <w:rFonts w:ascii="Arial" w:hAnsi="Arial" w:cs="Arial"/>
      <w:sz w:val="18"/>
      <w:szCs w:val="20"/>
    </w:rPr>
  </w:style>
  <w:style w:type="character" w:customStyle="1" w:styleId="TextoCar">
    <w:name w:val="Texto Car"/>
    <w:link w:val="Texto"/>
    <w:locked/>
    <w:rsid w:val="0037578E"/>
    <w:rPr>
      <w:rFonts w:ascii="Arial" w:eastAsia="Times New Roman" w:hAnsi="Arial" w:cs="Arial"/>
      <w:sz w:val="18"/>
      <w:szCs w:val="20"/>
      <w:lang w:val="es-ES" w:eastAsia="es-ES"/>
    </w:rPr>
  </w:style>
  <w:style w:type="paragraph" w:styleId="Textosinformato">
    <w:name w:val="Plain Text"/>
    <w:basedOn w:val="Normal"/>
    <w:link w:val="TextosinformatoCar"/>
    <w:uiPriority w:val="99"/>
    <w:rsid w:val="0037578E"/>
    <w:rPr>
      <w:rFonts w:ascii="Courier New" w:hAnsi="Courier New" w:cs="Courier New"/>
      <w:sz w:val="20"/>
      <w:szCs w:val="20"/>
    </w:rPr>
  </w:style>
  <w:style w:type="character" w:customStyle="1" w:styleId="TextosinformatoCar">
    <w:name w:val="Texto sin formato Car"/>
    <w:basedOn w:val="Fuentedeprrafopredeter"/>
    <w:link w:val="Textosinformato"/>
    <w:uiPriority w:val="99"/>
    <w:rsid w:val="0037578E"/>
    <w:rPr>
      <w:rFonts w:ascii="Courier New" w:eastAsia="Times New Roman" w:hAnsi="Courier New" w:cs="Courier New"/>
      <w:sz w:val="20"/>
      <w:szCs w:val="20"/>
      <w:lang w:val="es-ES" w:eastAsia="es-ES"/>
    </w:rPr>
  </w:style>
  <w:style w:type="numbering" w:customStyle="1" w:styleId="Sinlista1">
    <w:name w:val="Sin lista1"/>
    <w:next w:val="Sinlista"/>
    <w:uiPriority w:val="99"/>
    <w:semiHidden/>
    <w:unhideWhenUsed/>
    <w:rsid w:val="00B8501C"/>
  </w:style>
  <w:style w:type="table" w:styleId="Tablaconcuadrcula">
    <w:name w:val="Table Grid"/>
    <w:basedOn w:val="Tablanormal"/>
    <w:uiPriority w:val="39"/>
    <w:rsid w:val="00B8501C"/>
    <w:pPr>
      <w:spacing w:after="0" w:line="240" w:lineRule="auto"/>
    </w:pPr>
    <w:rPr>
      <w:rFonts w:ascii="Arial" w:eastAsia="Calibri" w:hAnsi="Arial" w:cs="Arial"/>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uiPriority w:val="99"/>
    <w:semiHidden/>
    <w:unhideWhenUsed/>
    <w:rsid w:val="00B8501C"/>
    <w:rPr>
      <w:sz w:val="16"/>
      <w:szCs w:val="16"/>
    </w:rPr>
  </w:style>
  <w:style w:type="paragraph" w:styleId="Revisin">
    <w:name w:val="Revision"/>
    <w:hidden/>
    <w:uiPriority w:val="99"/>
    <w:semiHidden/>
    <w:rsid w:val="00B8501C"/>
    <w:pPr>
      <w:spacing w:after="0" w:line="240" w:lineRule="auto"/>
    </w:pPr>
    <w:rPr>
      <w:rFonts w:ascii="Arial" w:eastAsia="Calibri" w:hAnsi="Arial" w:cs="Arial"/>
      <w:sz w:val="24"/>
      <w:szCs w:val="24"/>
    </w:rPr>
  </w:style>
  <w:style w:type="numbering" w:customStyle="1" w:styleId="Sinlista11">
    <w:name w:val="Sin lista11"/>
    <w:next w:val="Sinlista"/>
    <w:uiPriority w:val="99"/>
    <w:semiHidden/>
    <w:unhideWhenUsed/>
    <w:rsid w:val="00B8501C"/>
  </w:style>
  <w:style w:type="paragraph" w:customStyle="1" w:styleId="Estilo">
    <w:name w:val="Estilo"/>
    <w:basedOn w:val="Sinespaciado"/>
    <w:link w:val="EstiloCar"/>
    <w:qFormat/>
    <w:rsid w:val="00B8501C"/>
    <w:rPr>
      <w:rFonts w:ascii="Arial" w:eastAsia="Times New Roman" w:hAnsi="Arial"/>
      <w:sz w:val="20"/>
    </w:rPr>
  </w:style>
  <w:style w:type="paragraph" w:styleId="Sinespaciado">
    <w:name w:val="No Spacing"/>
    <w:link w:val="SinespaciadoCar"/>
    <w:uiPriority w:val="1"/>
    <w:qFormat/>
    <w:rsid w:val="00B8501C"/>
    <w:pPr>
      <w:spacing w:after="0" w:line="240" w:lineRule="auto"/>
      <w:jc w:val="both"/>
    </w:pPr>
    <w:rPr>
      <w:rFonts w:ascii="Calibri" w:eastAsia="Calibri" w:hAnsi="Calibri" w:cs="Times New Roman"/>
      <w:lang w:val="es-ES" w:eastAsia="es-ES"/>
    </w:rPr>
  </w:style>
  <w:style w:type="character" w:customStyle="1" w:styleId="EstiloCar">
    <w:name w:val="Estilo Car"/>
    <w:link w:val="Estilo"/>
    <w:rsid w:val="00B8501C"/>
    <w:rPr>
      <w:rFonts w:ascii="Arial" w:eastAsia="Times New Roman" w:hAnsi="Arial" w:cs="Times New Roman"/>
      <w:sz w:val="20"/>
      <w:lang w:val="es-ES" w:eastAsia="es-ES"/>
    </w:rPr>
  </w:style>
  <w:style w:type="character" w:customStyle="1" w:styleId="TextodegloboCar1">
    <w:name w:val="Texto de globo Car1"/>
    <w:uiPriority w:val="99"/>
    <w:semiHidden/>
    <w:rsid w:val="00B8501C"/>
    <w:rPr>
      <w:rFonts w:ascii="Tahoma" w:hAnsi="Tahoma" w:cs="Tahoma"/>
      <w:sz w:val="16"/>
      <w:szCs w:val="16"/>
    </w:rPr>
  </w:style>
  <w:style w:type="character" w:customStyle="1" w:styleId="PuestoCar">
    <w:name w:val="Puesto Car"/>
    <w:link w:val="Puesto"/>
    <w:uiPriority w:val="99"/>
    <w:rsid w:val="00B8501C"/>
    <w:rPr>
      <w:rFonts w:ascii="Cambria" w:eastAsia="Times New Roman" w:hAnsi="Cambria" w:cs="Times New Roman"/>
      <w:color w:val="17365D"/>
      <w:spacing w:val="5"/>
      <w:kern w:val="28"/>
      <w:sz w:val="52"/>
      <w:szCs w:val="52"/>
      <w:lang w:val="es-ES" w:eastAsia="es-ES"/>
    </w:rPr>
  </w:style>
  <w:style w:type="character" w:styleId="Ttulodellibro">
    <w:name w:val="Book Title"/>
    <w:uiPriority w:val="33"/>
    <w:qFormat/>
    <w:rsid w:val="00B8501C"/>
    <w:rPr>
      <w:b/>
      <w:bCs/>
      <w:smallCaps/>
      <w:spacing w:val="5"/>
    </w:rPr>
  </w:style>
  <w:style w:type="character" w:styleId="Referenciasutil">
    <w:name w:val="Subtle Reference"/>
    <w:uiPriority w:val="31"/>
    <w:qFormat/>
    <w:rsid w:val="00B8501C"/>
    <w:rPr>
      <w:smallCaps/>
      <w:color w:val="C0504D"/>
      <w:u w:val="single"/>
    </w:rPr>
  </w:style>
  <w:style w:type="paragraph" w:customStyle="1" w:styleId="Estilo2">
    <w:name w:val="Estilo2"/>
    <w:basedOn w:val="Estilo"/>
    <w:link w:val="Estilo2Car"/>
    <w:rsid w:val="00B8501C"/>
    <w:pPr>
      <w:spacing w:line="360" w:lineRule="auto"/>
    </w:pPr>
  </w:style>
  <w:style w:type="character" w:customStyle="1" w:styleId="Estilo2Car">
    <w:name w:val="Estilo2 Car"/>
    <w:link w:val="Estilo2"/>
    <w:rsid w:val="00B8501C"/>
    <w:rPr>
      <w:rFonts w:ascii="Arial" w:eastAsia="Times New Roman" w:hAnsi="Arial" w:cs="Times New Roman"/>
      <w:sz w:val="20"/>
      <w:lang w:val="es-ES" w:eastAsia="es-ES"/>
    </w:rPr>
  </w:style>
  <w:style w:type="paragraph" w:customStyle="1" w:styleId="WW-BodyText2">
    <w:name w:val="WW-Body Text 2"/>
    <w:basedOn w:val="Normal"/>
    <w:uiPriority w:val="99"/>
    <w:rsid w:val="00B8501C"/>
    <w:pPr>
      <w:suppressAutoHyphens/>
      <w:ind w:right="424"/>
      <w:jc w:val="both"/>
    </w:pPr>
    <w:rPr>
      <w:rFonts w:ascii="Arial" w:hAnsi="Arial" w:cs="Arial"/>
      <w:szCs w:val="20"/>
      <w:lang w:val="es-ES_tradnl" w:eastAsia="ar-SA"/>
    </w:rPr>
  </w:style>
  <w:style w:type="character" w:customStyle="1" w:styleId="AsuntodelcomentarioCar1">
    <w:name w:val="Asunto del comentario Car1"/>
    <w:basedOn w:val="TextocomentarioCar"/>
    <w:uiPriority w:val="99"/>
    <w:rsid w:val="00B8501C"/>
    <w:rPr>
      <w:rFonts w:ascii="Calibri" w:eastAsia="Times New Roman" w:hAnsi="Calibri" w:cs="Times New Roman"/>
      <w:b/>
      <w:bCs/>
      <w:sz w:val="20"/>
      <w:szCs w:val="20"/>
      <w:lang w:val="es-ES" w:eastAsia="es-ES"/>
    </w:rPr>
  </w:style>
  <w:style w:type="paragraph" w:customStyle="1" w:styleId="Textoindependiente22">
    <w:name w:val="Texto independiente 22"/>
    <w:basedOn w:val="Normal"/>
    <w:uiPriority w:val="99"/>
    <w:rsid w:val="00B8501C"/>
    <w:pPr>
      <w:overflowPunct w:val="0"/>
      <w:autoSpaceDE w:val="0"/>
      <w:autoSpaceDN w:val="0"/>
      <w:adjustRightInd w:val="0"/>
      <w:ind w:right="424"/>
      <w:jc w:val="both"/>
      <w:textAlignment w:val="baseline"/>
    </w:pPr>
    <w:rPr>
      <w:rFonts w:ascii="Arial" w:hAnsi="Arial"/>
      <w:szCs w:val="20"/>
      <w:lang w:val="es-ES_tradnl"/>
    </w:rPr>
  </w:style>
  <w:style w:type="paragraph" w:styleId="Sangra3detindependiente">
    <w:name w:val="Body Text Indent 3"/>
    <w:basedOn w:val="Normal"/>
    <w:link w:val="Sangra3detindependienteCar"/>
    <w:uiPriority w:val="99"/>
    <w:rsid w:val="00B8501C"/>
    <w:pPr>
      <w:spacing w:after="120"/>
      <w:ind w:left="283"/>
    </w:pPr>
    <w:rPr>
      <w:sz w:val="16"/>
      <w:szCs w:val="16"/>
      <w:lang w:val="es-MX" w:eastAsia="es-MX"/>
    </w:rPr>
  </w:style>
  <w:style w:type="character" w:customStyle="1" w:styleId="Sangra3detindependienteCar">
    <w:name w:val="Sangría 3 de t. independiente Car"/>
    <w:basedOn w:val="Fuentedeprrafopredeter"/>
    <w:link w:val="Sangra3detindependiente"/>
    <w:uiPriority w:val="99"/>
    <w:rsid w:val="00B8501C"/>
    <w:rPr>
      <w:rFonts w:ascii="Times New Roman" w:eastAsia="Times New Roman" w:hAnsi="Times New Roman" w:cs="Times New Roman"/>
      <w:sz w:val="16"/>
      <w:szCs w:val="16"/>
      <w:lang w:eastAsia="es-MX"/>
    </w:rPr>
  </w:style>
  <w:style w:type="paragraph" w:customStyle="1" w:styleId="xl30">
    <w:name w:val="xl30"/>
    <w:basedOn w:val="Normal"/>
    <w:uiPriority w:val="99"/>
    <w:rsid w:val="00B8501C"/>
    <w:pPr>
      <w:spacing w:before="100" w:beforeAutospacing="1" w:after="100" w:afterAutospacing="1"/>
    </w:pPr>
    <w:rPr>
      <w:rFonts w:ascii="Arial" w:eastAsia="Arial Unicode MS" w:hAnsi="Arial" w:cs="Arial"/>
    </w:rPr>
  </w:style>
  <w:style w:type="character" w:customStyle="1" w:styleId="SinespaciadoCar">
    <w:name w:val="Sin espaciado Car"/>
    <w:link w:val="Sinespaciado"/>
    <w:uiPriority w:val="1"/>
    <w:rsid w:val="00B8501C"/>
    <w:rPr>
      <w:rFonts w:ascii="Calibri" w:eastAsia="Calibri" w:hAnsi="Calibri" w:cs="Times New Roman"/>
      <w:lang w:val="es-ES" w:eastAsia="es-ES"/>
    </w:rPr>
  </w:style>
  <w:style w:type="character" w:styleId="Hipervnculovisitado">
    <w:name w:val="FollowedHyperlink"/>
    <w:uiPriority w:val="99"/>
    <w:semiHidden/>
    <w:unhideWhenUsed/>
    <w:rsid w:val="00B8501C"/>
    <w:rPr>
      <w:color w:val="800080"/>
      <w:u w:val="single"/>
    </w:rPr>
  </w:style>
  <w:style w:type="character" w:customStyle="1" w:styleId="ANOTACIONCar">
    <w:name w:val="ANOTACION Car"/>
    <w:link w:val="ANOTACION"/>
    <w:locked/>
    <w:rsid w:val="00B8501C"/>
    <w:rPr>
      <w:b/>
      <w:bCs/>
      <w:lang w:eastAsia="es-ES"/>
    </w:rPr>
  </w:style>
  <w:style w:type="paragraph" w:customStyle="1" w:styleId="ANOTACION">
    <w:name w:val="ANOTACION"/>
    <w:basedOn w:val="Normal"/>
    <w:link w:val="ANOTACIONCar"/>
    <w:rsid w:val="00B8501C"/>
    <w:pPr>
      <w:spacing w:before="101" w:after="101" w:line="216" w:lineRule="atLeast"/>
      <w:jc w:val="center"/>
    </w:pPr>
    <w:rPr>
      <w:rFonts w:asciiTheme="minorHAnsi" w:eastAsiaTheme="minorHAnsi" w:hAnsiTheme="minorHAnsi" w:cstheme="minorBidi"/>
      <w:b/>
      <w:bCs/>
      <w:sz w:val="22"/>
      <w:szCs w:val="22"/>
      <w:lang w:val="es-MX"/>
    </w:rPr>
  </w:style>
  <w:style w:type="character" w:customStyle="1" w:styleId="estilocorreo34">
    <w:name w:val="estilocorreo34"/>
    <w:semiHidden/>
    <w:rsid w:val="00B8501C"/>
    <w:rPr>
      <w:rFonts w:ascii="Calibri" w:hAnsi="Calibri" w:cs="Calibri" w:hint="default"/>
      <w:color w:val="auto"/>
    </w:rPr>
  </w:style>
  <w:style w:type="numbering" w:customStyle="1" w:styleId="Sinlista111">
    <w:name w:val="Sin lista111"/>
    <w:next w:val="Sinlista"/>
    <w:uiPriority w:val="99"/>
    <w:semiHidden/>
    <w:unhideWhenUsed/>
    <w:rsid w:val="00B8501C"/>
  </w:style>
  <w:style w:type="table" w:customStyle="1" w:styleId="Tablaconcuadrcula1">
    <w:name w:val="Tabla con cuadrícula1"/>
    <w:basedOn w:val="Tablanormal"/>
    <w:next w:val="Tablaconcuadrcula"/>
    <w:uiPriority w:val="59"/>
    <w:rsid w:val="00B8501C"/>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98">
    <w:name w:val="xl98"/>
    <w:basedOn w:val="Normal"/>
    <w:uiPriority w:val="99"/>
    <w:rsid w:val="00B8501C"/>
    <w:pPr>
      <w:pBdr>
        <w:top w:val="single" w:sz="8" w:space="0" w:color="auto"/>
        <w:left w:val="single" w:sz="8" w:space="0" w:color="auto"/>
        <w:right w:val="single" w:sz="8" w:space="0" w:color="auto"/>
      </w:pBdr>
      <w:spacing w:before="100" w:beforeAutospacing="1" w:after="100" w:afterAutospacing="1"/>
      <w:jc w:val="right"/>
      <w:textAlignment w:val="center"/>
    </w:pPr>
    <w:rPr>
      <w:color w:val="000000"/>
      <w:sz w:val="16"/>
      <w:szCs w:val="16"/>
      <w:lang w:val="es-MX" w:eastAsia="es-MX"/>
    </w:rPr>
  </w:style>
  <w:style w:type="paragraph" w:customStyle="1" w:styleId="xl99">
    <w:name w:val="xl99"/>
    <w:basedOn w:val="Normal"/>
    <w:uiPriority w:val="99"/>
    <w:rsid w:val="00B8501C"/>
    <w:pPr>
      <w:pBdr>
        <w:left w:val="single" w:sz="8" w:space="0" w:color="auto"/>
        <w:bottom w:val="single" w:sz="8" w:space="0" w:color="auto"/>
        <w:right w:val="single" w:sz="8" w:space="0" w:color="auto"/>
      </w:pBdr>
      <w:spacing w:before="100" w:beforeAutospacing="1" w:after="100" w:afterAutospacing="1"/>
      <w:jc w:val="right"/>
      <w:textAlignment w:val="center"/>
    </w:pPr>
    <w:rPr>
      <w:color w:val="000000"/>
      <w:sz w:val="16"/>
      <w:szCs w:val="16"/>
      <w:lang w:val="es-MX" w:eastAsia="es-MX"/>
    </w:rPr>
  </w:style>
  <w:style w:type="paragraph" w:customStyle="1" w:styleId="xl100">
    <w:name w:val="xl100"/>
    <w:basedOn w:val="Normal"/>
    <w:uiPriority w:val="99"/>
    <w:rsid w:val="00B8501C"/>
    <w:pPr>
      <w:pBdr>
        <w:top w:val="single" w:sz="8" w:space="0" w:color="auto"/>
        <w:left w:val="single" w:sz="8" w:space="0" w:color="auto"/>
        <w:right w:val="single" w:sz="8" w:space="0" w:color="auto"/>
      </w:pBdr>
      <w:spacing w:before="100" w:beforeAutospacing="1" w:after="100" w:afterAutospacing="1"/>
      <w:jc w:val="both"/>
      <w:textAlignment w:val="center"/>
    </w:pPr>
    <w:rPr>
      <w:b/>
      <w:bCs/>
      <w:color w:val="000000"/>
      <w:sz w:val="18"/>
      <w:szCs w:val="18"/>
      <w:lang w:val="es-MX" w:eastAsia="es-MX"/>
    </w:rPr>
  </w:style>
  <w:style w:type="paragraph" w:customStyle="1" w:styleId="xl101">
    <w:name w:val="xl101"/>
    <w:basedOn w:val="Normal"/>
    <w:uiPriority w:val="99"/>
    <w:rsid w:val="00B8501C"/>
    <w:pPr>
      <w:pBdr>
        <w:top w:val="single" w:sz="8" w:space="0" w:color="auto"/>
        <w:left w:val="single" w:sz="8" w:space="0" w:color="auto"/>
      </w:pBdr>
      <w:spacing w:before="100" w:beforeAutospacing="1" w:after="100" w:afterAutospacing="1"/>
      <w:textAlignment w:val="top"/>
    </w:pPr>
    <w:rPr>
      <w:lang w:val="es-MX" w:eastAsia="es-MX"/>
    </w:rPr>
  </w:style>
  <w:style w:type="paragraph" w:customStyle="1" w:styleId="xl102">
    <w:name w:val="xl102"/>
    <w:basedOn w:val="Normal"/>
    <w:uiPriority w:val="99"/>
    <w:rsid w:val="00B8501C"/>
    <w:pPr>
      <w:pBdr>
        <w:top w:val="single" w:sz="8" w:space="0" w:color="auto"/>
      </w:pBdr>
      <w:spacing w:before="100" w:beforeAutospacing="1" w:after="100" w:afterAutospacing="1"/>
      <w:textAlignment w:val="top"/>
    </w:pPr>
    <w:rPr>
      <w:lang w:val="es-MX" w:eastAsia="es-MX"/>
    </w:rPr>
  </w:style>
  <w:style w:type="paragraph" w:customStyle="1" w:styleId="xl103">
    <w:name w:val="xl103"/>
    <w:basedOn w:val="Normal"/>
    <w:uiPriority w:val="99"/>
    <w:rsid w:val="00B8501C"/>
    <w:pPr>
      <w:pBdr>
        <w:top w:val="single" w:sz="8" w:space="0" w:color="auto"/>
        <w:right w:val="single" w:sz="8" w:space="0" w:color="auto"/>
      </w:pBdr>
      <w:spacing w:before="100" w:beforeAutospacing="1" w:after="100" w:afterAutospacing="1"/>
      <w:textAlignment w:val="top"/>
    </w:pPr>
    <w:rPr>
      <w:lang w:val="es-MX" w:eastAsia="es-MX"/>
    </w:rPr>
  </w:style>
  <w:style w:type="paragraph" w:customStyle="1" w:styleId="xl104">
    <w:name w:val="xl104"/>
    <w:basedOn w:val="Normal"/>
    <w:uiPriority w:val="99"/>
    <w:rsid w:val="00B8501C"/>
    <w:pPr>
      <w:pBdr>
        <w:left w:val="single" w:sz="8" w:space="0" w:color="auto"/>
        <w:bottom w:val="single" w:sz="8" w:space="0" w:color="auto"/>
      </w:pBdr>
      <w:spacing w:before="100" w:beforeAutospacing="1" w:after="100" w:afterAutospacing="1"/>
      <w:textAlignment w:val="top"/>
    </w:pPr>
    <w:rPr>
      <w:lang w:val="es-MX" w:eastAsia="es-MX"/>
    </w:rPr>
  </w:style>
  <w:style w:type="paragraph" w:customStyle="1" w:styleId="xl105">
    <w:name w:val="xl105"/>
    <w:basedOn w:val="Normal"/>
    <w:uiPriority w:val="99"/>
    <w:rsid w:val="00B8501C"/>
    <w:pPr>
      <w:pBdr>
        <w:bottom w:val="single" w:sz="8" w:space="0" w:color="auto"/>
      </w:pBdr>
      <w:spacing w:before="100" w:beforeAutospacing="1" w:after="100" w:afterAutospacing="1"/>
      <w:textAlignment w:val="top"/>
    </w:pPr>
    <w:rPr>
      <w:lang w:val="es-MX" w:eastAsia="es-MX"/>
    </w:rPr>
  </w:style>
  <w:style w:type="paragraph" w:customStyle="1" w:styleId="xl106">
    <w:name w:val="xl106"/>
    <w:basedOn w:val="Normal"/>
    <w:uiPriority w:val="99"/>
    <w:rsid w:val="00B8501C"/>
    <w:pPr>
      <w:pBdr>
        <w:top w:val="single" w:sz="8" w:space="0" w:color="auto"/>
        <w:left w:val="single" w:sz="8" w:space="0" w:color="auto"/>
        <w:right w:val="single" w:sz="8" w:space="0" w:color="auto"/>
      </w:pBdr>
      <w:spacing w:before="100" w:beforeAutospacing="1" w:after="100" w:afterAutospacing="1"/>
      <w:jc w:val="right"/>
      <w:textAlignment w:val="center"/>
    </w:pPr>
    <w:rPr>
      <w:b/>
      <w:bCs/>
      <w:color w:val="000000"/>
      <w:sz w:val="16"/>
      <w:szCs w:val="16"/>
      <w:lang w:val="es-MX" w:eastAsia="es-MX"/>
    </w:rPr>
  </w:style>
  <w:style w:type="paragraph" w:customStyle="1" w:styleId="xl107">
    <w:name w:val="xl107"/>
    <w:basedOn w:val="Normal"/>
    <w:uiPriority w:val="99"/>
    <w:rsid w:val="00B8501C"/>
    <w:pPr>
      <w:pBdr>
        <w:left w:val="single" w:sz="8" w:space="0" w:color="auto"/>
        <w:bottom w:val="single" w:sz="8" w:space="0" w:color="auto"/>
        <w:right w:val="single" w:sz="8" w:space="0" w:color="auto"/>
      </w:pBdr>
      <w:spacing w:before="100" w:beforeAutospacing="1" w:after="100" w:afterAutospacing="1"/>
      <w:jc w:val="right"/>
      <w:textAlignment w:val="center"/>
    </w:pPr>
    <w:rPr>
      <w:b/>
      <w:bCs/>
      <w:color w:val="000000"/>
      <w:sz w:val="16"/>
      <w:szCs w:val="16"/>
      <w:lang w:val="es-MX" w:eastAsia="es-MX"/>
    </w:rPr>
  </w:style>
  <w:style w:type="paragraph" w:customStyle="1" w:styleId="xl108">
    <w:name w:val="xl108"/>
    <w:basedOn w:val="Normal"/>
    <w:uiPriority w:val="99"/>
    <w:rsid w:val="00B8501C"/>
    <w:pPr>
      <w:pBdr>
        <w:top w:val="single" w:sz="8" w:space="0" w:color="auto"/>
        <w:left w:val="single" w:sz="8" w:space="0" w:color="auto"/>
        <w:right w:val="single" w:sz="8" w:space="0" w:color="auto"/>
      </w:pBdr>
      <w:spacing w:before="100" w:beforeAutospacing="1" w:after="100" w:afterAutospacing="1"/>
      <w:textAlignment w:val="top"/>
    </w:pPr>
    <w:rPr>
      <w:lang w:val="es-MX" w:eastAsia="es-MX"/>
    </w:rPr>
  </w:style>
  <w:style w:type="paragraph" w:customStyle="1" w:styleId="xl109">
    <w:name w:val="xl109"/>
    <w:basedOn w:val="Normal"/>
    <w:uiPriority w:val="99"/>
    <w:rsid w:val="00B8501C"/>
    <w:pPr>
      <w:pBdr>
        <w:left w:val="single" w:sz="8" w:space="0" w:color="auto"/>
        <w:bottom w:val="single" w:sz="8" w:space="0" w:color="auto"/>
        <w:right w:val="single" w:sz="8" w:space="0" w:color="auto"/>
      </w:pBdr>
      <w:spacing w:before="100" w:beforeAutospacing="1" w:after="100" w:afterAutospacing="1"/>
      <w:textAlignment w:val="top"/>
    </w:pPr>
    <w:rPr>
      <w:lang w:val="es-MX" w:eastAsia="es-MX"/>
    </w:rPr>
  </w:style>
  <w:style w:type="paragraph" w:customStyle="1" w:styleId="xl110">
    <w:name w:val="xl110"/>
    <w:basedOn w:val="Normal"/>
    <w:uiPriority w:val="99"/>
    <w:rsid w:val="00B8501C"/>
    <w:pPr>
      <w:pBdr>
        <w:top w:val="single" w:sz="8" w:space="0" w:color="auto"/>
        <w:left w:val="single" w:sz="8" w:space="0" w:color="auto"/>
        <w:bottom w:val="single" w:sz="8" w:space="0" w:color="auto"/>
      </w:pBdr>
      <w:spacing w:before="100" w:beforeAutospacing="1" w:after="100" w:afterAutospacing="1"/>
      <w:textAlignment w:val="top"/>
    </w:pPr>
    <w:rPr>
      <w:b/>
      <w:bCs/>
      <w:sz w:val="18"/>
      <w:szCs w:val="18"/>
      <w:lang w:val="es-MX" w:eastAsia="es-MX"/>
    </w:rPr>
  </w:style>
  <w:style w:type="paragraph" w:customStyle="1" w:styleId="xl111">
    <w:name w:val="xl111"/>
    <w:basedOn w:val="Normal"/>
    <w:uiPriority w:val="99"/>
    <w:rsid w:val="00B8501C"/>
    <w:pPr>
      <w:pBdr>
        <w:top w:val="single" w:sz="8" w:space="0" w:color="auto"/>
        <w:bottom w:val="single" w:sz="8" w:space="0" w:color="auto"/>
      </w:pBdr>
      <w:spacing w:before="100" w:beforeAutospacing="1" w:after="100" w:afterAutospacing="1"/>
      <w:textAlignment w:val="top"/>
    </w:pPr>
    <w:rPr>
      <w:b/>
      <w:bCs/>
      <w:sz w:val="18"/>
      <w:szCs w:val="18"/>
      <w:lang w:val="es-MX" w:eastAsia="es-MX"/>
    </w:rPr>
  </w:style>
  <w:style w:type="paragraph" w:customStyle="1" w:styleId="xl112">
    <w:name w:val="xl112"/>
    <w:basedOn w:val="Normal"/>
    <w:uiPriority w:val="99"/>
    <w:rsid w:val="00B8501C"/>
    <w:pPr>
      <w:pBdr>
        <w:top w:val="single" w:sz="8" w:space="0" w:color="auto"/>
        <w:bottom w:val="single" w:sz="8" w:space="0" w:color="auto"/>
        <w:right w:val="single" w:sz="8" w:space="0" w:color="auto"/>
      </w:pBdr>
      <w:spacing w:before="100" w:beforeAutospacing="1" w:after="100" w:afterAutospacing="1"/>
      <w:textAlignment w:val="top"/>
    </w:pPr>
    <w:rPr>
      <w:b/>
      <w:bCs/>
      <w:sz w:val="18"/>
      <w:szCs w:val="18"/>
      <w:lang w:val="es-MX" w:eastAsia="es-MX"/>
    </w:rPr>
  </w:style>
  <w:style w:type="paragraph" w:customStyle="1" w:styleId="xl113">
    <w:name w:val="xl113"/>
    <w:basedOn w:val="Normal"/>
    <w:uiPriority w:val="99"/>
    <w:rsid w:val="00B8501C"/>
    <w:pPr>
      <w:pBdr>
        <w:left w:val="single" w:sz="8" w:space="0" w:color="auto"/>
        <w:right w:val="single" w:sz="8" w:space="0" w:color="auto"/>
      </w:pBdr>
      <w:spacing w:before="100" w:beforeAutospacing="1" w:after="100" w:afterAutospacing="1"/>
      <w:jc w:val="both"/>
      <w:textAlignment w:val="center"/>
    </w:pPr>
    <w:rPr>
      <w:color w:val="000000"/>
      <w:sz w:val="18"/>
      <w:szCs w:val="18"/>
      <w:lang w:val="es-MX" w:eastAsia="es-MX"/>
    </w:rPr>
  </w:style>
  <w:style w:type="paragraph" w:customStyle="1" w:styleId="xl114">
    <w:name w:val="xl114"/>
    <w:basedOn w:val="Normal"/>
    <w:uiPriority w:val="99"/>
    <w:rsid w:val="00B8501C"/>
    <w:pPr>
      <w:pBdr>
        <w:top w:val="single" w:sz="8" w:space="0" w:color="auto"/>
        <w:left w:val="single" w:sz="8" w:space="0" w:color="auto"/>
        <w:right w:val="single" w:sz="8" w:space="0" w:color="auto"/>
      </w:pBdr>
      <w:spacing w:before="100" w:beforeAutospacing="1" w:after="100" w:afterAutospacing="1"/>
      <w:jc w:val="right"/>
      <w:textAlignment w:val="center"/>
    </w:pPr>
    <w:rPr>
      <w:b/>
      <w:bCs/>
      <w:color w:val="000000"/>
      <w:sz w:val="16"/>
      <w:szCs w:val="16"/>
      <w:lang w:val="es-MX" w:eastAsia="es-MX"/>
    </w:rPr>
  </w:style>
  <w:style w:type="paragraph" w:customStyle="1" w:styleId="xl115">
    <w:name w:val="xl115"/>
    <w:basedOn w:val="Normal"/>
    <w:uiPriority w:val="99"/>
    <w:rsid w:val="00B8501C"/>
    <w:pPr>
      <w:pBdr>
        <w:left w:val="single" w:sz="8" w:space="0" w:color="auto"/>
        <w:bottom w:val="single" w:sz="8" w:space="0" w:color="auto"/>
        <w:right w:val="single" w:sz="8" w:space="0" w:color="auto"/>
      </w:pBdr>
      <w:spacing w:before="100" w:beforeAutospacing="1" w:after="100" w:afterAutospacing="1"/>
      <w:jc w:val="right"/>
      <w:textAlignment w:val="center"/>
    </w:pPr>
    <w:rPr>
      <w:b/>
      <w:bCs/>
      <w:color w:val="000000"/>
      <w:sz w:val="16"/>
      <w:szCs w:val="16"/>
      <w:lang w:val="es-MX" w:eastAsia="es-MX"/>
    </w:rPr>
  </w:style>
  <w:style w:type="paragraph" w:customStyle="1" w:styleId="xl116">
    <w:name w:val="xl116"/>
    <w:basedOn w:val="Normal"/>
    <w:uiPriority w:val="99"/>
    <w:rsid w:val="00B8501C"/>
    <w:pPr>
      <w:pBdr>
        <w:top w:val="single" w:sz="8" w:space="0" w:color="auto"/>
        <w:left w:val="single" w:sz="8" w:space="0" w:color="auto"/>
        <w:bottom w:val="single" w:sz="8" w:space="0" w:color="auto"/>
      </w:pBdr>
      <w:spacing w:before="100" w:beforeAutospacing="1" w:after="100" w:afterAutospacing="1"/>
      <w:jc w:val="right"/>
      <w:textAlignment w:val="center"/>
    </w:pPr>
    <w:rPr>
      <w:color w:val="000000"/>
      <w:sz w:val="16"/>
      <w:szCs w:val="16"/>
      <w:lang w:val="es-MX" w:eastAsia="es-MX"/>
    </w:rPr>
  </w:style>
  <w:style w:type="paragraph" w:customStyle="1" w:styleId="xl117">
    <w:name w:val="xl117"/>
    <w:basedOn w:val="Normal"/>
    <w:uiPriority w:val="99"/>
    <w:rsid w:val="00B8501C"/>
    <w:pPr>
      <w:pBdr>
        <w:top w:val="single" w:sz="8" w:space="0" w:color="auto"/>
        <w:bottom w:val="single" w:sz="8" w:space="0" w:color="auto"/>
      </w:pBdr>
      <w:spacing w:before="100" w:beforeAutospacing="1" w:after="100" w:afterAutospacing="1"/>
      <w:jc w:val="right"/>
      <w:textAlignment w:val="center"/>
    </w:pPr>
    <w:rPr>
      <w:color w:val="000000"/>
      <w:sz w:val="16"/>
      <w:szCs w:val="16"/>
      <w:lang w:val="es-MX" w:eastAsia="es-MX"/>
    </w:rPr>
  </w:style>
  <w:style w:type="paragraph" w:customStyle="1" w:styleId="xl118">
    <w:name w:val="xl118"/>
    <w:basedOn w:val="Normal"/>
    <w:uiPriority w:val="99"/>
    <w:rsid w:val="00B8501C"/>
    <w:pPr>
      <w:pBdr>
        <w:top w:val="single" w:sz="8" w:space="0" w:color="auto"/>
        <w:bottom w:val="single" w:sz="8" w:space="0" w:color="auto"/>
        <w:right w:val="single" w:sz="8" w:space="0" w:color="auto"/>
      </w:pBdr>
      <w:spacing w:before="100" w:beforeAutospacing="1" w:after="100" w:afterAutospacing="1"/>
      <w:jc w:val="right"/>
      <w:textAlignment w:val="center"/>
    </w:pPr>
    <w:rPr>
      <w:color w:val="000000"/>
      <w:sz w:val="16"/>
      <w:szCs w:val="16"/>
      <w:lang w:val="es-MX" w:eastAsia="es-MX"/>
    </w:rPr>
  </w:style>
  <w:style w:type="paragraph" w:customStyle="1" w:styleId="xl119">
    <w:name w:val="xl119"/>
    <w:basedOn w:val="Normal"/>
    <w:uiPriority w:val="99"/>
    <w:rsid w:val="00B8501C"/>
    <w:pPr>
      <w:pBdr>
        <w:bottom w:val="single" w:sz="8" w:space="0" w:color="auto"/>
        <w:right w:val="single" w:sz="8" w:space="0" w:color="auto"/>
      </w:pBdr>
      <w:spacing w:before="100" w:beforeAutospacing="1" w:after="100" w:afterAutospacing="1"/>
      <w:jc w:val="right"/>
      <w:textAlignment w:val="center"/>
    </w:pPr>
    <w:rPr>
      <w:b/>
      <w:bCs/>
      <w:color w:val="000000"/>
      <w:sz w:val="16"/>
      <w:szCs w:val="16"/>
      <w:lang w:val="es-MX" w:eastAsia="es-MX"/>
    </w:rPr>
  </w:style>
  <w:style w:type="paragraph" w:customStyle="1" w:styleId="xl120">
    <w:name w:val="xl120"/>
    <w:basedOn w:val="Normal"/>
    <w:uiPriority w:val="99"/>
    <w:rsid w:val="00B8501C"/>
    <w:pPr>
      <w:pBdr>
        <w:bottom w:val="single" w:sz="8" w:space="0" w:color="auto"/>
        <w:right w:val="single" w:sz="8" w:space="0" w:color="auto"/>
      </w:pBdr>
      <w:spacing w:before="100" w:beforeAutospacing="1" w:after="100" w:afterAutospacing="1"/>
      <w:jc w:val="both"/>
      <w:textAlignment w:val="center"/>
    </w:pPr>
    <w:rPr>
      <w:color w:val="000000"/>
      <w:sz w:val="18"/>
      <w:szCs w:val="18"/>
      <w:lang w:val="es-MX" w:eastAsia="es-MX"/>
    </w:rPr>
  </w:style>
  <w:style w:type="paragraph" w:customStyle="1" w:styleId="xl121">
    <w:name w:val="xl121"/>
    <w:basedOn w:val="Normal"/>
    <w:uiPriority w:val="99"/>
    <w:rsid w:val="00B8501C"/>
    <w:pPr>
      <w:pBdr>
        <w:bottom w:val="single" w:sz="8" w:space="0" w:color="auto"/>
        <w:right w:val="single" w:sz="8" w:space="0" w:color="auto"/>
      </w:pBdr>
      <w:spacing w:before="100" w:beforeAutospacing="1" w:after="100" w:afterAutospacing="1"/>
      <w:jc w:val="right"/>
      <w:textAlignment w:val="center"/>
    </w:pPr>
    <w:rPr>
      <w:color w:val="000000"/>
      <w:sz w:val="16"/>
      <w:szCs w:val="16"/>
      <w:lang w:val="es-MX" w:eastAsia="es-MX"/>
    </w:rPr>
  </w:style>
  <w:style w:type="paragraph" w:customStyle="1" w:styleId="xl122">
    <w:name w:val="xl122"/>
    <w:basedOn w:val="Normal"/>
    <w:uiPriority w:val="99"/>
    <w:rsid w:val="00B8501C"/>
    <w:pPr>
      <w:pBdr>
        <w:bottom w:val="single" w:sz="8" w:space="0" w:color="auto"/>
        <w:right w:val="single" w:sz="8" w:space="0" w:color="auto"/>
      </w:pBdr>
      <w:spacing w:before="100" w:beforeAutospacing="1" w:after="100" w:afterAutospacing="1"/>
      <w:jc w:val="right"/>
      <w:textAlignment w:val="center"/>
    </w:pPr>
    <w:rPr>
      <w:color w:val="000000"/>
      <w:sz w:val="16"/>
      <w:szCs w:val="16"/>
      <w:lang w:val="es-MX" w:eastAsia="es-MX"/>
    </w:rPr>
  </w:style>
  <w:style w:type="paragraph" w:customStyle="1" w:styleId="xl123">
    <w:name w:val="xl123"/>
    <w:basedOn w:val="Normal"/>
    <w:uiPriority w:val="99"/>
    <w:rsid w:val="00B8501C"/>
    <w:pPr>
      <w:pBdr>
        <w:left w:val="single" w:sz="8" w:space="0" w:color="auto"/>
        <w:bottom w:val="single" w:sz="8" w:space="0" w:color="auto"/>
        <w:right w:val="single" w:sz="8" w:space="0" w:color="auto"/>
      </w:pBdr>
      <w:spacing w:before="100" w:beforeAutospacing="1" w:after="100" w:afterAutospacing="1"/>
      <w:jc w:val="center"/>
      <w:textAlignment w:val="center"/>
    </w:pPr>
    <w:rPr>
      <w:color w:val="000000"/>
      <w:sz w:val="18"/>
      <w:szCs w:val="18"/>
      <w:lang w:val="es-MX" w:eastAsia="es-MX"/>
    </w:rPr>
  </w:style>
  <w:style w:type="paragraph" w:customStyle="1" w:styleId="xl124">
    <w:name w:val="xl124"/>
    <w:basedOn w:val="Normal"/>
    <w:uiPriority w:val="99"/>
    <w:rsid w:val="00B8501C"/>
    <w:pPr>
      <w:pBdr>
        <w:right w:val="single" w:sz="8" w:space="0" w:color="auto"/>
      </w:pBdr>
      <w:spacing w:before="100" w:beforeAutospacing="1" w:after="100" w:afterAutospacing="1"/>
      <w:jc w:val="center"/>
      <w:textAlignment w:val="center"/>
    </w:pPr>
    <w:rPr>
      <w:b/>
      <w:bCs/>
      <w:color w:val="000000"/>
      <w:sz w:val="18"/>
      <w:szCs w:val="18"/>
      <w:lang w:val="es-MX" w:eastAsia="es-MX"/>
    </w:rPr>
  </w:style>
  <w:style w:type="paragraph" w:customStyle="1" w:styleId="xl125">
    <w:name w:val="xl125"/>
    <w:basedOn w:val="Normal"/>
    <w:uiPriority w:val="99"/>
    <w:rsid w:val="00B8501C"/>
    <w:pPr>
      <w:pBdr>
        <w:right w:val="single" w:sz="8" w:space="0" w:color="auto"/>
      </w:pBdr>
      <w:spacing w:before="100" w:beforeAutospacing="1" w:after="100" w:afterAutospacing="1"/>
      <w:jc w:val="right"/>
      <w:textAlignment w:val="center"/>
    </w:pPr>
    <w:rPr>
      <w:b/>
      <w:bCs/>
      <w:color w:val="000000"/>
      <w:sz w:val="16"/>
      <w:szCs w:val="16"/>
      <w:lang w:val="es-MX" w:eastAsia="es-MX"/>
    </w:rPr>
  </w:style>
  <w:style w:type="paragraph" w:customStyle="1" w:styleId="xl126">
    <w:name w:val="xl126"/>
    <w:basedOn w:val="Normal"/>
    <w:uiPriority w:val="99"/>
    <w:rsid w:val="00B8501C"/>
    <w:pPr>
      <w:pBdr>
        <w:bottom w:val="single" w:sz="8" w:space="0" w:color="auto"/>
        <w:right w:val="single" w:sz="8" w:space="0" w:color="auto"/>
      </w:pBdr>
      <w:spacing w:before="100" w:beforeAutospacing="1" w:after="100" w:afterAutospacing="1"/>
      <w:jc w:val="center"/>
      <w:textAlignment w:val="center"/>
    </w:pPr>
    <w:rPr>
      <w:color w:val="000000"/>
      <w:sz w:val="18"/>
      <w:szCs w:val="18"/>
      <w:lang w:val="es-MX" w:eastAsia="es-MX"/>
    </w:rPr>
  </w:style>
  <w:style w:type="paragraph" w:customStyle="1" w:styleId="xl127">
    <w:name w:val="xl127"/>
    <w:basedOn w:val="Normal"/>
    <w:uiPriority w:val="99"/>
    <w:rsid w:val="00B8501C"/>
    <w:pPr>
      <w:pBdr>
        <w:bottom w:val="single" w:sz="8" w:space="0" w:color="auto"/>
        <w:right w:val="single" w:sz="8" w:space="0" w:color="auto"/>
      </w:pBdr>
      <w:spacing w:before="100" w:beforeAutospacing="1" w:after="100" w:afterAutospacing="1"/>
      <w:textAlignment w:val="center"/>
    </w:pPr>
    <w:rPr>
      <w:color w:val="000000"/>
      <w:sz w:val="18"/>
      <w:szCs w:val="18"/>
      <w:lang w:val="es-MX" w:eastAsia="es-MX"/>
    </w:rPr>
  </w:style>
  <w:style w:type="paragraph" w:customStyle="1" w:styleId="xl128">
    <w:name w:val="xl128"/>
    <w:basedOn w:val="Normal"/>
    <w:uiPriority w:val="99"/>
    <w:rsid w:val="00B8501C"/>
    <w:pPr>
      <w:pBdr>
        <w:right w:val="single" w:sz="8" w:space="0" w:color="auto"/>
      </w:pBdr>
      <w:spacing w:before="100" w:beforeAutospacing="1" w:after="100" w:afterAutospacing="1"/>
      <w:jc w:val="both"/>
      <w:textAlignment w:val="center"/>
    </w:pPr>
    <w:rPr>
      <w:color w:val="000000"/>
      <w:sz w:val="18"/>
      <w:szCs w:val="18"/>
      <w:lang w:val="es-MX" w:eastAsia="es-MX"/>
    </w:rPr>
  </w:style>
  <w:style w:type="paragraph" w:customStyle="1" w:styleId="xl129">
    <w:name w:val="xl129"/>
    <w:basedOn w:val="Normal"/>
    <w:uiPriority w:val="99"/>
    <w:rsid w:val="00B8501C"/>
    <w:pPr>
      <w:pBdr>
        <w:right w:val="single" w:sz="8" w:space="0" w:color="auto"/>
      </w:pBdr>
      <w:spacing w:before="100" w:beforeAutospacing="1" w:after="100" w:afterAutospacing="1"/>
      <w:jc w:val="right"/>
      <w:textAlignment w:val="center"/>
    </w:pPr>
    <w:rPr>
      <w:color w:val="000000"/>
      <w:sz w:val="16"/>
      <w:szCs w:val="16"/>
      <w:lang w:val="es-MX" w:eastAsia="es-MX"/>
    </w:rPr>
  </w:style>
  <w:style w:type="paragraph" w:customStyle="1" w:styleId="xl130">
    <w:name w:val="xl130"/>
    <w:basedOn w:val="Normal"/>
    <w:uiPriority w:val="99"/>
    <w:rsid w:val="00B8501C"/>
    <w:pPr>
      <w:pBdr>
        <w:right w:val="single" w:sz="8" w:space="0" w:color="auto"/>
      </w:pBdr>
      <w:spacing w:before="100" w:beforeAutospacing="1" w:after="100" w:afterAutospacing="1"/>
      <w:jc w:val="right"/>
      <w:textAlignment w:val="center"/>
    </w:pPr>
    <w:rPr>
      <w:color w:val="000000"/>
      <w:sz w:val="16"/>
      <w:szCs w:val="16"/>
      <w:lang w:val="es-MX" w:eastAsia="es-MX"/>
    </w:rPr>
  </w:style>
  <w:style w:type="paragraph" w:customStyle="1" w:styleId="xl131">
    <w:name w:val="xl131"/>
    <w:basedOn w:val="Normal"/>
    <w:uiPriority w:val="99"/>
    <w:rsid w:val="00B8501C"/>
    <w:pPr>
      <w:pBdr>
        <w:left w:val="single" w:sz="8" w:space="0" w:color="auto"/>
        <w:bottom w:val="single" w:sz="8" w:space="0" w:color="auto"/>
        <w:right w:val="single" w:sz="8" w:space="0" w:color="auto"/>
      </w:pBdr>
      <w:spacing w:before="100" w:beforeAutospacing="1" w:after="100" w:afterAutospacing="1"/>
      <w:jc w:val="center"/>
      <w:textAlignment w:val="center"/>
    </w:pPr>
    <w:rPr>
      <w:b/>
      <w:bCs/>
      <w:color w:val="000000"/>
      <w:sz w:val="18"/>
      <w:szCs w:val="18"/>
      <w:lang w:val="es-MX" w:eastAsia="es-MX"/>
    </w:rPr>
  </w:style>
  <w:style w:type="paragraph" w:customStyle="1" w:styleId="xl132">
    <w:name w:val="xl132"/>
    <w:basedOn w:val="Normal"/>
    <w:uiPriority w:val="99"/>
    <w:rsid w:val="00B8501C"/>
    <w:pPr>
      <w:pBdr>
        <w:right w:val="single" w:sz="8" w:space="0" w:color="auto"/>
      </w:pBdr>
      <w:spacing w:before="100" w:beforeAutospacing="1" w:after="100" w:afterAutospacing="1"/>
      <w:jc w:val="center"/>
      <w:textAlignment w:val="center"/>
    </w:pPr>
    <w:rPr>
      <w:b/>
      <w:bCs/>
      <w:color w:val="000000"/>
      <w:sz w:val="16"/>
      <w:szCs w:val="16"/>
      <w:lang w:val="es-MX" w:eastAsia="es-MX"/>
    </w:rPr>
  </w:style>
  <w:style w:type="paragraph" w:customStyle="1" w:styleId="xl133">
    <w:name w:val="xl133"/>
    <w:basedOn w:val="Normal"/>
    <w:uiPriority w:val="99"/>
    <w:rsid w:val="00B8501C"/>
    <w:pPr>
      <w:pBdr>
        <w:bottom w:val="single" w:sz="8" w:space="0" w:color="auto"/>
        <w:right w:val="single" w:sz="8" w:space="0" w:color="auto"/>
      </w:pBdr>
      <w:spacing w:before="100" w:beforeAutospacing="1" w:after="100" w:afterAutospacing="1"/>
      <w:jc w:val="center"/>
      <w:textAlignment w:val="center"/>
    </w:pPr>
    <w:rPr>
      <w:b/>
      <w:bCs/>
      <w:color w:val="000000"/>
      <w:sz w:val="16"/>
      <w:szCs w:val="16"/>
      <w:lang w:val="es-MX" w:eastAsia="es-MX"/>
    </w:rPr>
  </w:style>
  <w:style w:type="paragraph" w:customStyle="1" w:styleId="xl134">
    <w:name w:val="xl134"/>
    <w:basedOn w:val="Normal"/>
    <w:uiPriority w:val="99"/>
    <w:rsid w:val="00B8501C"/>
    <w:pPr>
      <w:pBdr>
        <w:left w:val="single" w:sz="8" w:space="0" w:color="auto"/>
        <w:bottom w:val="single" w:sz="8" w:space="0" w:color="auto"/>
        <w:right w:val="single" w:sz="8" w:space="0" w:color="auto"/>
      </w:pBdr>
      <w:spacing w:before="100" w:beforeAutospacing="1" w:after="100" w:afterAutospacing="1"/>
      <w:jc w:val="both"/>
      <w:textAlignment w:val="center"/>
    </w:pPr>
    <w:rPr>
      <w:b/>
      <w:bCs/>
      <w:color w:val="000000"/>
      <w:sz w:val="18"/>
      <w:szCs w:val="18"/>
      <w:lang w:val="es-MX" w:eastAsia="es-MX"/>
    </w:rPr>
  </w:style>
  <w:style w:type="paragraph" w:customStyle="1" w:styleId="xl135">
    <w:name w:val="xl135"/>
    <w:basedOn w:val="Normal"/>
    <w:uiPriority w:val="99"/>
    <w:rsid w:val="00B8501C"/>
    <w:pPr>
      <w:pBdr>
        <w:right w:val="single" w:sz="8" w:space="0" w:color="auto"/>
      </w:pBdr>
      <w:spacing w:before="100" w:beforeAutospacing="1" w:after="100" w:afterAutospacing="1"/>
      <w:jc w:val="right"/>
      <w:textAlignment w:val="center"/>
    </w:pPr>
    <w:rPr>
      <w:b/>
      <w:bCs/>
      <w:color w:val="000000"/>
      <w:sz w:val="16"/>
      <w:szCs w:val="16"/>
      <w:lang w:val="es-MX" w:eastAsia="es-MX"/>
    </w:rPr>
  </w:style>
  <w:style w:type="paragraph" w:customStyle="1" w:styleId="xl136">
    <w:name w:val="xl136"/>
    <w:basedOn w:val="Normal"/>
    <w:uiPriority w:val="99"/>
    <w:rsid w:val="00B8501C"/>
    <w:pPr>
      <w:pBdr>
        <w:top w:val="single" w:sz="8" w:space="0" w:color="auto"/>
        <w:left w:val="single" w:sz="8" w:space="0" w:color="auto"/>
      </w:pBdr>
      <w:spacing w:before="100" w:beforeAutospacing="1" w:after="100" w:afterAutospacing="1"/>
      <w:jc w:val="center"/>
      <w:textAlignment w:val="center"/>
    </w:pPr>
    <w:rPr>
      <w:b/>
      <w:bCs/>
      <w:color w:val="000000"/>
      <w:sz w:val="18"/>
      <w:szCs w:val="18"/>
      <w:lang w:val="es-MX" w:eastAsia="es-MX"/>
    </w:rPr>
  </w:style>
  <w:style w:type="paragraph" w:customStyle="1" w:styleId="xl137">
    <w:name w:val="xl137"/>
    <w:basedOn w:val="Normal"/>
    <w:uiPriority w:val="99"/>
    <w:rsid w:val="00B8501C"/>
    <w:pPr>
      <w:pBdr>
        <w:top w:val="single" w:sz="8" w:space="0" w:color="auto"/>
        <w:right w:val="single" w:sz="8" w:space="0" w:color="auto"/>
      </w:pBdr>
      <w:spacing w:before="100" w:beforeAutospacing="1" w:after="100" w:afterAutospacing="1"/>
      <w:jc w:val="center"/>
      <w:textAlignment w:val="center"/>
    </w:pPr>
    <w:rPr>
      <w:b/>
      <w:bCs/>
      <w:color w:val="000000"/>
      <w:sz w:val="18"/>
      <w:szCs w:val="18"/>
      <w:lang w:val="es-MX" w:eastAsia="es-MX"/>
    </w:rPr>
  </w:style>
  <w:style w:type="paragraph" w:customStyle="1" w:styleId="xl138">
    <w:name w:val="xl138"/>
    <w:basedOn w:val="Normal"/>
    <w:uiPriority w:val="99"/>
    <w:rsid w:val="00B8501C"/>
    <w:pPr>
      <w:pBdr>
        <w:left w:val="single" w:sz="8" w:space="0" w:color="auto"/>
        <w:bottom w:val="single" w:sz="8" w:space="0" w:color="auto"/>
      </w:pBdr>
      <w:spacing w:before="100" w:beforeAutospacing="1" w:after="100" w:afterAutospacing="1"/>
      <w:jc w:val="center"/>
      <w:textAlignment w:val="center"/>
    </w:pPr>
    <w:rPr>
      <w:b/>
      <w:bCs/>
      <w:color w:val="000000"/>
      <w:sz w:val="18"/>
      <w:szCs w:val="18"/>
      <w:lang w:val="es-MX" w:eastAsia="es-MX"/>
    </w:rPr>
  </w:style>
  <w:style w:type="paragraph" w:customStyle="1" w:styleId="xl139">
    <w:name w:val="xl139"/>
    <w:basedOn w:val="Normal"/>
    <w:uiPriority w:val="99"/>
    <w:rsid w:val="00B8501C"/>
    <w:pPr>
      <w:pBdr>
        <w:top w:val="single" w:sz="8" w:space="0" w:color="auto"/>
        <w:left w:val="single" w:sz="8" w:space="0" w:color="auto"/>
        <w:right w:val="single" w:sz="8" w:space="0" w:color="auto"/>
      </w:pBdr>
      <w:spacing w:before="100" w:beforeAutospacing="1" w:after="100" w:afterAutospacing="1"/>
      <w:jc w:val="center"/>
      <w:textAlignment w:val="center"/>
    </w:pPr>
    <w:rPr>
      <w:b/>
      <w:bCs/>
      <w:color w:val="000000"/>
      <w:sz w:val="18"/>
      <w:szCs w:val="18"/>
      <w:lang w:val="es-MX" w:eastAsia="es-MX"/>
    </w:rPr>
  </w:style>
  <w:style w:type="paragraph" w:customStyle="1" w:styleId="xl140">
    <w:name w:val="xl140"/>
    <w:basedOn w:val="Normal"/>
    <w:uiPriority w:val="99"/>
    <w:rsid w:val="00B8501C"/>
    <w:pPr>
      <w:pBdr>
        <w:top w:val="single" w:sz="8" w:space="0" w:color="auto"/>
        <w:left w:val="single" w:sz="8" w:space="0" w:color="auto"/>
        <w:right w:val="single" w:sz="8" w:space="0" w:color="auto"/>
      </w:pBdr>
      <w:spacing w:before="100" w:beforeAutospacing="1" w:after="100" w:afterAutospacing="1"/>
      <w:jc w:val="center"/>
      <w:textAlignment w:val="center"/>
    </w:pPr>
    <w:rPr>
      <w:color w:val="000000"/>
      <w:sz w:val="18"/>
      <w:szCs w:val="18"/>
      <w:lang w:val="es-MX" w:eastAsia="es-MX"/>
    </w:rPr>
  </w:style>
  <w:style w:type="paragraph" w:customStyle="1" w:styleId="xl141">
    <w:name w:val="xl141"/>
    <w:basedOn w:val="Normal"/>
    <w:uiPriority w:val="99"/>
    <w:rsid w:val="00B8501C"/>
    <w:pPr>
      <w:pBdr>
        <w:top w:val="single" w:sz="8" w:space="0" w:color="auto"/>
        <w:left w:val="single" w:sz="8" w:space="0" w:color="auto"/>
        <w:right w:val="single" w:sz="8" w:space="0" w:color="auto"/>
      </w:pBdr>
      <w:spacing w:before="100" w:beforeAutospacing="1" w:after="100" w:afterAutospacing="1"/>
      <w:jc w:val="both"/>
      <w:textAlignment w:val="center"/>
    </w:pPr>
    <w:rPr>
      <w:color w:val="000000"/>
      <w:sz w:val="18"/>
      <w:szCs w:val="18"/>
      <w:lang w:val="es-MX" w:eastAsia="es-MX"/>
    </w:rPr>
  </w:style>
  <w:style w:type="paragraph" w:customStyle="1" w:styleId="xl142">
    <w:name w:val="xl142"/>
    <w:basedOn w:val="Normal"/>
    <w:uiPriority w:val="99"/>
    <w:rsid w:val="00B8501C"/>
    <w:pPr>
      <w:pBdr>
        <w:top w:val="single" w:sz="8" w:space="0" w:color="auto"/>
        <w:left w:val="single" w:sz="8" w:space="0" w:color="auto"/>
        <w:right w:val="single" w:sz="8" w:space="0" w:color="auto"/>
      </w:pBdr>
      <w:spacing w:before="100" w:beforeAutospacing="1" w:after="100" w:afterAutospacing="1"/>
      <w:jc w:val="right"/>
      <w:textAlignment w:val="center"/>
    </w:pPr>
    <w:rPr>
      <w:color w:val="000000"/>
      <w:sz w:val="16"/>
      <w:szCs w:val="16"/>
      <w:lang w:val="es-MX" w:eastAsia="es-MX"/>
    </w:rPr>
  </w:style>
  <w:style w:type="paragraph" w:customStyle="1" w:styleId="xl143">
    <w:name w:val="xl143"/>
    <w:basedOn w:val="Normal"/>
    <w:uiPriority w:val="99"/>
    <w:rsid w:val="00B8501C"/>
    <w:pPr>
      <w:pBdr>
        <w:left w:val="single" w:sz="8" w:space="0" w:color="auto"/>
        <w:bottom w:val="single" w:sz="8" w:space="0" w:color="auto"/>
        <w:right w:val="single" w:sz="8" w:space="0" w:color="auto"/>
      </w:pBdr>
      <w:spacing w:before="100" w:beforeAutospacing="1" w:after="100" w:afterAutospacing="1"/>
      <w:jc w:val="right"/>
      <w:textAlignment w:val="center"/>
    </w:pPr>
    <w:rPr>
      <w:color w:val="000000"/>
      <w:sz w:val="16"/>
      <w:szCs w:val="16"/>
      <w:lang w:val="es-MX" w:eastAsia="es-MX"/>
    </w:rPr>
  </w:style>
  <w:style w:type="paragraph" w:customStyle="1" w:styleId="xl144">
    <w:name w:val="xl144"/>
    <w:basedOn w:val="Normal"/>
    <w:uiPriority w:val="99"/>
    <w:rsid w:val="00B8501C"/>
    <w:pPr>
      <w:pBdr>
        <w:top w:val="single" w:sz="8" w:space="0" w:color="auto"/>
        <w:left w:val="single" w:sz="8" w:space="0" w:color="auto"/>
        <w:bottom w:val="single" w:sz="8" w:space="0" w:color="auto"/>
      </w:pBdr>
      <w:spacing w:before="100" w:beforeAutospacing="1" w:after="100" w:afterAutospacing="1"/>
      <w:jc w:val="center"/>
      <w:textAlignment w:val="center"/>
    </w:pPr>
    <w:rPr>
      <w:b/>
      <w:bCs/>
      <w:color w:val="000000"/>
      <w:sz w:val="18"/>
      <w:szCs w:val="18"/>
      <w:lang w:val="es-MX" w:eastAsia="es-MX"/>
    </w:rPr>
  </w:style>
  <w:style w:type="paragraph" w:customStyle="1" w:styleId="xl145">
    <w:name w:val="xl145"/>
    <w:basedOn w:val="Normal"/>
    <w:uiPriority w:val="99"/>
    <w:rsid w:val="00B8501C"/>
    <w:pPr>
      <w:pBdr>
        <w:top w:val="single" w:sz="8" w:space="0" w:color="auto"/>
        <w:bottom w:val="single" w:sz="8" w:space="0" w:color="auto"/>
        <w:right w:val="single" w:sz="8" w:space="0" w:color="auto"/>
      </w:pBdr>
      <w:spacing w:before="100" w:beforeAutospacing="1" w:after="100" w:afterAutospacing="1"/>
      <w:jc w:val="center"/>
      <w:textAlignment w:val="center"/>
    </w:pPr>
    <w:rPr>
      <w:b/>
      <w:bCs/>
      <w:color w:val="000000"/>
      <w:sz w:val="18"/>
      <w:szCs w:val="18"/>
      <w:lang w:val="es-MX" w:eastAsia="es-MX"/>
    </w:rPr>
  </w:style>
  <w:style w:type="paragraph" w:customStyle="1" w:styleId="xl146">
    <w:name w:val="xl146"/>
    <w:basedOn w:val="Normal"/>
    <w:uiPriority w:val="99"/>
    <w:rsid w:val="00B8501C"/>
    <w:pPr>
      <w:pBdr>
        <w:top w:val="single" w:sz="8" w:space="0" w:color="auto"/>
        <w:left w:val="single" w:sz="8" w:space="0" w:color="auto"/>
        <w:right w:val="single" w:sz="8" w:space="0" w:color="auto"/>
      </w:pBdr>
      <w:spacing w:before="100" w:beforeAutospacing="1" w:after="100" w:afterAutospacing="1"/>
      <w:jc w:val="both"/>
      <w:textAlignment w:val="center"/>
    </w:pPr>
    <w:rPr>
      <w:b/>
      <w:bCs/>
      <w:color w:val="000000"/>
      <w:sz w:val="18"/>
      <w:szCs w:val="18"/>
      <w:lang w:val="es-MX" w:eastAsia="es-MX"/>
    </w:rPr>
  </w:style>
  <w:style w:type="paragraph" w:customStyle="1" w:styleId="xl147">
    <w:name w:val="xl147"/>
    <w:basedOn w:val="Normal"/>
    <w:uiPriority w:val="99"/>
    <w:rsid w:val="00B8501C"/>
    <w:pPr>
      <w:pBdr>
        <w:top w:val="single" w:sz="8" w:space="0" w:color="auto"/>
        <w:left w:val="single" w:sz="8" w:space="0" w:color="auto"/>
      </w:pBdr>
      <w:spacing w:before="100" w:beforeAutospacing="1" w:after="100" w:afterAutospacing="1"/>
      <w:textAlignment w:val="top"/>
    </w:pPr>
    <w:rPr>
      <w:lang w:val="es-MX" w:eastAsia="es-MX"/>
    </w:rPr>
  </w:style>
  <w:style w:type="paragraph" w:customStyle="1" w:styleId="xl148">
    <w:name w:val="xl148"/>
    <w:basedOn w:val="Normal"/>
    <w:uiPriority w:val="99"/>
    <w:rsid w:val="00B8501C"/>
    <w:pPr>
      <w:pBdr>
        <w:top w:val="single" w:sz="8" w:space="0" w:color="auto"/>
      </w:pBdr>
      <w:spacing w:before="100" w:beforeAutospacing="1" w:after="100" w:afterAutospacing="1"/>
      <w:textAlignment w:val="top"/>
    </w:pPr>
    <w:rPr>
      <w:lang w:val="es-MX" w:eastAsia="es-MX"/>
    </w:rPr>
  </w:style>
  <w:style w:type="paragraph" w:customStyle="1" w:styleId="xl149">
    <w:name w:val="xl149"/>
    <w:basedOn w:val="Normal"/>
    <w:uiPriority w:val="99"/>
    <w:rsid w:val="00B8501C"/>
    <w:pPr>
      <w:pBdr>
        <w:top w:val="single" w:sz="8" w:space="0" w:color="auto"/>
        <w:right w:val="single" w:sz="8" w:space="0" w:color="auto"/>
      </w:pBdr>
      <w:spacing w:before="100" w:beforeAutospacing="1" w:after="100" w:afterAutospacing="1"/>
      <w:textAlignment w:val="top"/>
    </w:pPr>
    <w:rPr>
      <w:lang w:val="es-MX" w:eastAsia="es-MX"/>
    </w:rPr>
  </w:style>
  <w:style w:type="paragraph" w:customStyle="1" w:styleId="xl150">
    <w:name w:val="xl150"/>
    <w:basedOn w:val="Normal"/>
    <w:uiPriority w:val="99"/>
    <w:rsid w:val="00B8501C"/>
    <w:pPr>
      <w:pBdr>
        <w:left w:val="single" w:sz="8" w:space="0" w:color="auto"/>
        <w:bottom w:val="single" w:sz="8" w:space="0" w:color="auto"/>
      </w:pBdr>
      <w:spacing w:before="100" w:beforeAutospacing="1" w:after="100" w:afterAutospacing="1"/>
      <w:textAlignment w:val="top"/>
    </w:pPr>
    <w:rPr>
      <w:lang w:val="es-MX" w:eastAsia="es-MX"/>
    </w:rPr>
  </w:style>
  <w:style w:type="paragraph" w:customStyle="1" w:styleId="xl151">
    <w:name w:val="xl151"/>
    <w:basedOn w:val="Normal"/>
    <w:uiPriority w:val="99"/>
    <w:rsid w:val="00B8501C"/>
    <w:pPr>
      <w:pBdr>
        <w:bottom w:val="single" w:sz="8" w:space="0" w:color="auto"/>
      </w:pBdr>
      <w:spacing w:before="100" w:beforeAutospacing="1" w:after="100" w:afterAutospacing="1"/>
      <w:textAlignment w:val="top"/>
    </w:pPr>
    <w:rPr>
      <w:lang w:val="es-MX" w:eastAsia="es-MX"/>
    </w:rPr>
  </w:style>
  <w:style w:type="paragraph" w:customStyle="1" w:styleId="xl152">
    <w:name w:val="xl152"/>
    <w:basedOn w:val="Normal"/>
    <w:uiPriority w:val="99"/>
    <w:rsid w:val="00B8501C"/>
    <w:pPr>
      <w:pBdr>
        <w:top w:val="single" w:sz="8" w:space="0" w:color="auto"/>
        <w:left w:val="single" w:sz="8" w:space="0" w:color="auto"/>
        <w:right w:val="single" w:sz="8" w:space="0" w:color="auto"/>
      </w:pBdr>
      <w:spacing w:before="100" w:beforeAutospacing="1" w:after="100" w:afterAutospacing="1"/>
      <w:jc w:val="right"/>
      <w:textAlignment w:val="center"/>
    </w:pPr>
    <w:rPr>
      <w:b/>
      <w:bCs/>
      <w:color w:val="000000"/>
      <w:sz w:val="16"/>
      <w:szCs w:val="16"/>
      <w:lang w:val="es-MX" w:eastAsia="es-MX"/>
    </w:rPr>
  </w:style>
  <w:style w:type="paragraph" w:customStyle="1" w:styleId="xl153">
    <w:name w:val="xl153"/>
    <w:basedOn w:val="Normal"/>
    <w:uiPriority w:val="99"/>
    <w:rsid w:val="00B8501C"/>
    <w:pPr>
      <w:pBdr>
        <w:left w:val="single" w:sz="8" w:space="0" w:color="auto"/>
        <w:bottom w:val="single" w:sz="8" w:space="0" w:color="auto"/>
        <w:right w:val="single" w:sz="8" w:space="0" w:color="auto"/>
      </w:pBdr>
      <w:spacing w:before="100" w:beforeAutospacing="1" w:after="100" w:afterAutospacing="1"/>
      <w:jc w:val="right"/>
      <w:textAlignment w:val="center"/>
    </w:pPr>
    <w:rPr>
      <w:b/>
      <w:bCs/>
      <w:color w:val="000000"/>
      <w:sz w:val="16"/>
      <w:szCs w:val="16"/>
      <w:lang w:val="es-MX" w:eastAsia="es-MX"/>
    </w:rPr>
  </w:style>
  <w:style w:type="paragraph" w:customStyle="1" w:styleId="xl154">
    <w:name w:val="xl154"/>
    <w:basedOn w:val="Normal"/>
    <w:uiPriority w:val="99"/>
    <w:rsid w:val="00B8501C"/>
    <w:pPr>
      <w:pBdr>
        <w:top w:val="single" w:sz="8" w:space="0" w:color="auto"/>
        <w:left w:val="single" w:sz="8" w:space="0" w:color="auto"/>
        <w:right w:val="single" w:sz="8" w:space="0" w:color="auto"/>
      </w:pBdr>
      <w:spacing w:before="100" w:beforeAutospacing="1" w:after="100" w:afterAutospacing="1"/>
      <w:textAlignment w:val="top"/>
    </w:pPr>
    <w:rPr>
      <w:lang w:val="es-MX" w:eastAsia="es-MX"/>
    </w:rPr>
  </w:style>
  <w:style w:type="paragraph" w:customStyle="1" w:styleId="xl155">
    <w:name w:val="xl155"/>
    <w:basedOn w:val="Normal"/>
    <w:uiPriority w:val="99"/>
    <w:rsid w:val="00B8501C"/>
    <w:pPr>
      <w:pBdr>
        <w:left w:val="single" w:sz="8" w:space="0" w:color="auto"/>
        <w:bottom w:val="single" w:sz="8" w:space="0" w:color="auto"/>
        <w:right w:val="single" w:sz="8" w:space="0" w:color="auto"/>
      </w:pBdr>
      <w:spacing w:before="100" w:beforeAutospacing="1" w:after="100" w:afterAutospacing="1"/>
      <w:textAlignment w:val="top"/>
    </w:pPr>
    <w:rPr>
      <w:lang w:val="es-MX" w:eastAsia="es-MX"/>
    </w:rPr>
  </w:style>
  <w:style w:type="paragraph" w:customStyle="1" w:styleId="xl156">
    <w:name w:val="xl156"/>
    <w:basedOn w:val="Normal"/>
    <w:uiPriority w:val="99"/>
    <w:rsid w:val="00B8501C"/>
    <w:pPr>
      <w:pBdr>
        <w:top w:val="single" w:sz="8" w:space="0" w:color="auto"/>
        <w:left w:val="single" w:sz="8" w:space="0" w:color="auto"/>
        <w:bottom w:val="single" w:sz="8" w:space="0" w:color="auto"/>
      </w:pBdr>
      <w:spacing w:before="100" w:beforeAutospacing="1" w:after="100" w:afterAutospacing="1"/>
      <w:textAlignment w:val="top"/>
    </w:pPr>
    <w:rPr>
      <w:b/>
      <w:bCs/>
      <w:sz w:val="18"/>
      <w:szCs w:val="18"/>
      <w:lang w:val="es-MX" w:eastAsia="es-MX"/>
    </w:rPr>
  </w:style>
  <w:style w:type="paragraph" w:customStyle="1" w:styleId="xl157">
    <w:name w:val="xl157"/>
    <w:basedOn w:val="Normal"/>
    <w:uiPriority w:val="99"/>
    <w:rsid w:val="00B8501C"/>
    <w:pPr>
      <w:pBdr>
        <w:top w:val="single" w:sz="8" w:space="0" w:color="auto"/>
        <w:bottom w:val="single" w:sz="8" w:space="0" w:color="auto"/>
      </w:pBdr>
      <w:spacing w:before="100" w:beforeAutospacing="1" w:after="100" w:afterAutospacing="1"/>
      <w:textAlignment w:val="top"/>
    </w:pPr>
    <w:rPr>
      <w:b/>
      <w:bCs/>
      <w:sz w:val="18"/>
      <w:szCs w:val="18"/>
      <w:lang w:val="es-MX" w:eastAsia="es-MX"/>
    </w:rPr>
  </w:style>
  <w:style w:type="paragraph" w:customStyle="1" w:styleId="xl158">
    <w:name w:val="xl158"/>
    <w:basedOn w:val="Normal"/>
    <w:uiPriority w:val="99"/>
    <w:rsid w:val="00B8501C"/>
    <w:pPr>
      <w:pBdr>
        <w:top w:val="single" w:sz="8" w:space="0" w:color="auto"/>
        <w:bottom w:val="single" w:sz="8" w:space="0" w:color="auto"/>
        <w:right w:val="single" w:sz="8" w:space="0" w:color="auto"/>
      </w:pBdr>
      <w:spacing w:before="100" w:beforeAutospacing="1" w:after="100" w:afterAutospacing="1"/>
      <w:textAlignment w:val="top"/>
    </w:pPr>
    <w:rPr>
      <w:b/>
      <w:bCs/>
      <w:sz w:val="18"/>
      <w:szCs w:val="18"/>
      <w:lang w:val="es-MX" w:eastAsia="es-MX"/>
    </w:rPr>
  </w:style>
  <w:style w:type="paragraph" w:customStyle="1" w:styleId="xl159">
    <w:name w:val="xl159"/>
    <w:basedOn w:val="Normal"/>
    <w:uiPriority w:val="99"/>
    <w:rsid w:val="00B8501C"/>
    <w:pPr>
      <w:pBdr>
        <w:left w:val="single" w:sz="8" w:space="0" w:color="auto"/>
        <w:right w:val="single" w:sz="8" w:space="0" w:color="auto"/>
      </w:pBdr>
      <w:spacing w:before="100" w:beforeAutospacing="1" w:after="100" w:afterAutospacing="1"/>
      <w:jc w:val="both"/>
      <w:textAlignment w:val="center"/>
    </w:pPr>
    <w:rPr>
      <w:color w:val="000000"/>
      <w:sz w:val="18"/>
      <w:szCs w:val="18"/>
      <w:lang w:val="es-MX" w:eastAsia="es-MX"/>
    </w:rPr>
  </w:style>
  <w:style w:type="paragraph" w:customStyle="1" w:styleId="xl160">
    <w:name w:val="xl160"/>
    <w:basedOn w:val="Normal"/>
    <w:uiPriority w:val="99"/>
    <w:rsid w:val="00B8501C"/>
    <w:pPr>
      <w:pBdr>
        <w:top w:val="single" w:sz="8" w:space="0" w:color="auto"/>
        <w:left w:val="single" w:sz="8" w:space="0" w:color="auto"/>
        <w:bottom w:val="single" w:sz="8" w:space="0" w:color="auto"/>
      </w:pBdr>
      <w:spacing w:before="100" w:beforeAutospacing="1" w:after="100" w:afterAutospacing="1"/>
      <w:jc w:val="right"/>
      <w:textAlignment w:val="center"/>
    </w:pPr>
    <w:rPr>
      <w:color w:val="000000"/>
      <w:sz w:val="16"/>
      <w:szCs w:val="16"/>
      <w:lang w:val="es-MX" w:eastAsia="es-MX"/>
    </w:rPr>
  </w:style>
  <w:style w:type="paragraph" w:customStyle="1" w:styleId="xl161">
    <w:name w:val="xl161"/>
    <w:basedOn w:val="Normal"/>
    <w:uiPriority w:val="99"/>
    <w:rsid w:val="00B8501C"/>
    <w:pPr>
      <w:pBdr>
        <w:top w:val="single" w:sz="8" w:space="0" w:color="auto"/>
        <w:bottom w:val="single" w:sz="8" w:space="0" w:color="auto"/>
      </w:pBdr>
      <w:spacing w:before="100" w:beforeAutospacing="1" w:after="100" w:afterAutospacing="1"/>
      <w:jc w:val="right"/>
      <w:textAlignment w:val="center"/>
    </w:pPr>
    <w:rPr>
      <w:color w:val="000000"/>
      <w:sz w:val="16"/>
      <w:szCs w:val="16"/>
      <w:lang w:val="es-MX" w:eastAsia="es-MX"/>
    </w:rPr>
  </w:style>
  <w:style w:type="paragraph" w:customStyle="1" w:styleId="xl162">
    <w:name w:val="xl162"/>
    <w:basedOn w:val="Normal"/>
    <w:uiPriority w:val="99"/>
    <w:rsid w:val="00B8501C"/>
    <w:pPr>
      <w:pBdr>
        <w:top w:val="single" w:sz="8" w:space="0" w:color="auto"/>
        <w:bottom w:val="single" w:sz="8" w:space="0" w:color="auto"/>
        <w:right w:val="single" w:sz="8" w:space="0" w:color="auto"/>
      </w:pBdr>
      <w:spacing w:before="100" w:beforeAutospacing="1" w:after="100" w:afterAutospacing="1"/>
      <w:jc w:val="right"/>
      <w:textAlignment w:val="center"/>
    </w:pPr>
    <w:rPr>
      <w:color w:val="000000"/>
      <w:sz w:val="16"/>
      <w:szCs w:val="16"/>
      <w:lang w:val="es-MX" w:eastAsia="es-MX"/>
    </w:rPr>
  </w:style>
  <w:style w:type="paragraph" w:customStyle="1" w:styleId="ecxmsonormal">
    <w:name w:val="ecxmsonormal"/>
    <w:basedOn w:val="Normal"/>
    <w:uiPriority w:val="99"/>
    <w:rsid w:val="00B8501C"/>
    <w:pPr>
      <w:spacing w:after="324"/>
    </w:pPr>
    <w:rPr>
      <w:lang w:val="es-MX" w:eastAsia="es-MX"/>
    </w:rPr>
  </w:style>
  <w:style w:type="paragraph" w:customStyle="1" w:styleId="font5">
    <w:name w:val="font5"/>
    <w:basedOn w:val="Normal"/>
    <w:uiPriority w:val="99"/>
    <w:rsid w:val="00B8501C"/>
    <w:pPr>
      <w:spacing w:before="100" w:beforeAutospacing="1" w:after="100" w:afterAutospacing="1"/>
    </w:pPr>
    <w:rPr>
      <w:rFonts w:ascii="Arial" w:hAnsi="Arial" w:cs="Arial"/>
      <w:b/>
      <w:bCs/>
      <w:sz w:val="16"/>
      <w:szCs w:val="16"/>
      <w:lang w:val="es-MX" w:eastAsia="es-MX"/>
    </w:rPr>
  </w:style>
  <w:style w:type="paragraph" w:customStyle="1" w:styleId="xl163">
    <w:name w:val="xl163"/>
    <w:basedOn w:val="Normal"/>
    <w:uiPriority w:val="99"/>
    <w:rsid w:val="00B8501C"/>
    <w:pPr>
      <w:pBdr>
        <w:top w:val="single" w:sz="8" w:space="0" w:color="auto"/>
        <w:left w:val="single" w:sz="8" w:space="0" w:color="auto"/>
        <w:bottom w:val="single" w:sz="8" w:space="0" w:color="333333"/>
      </w:pBdr>
      <w:shd w:val="clear" w:color="000000" w:fill="FFFFFF"/>
      <w:spacing w:before="100" w:beforeAutospacing="1" w:after="100" w:afterAutospacing="1"/>
      <w:textAlignment w:val="center"/>
    </w:pPr>
    <w:rPr>
      <w:color w:val="000000"/>
      <w:sz w:val="16"/>
      <w:szCs w:val="16"/>
      <w:lang w:val="es-MX" w:eastAsia="es-MX"/>
    </w:rPr>
  </w:style>
  <w:style w:type="paragraph" w:customStyle="1" w:styleId="xl164">
    <w:name w:val="xl164"/>
    <w:basedOn w:val="Normal"/>
    <w:uiPriority w:val="99"/>
    <w:rsid w:val="00B8501C"/>
    <w:pPr>
      <w:pBdr>
        <w:top w:val="single" w:sz="8" w:space="0" w:color="auto"/>
        <w:bottom w:val="single" w:sz="8" w:space="0" w:color="333333"/>
      </w:pBdr>
      <w:shd w:val="clear" w:color="000000" w:fill="FFFFFF"/>
      <w:spacing w:before="100" w:beforeAutospacing="1" w:after="100" w:afterAutospacing="1"/>
      <w:textAlignment w:val="center"/>
    </w:pPr>
    <w:rPr>
      <w:color w:val="000000"/>
      <w:sz w:val="16"/>
      <w:szCs w:val="16"/>
      <w:lang w:val="es-MX" w:eastAsia="es-MX"/>
    </w:rPr>
  </w:style>
  <w:style w:type="paragraph" w:customStyle="1" w:styleId="xl165">
    <w:name w:val="xl165"/>
    <w:basedOn w:val="Normal"/>
    <w:uiPriority w:val="99"/>
    <w:rsid w:val="00B8501C"/>
    <w:pPr>
      <w:pBdr>
        <w:top w:val="single" w:sz="8" w:space="0" w:color="333333"/>
        <w:left w:val="single" w:sz="8" w:space="0" w:color="auto"/>
        <w:bottom w:val="single" w:sz="8" w:space="0" w:color="333333"/>
      </w:pBdr>
      <w:shd w:val="clear" w:color="000000" w:fill="FFFFFF"/>
      <w:spacing w:before="100" w:beforeAutospacing="1" w:after="100" w:afterAutospacing="1"/>
      <w:textAlignment w:val="center"/>
    </w:pPr>
    <w:rPr>
      <w:color w:val="000000"/>
      <w:sz w:val="16"/>
      <w:szCs w:val="16"/>
      <w:lang w:val="es-MX" w:eastAsia="es-MX"/>
    </w:rPr>
  </w:style>
  <w:style w:type="paragraph" w:customStyle="1" w:styleId="xl166">
    <w:name w:val="xl166"/>
    <w:basedOn w:val="Normal"/>
    <w:uiPriority w:val="99"/>
    <w:rsid w:val="00B8501C"/>
    <w:pPr>
      <w:pBdr>
        <w:top w:val="single" w:sz="8" w:space="0" w:color="333333"/>
        <w:bottom w:val="single" w:sz="8" w:space="0" w:color="333333"/>
      </w:pBdr>
      <w:shd w:val="clear" w:color="000000" w:fill="FFFFFF"/>
      <w:spacing w:before="100" w:beforeAutospacing="1" w:after="100" w:afterAutospacing="1"/>
      <w:textAlignment w:val="center"/>
    </w:pPr>
    <w:rPr>
      <w:color w:val="000000"/>
      <w:sz w:val="16"/>
      <w:szCs w:val="16"/>
      <w:lang w:val="es-MX" w:eastAsia="es-MX"/>
    </w:rPr>
  </w:style>
  <w:style w:type="paragraph" w:customStyle="1" w:styleId="xl167">
    <w:name w:val="xl167"/>
    <w:basedOn w:val="Normal"/>
    <w:uiPriority w:val="99"/>
    <w:rsid w:val="00B8501C"/>
    <w:pPr>
      <w:pBdr>
        <w:top w:val="single" w:sz="8" w:space="0" w:color="333333"/>
        <w:left w:val="single" w:sz="8" w:space="0" w:color="auto"/>
        <w:bottom w:val="single" w:sz="8" w:space="0" w:color="auto"/>
      </w:pBdr>
      <w:shd w:val="clear" w:color="000000" w:fill="FFFFFF"/>
      <w:spacing w:before="100" w:beforeAutospacing="1" w:after="100" w:afterAutospacing="1"/>
      <w:textAlignment w:val="center"/>
    </w:pPr>
    <w:rPr>
      <w:color w:val="000000"/>
      <w:sz w:val="16"/>
      <w:szCs w:val="16"/>
      <w:lang w:val="es-MX" w:eastAsia="es-MX"/>
    </w:rPr>
  </w:style>
  <w:style w:type="paragraph" w:customStyle="1" w:styleId="xl168">
    <w:name w:val="xl168"/>
    <w:basedOn w:val="Normal"/>
    <w:uiPriority w:val="99"/>
    <w:rsid w:val="00B8501C"/>
    <w:pPr>
      <w:pBdr>
        <w:top w:val="single" w:sz="8" w:space="0" w:color="333333"/>
        <w:bottom w:val="single" w:sz="8" w:space="0" w:color="auto"/>
      </w:pBdr>
      <w:shd w:val="clear" w:color="000000" w:fill="FFFFFF"/>
      <w:spacing w:before="100" w:beforeAutospacing="1" w:after="100" w:afterAutospacing="1"/>
      <w:textAlignment w:val="center"/>
    </w:pPr>
    <w:rPr>
      <w:color w:val="000000"/>
      <w:sz w:val="16"/>
      <w:szCs w:val="16"/>
      <w:lang w:val="es-MX" w:eastAsia="es-MX"/>
    </w:rPr>
  </w:style>
  <w:style w:type="paragraph" w:customStyle="1" w:styleId="xl169">
    <w:name w:val="xl169"/>
    <w:basedOn w:val="Normal"/>
    <w:uiPriority w:val="99"/>
    <w:rsid w:val="00B8501C"/>
    <w:pPr>
      <w:pBdr>
        <w:top w:val="single" w:sz="8" w:space="0" w:color="auto"/>
        <w:left w:val="single" w:sz="8" w:space="0" w:color="auto"/>
        <w:bottom w:val="single" w:sz="8" w:space="0" w:color="auto"/>
      </w:pBdr>
      <w:shd w:val="clear" w:color="000000" w:fill="FFFFFF"/>
      <w:spacing w:before="100" w:beforeAutospacing="1" w:after="100" w:afterAutospacing="1"/>
      <w:textAlignment w:val="center"/>
    </w:pPr>
    <w:rPr>
      <w:b/>
      <w:bCs/>
      <w:color w:val="000000"/>
      <w:sz w:val="16"/>
      <w:szCs w:val="16"/>
      <w:lang w:val="es-MX" w:eastAsia="es-MX"/>
    </w:rPr>
  </w:style>
  <w:style w:type="paragraph" w:customStyle="1" w:styleId="xl170">
    <w:name w:val="xl170"/>
    <w:basedOn w:val="Normal"/>
    <w:uiPriority w:val="99"/>
    <w:rsid w:val="00B8501C"/>
    <w:pPr>
      <w:pBdr>
        <w:top w:val="single" w:sz="8" w:space="0" w:color="auto"/>
        <w:bottom w:val="single" w:sz="8" w:space="0" w:color="auto"/>
        <w:right w:val="single" w:sz="8" w:space="0" w:color="333333"/>
      </w:pBdr>
      <w:shd w:val="clear" w:color="000000" w:fill="FFFFFF"/>
      <w:spacing w:before="100" w:beforeAutospacing="1" w:after="100" w:afterAutospacing="1"/>
      <w:textAlignment w:val="center"/>
    </w:pPr>
    <w:rPr>
      <w:b/>
      <w:bCs/>
      <w:color w:val="000000"/>
      <w:sz w:val="16"/>
      <w:szCs w:val="16"/>
      <w:lang w:val="es-MX" w:eastAsia="es-MX"/>
    </w:rPr>
  </w:style>
  <w:style w:type="paragraph" w:customStyle="1" w:styleId="xl171">
    <w:name w:val="xl171"/>
    <w:basedOn w:val="Normal"/>
    <w:uiPriority w:val="99"/>
    <w:rsid w:val="00B8501C"/>
    <w:pPr>
      <w:pBdr>
        <w:top w:val="single" w:sz="8" w:space="0" w:color="auto"/>
        <w:left w:val="single" w:sz="8" w:space="0" w:color="auto"/>
        <w:bottom w:val="single" w:sz="8" w:space="0" w:color="333333"/>
      </w:pBdr>
      <w:shd w:val="clear" w:color="000000" w:fill="FFFFFF"/>
      <w:spacing w:before="100" w:beforeAutospacing="1" w:after="100" w:afterAutospacing="1"/>
      <w:textAlignment w:val="center"/>
    </w:pPr>
    <w:rPr>
      <w:b/>
      <w:bCs/>
      <w:color w:val="000000"/>
      <w:sz w:val="16"/>
      <w:szCs w:val="16"/>
      <w:lang w:val="es-MX" w:eastAsia="es-MX"/>
    </w:rPr>
  </w:style>
  <w:style w:type="paragraph" w:customStyle="1" w:styleId="xl172">
    <w:name w:val="xl172"/>
    <w:basedOn w:val="Normal"/>
    <w:uiPriority w:val="99"/>
    <w:rsid w:val="00B8501C"/>
    <w:pPr>
      <w:pBdr>
        <w:top w:val="single" w:sz="8" w:space="0" w:color="auto"/>
        <w:bottom w:val="single" w:sz="8" w:space="0" w:color="333333"/>
      </w:pBdr>
      <w:shd w:val="clear" w:color="000000" w:fill="FFFFFF"/>
      <w:spacing w:before="100" w:beforeAutospacing="1" w:after="100" w:afterAutospacing="1"/>
      <w:textAlignment w:val="center"/>
    </w:pPr>
    <w:rPr>
      <w:b/>
      <w:bCs/>
      <w:color w:val="000000"/>
      <w:sz w:val="16"/>
      <w:szCs w:val="16"/>
      <w:lang w:val="es-MX" w:eastAsia="es-MX"/>
    </w:rPr>
  </w:style>
  <w:style w:type="paragraph" w:customStyle="1" w:styleId="xl173">
    <w:name w:val="xl173"/>
    <w:basedOn w:val="Normal"/>
    <w:uiPriority w:val="99"/>
    <w:rsid w:val="00B8501C"/>
    <w:pPr>
      <w:pBdr>
        <w:top w:val="single" w:sz="8" w:space="0" w:color="auto"/>
        <w:bottom w:val="single" w:sz="8" w:space="0" w:color="333333"/>
        <w:right w:val="single" w:sz="8" w:space="0" w:color="333333"/>
      </w:pBdr>
      <w:shd w:val="clear" w:color="000000" w:fill="FFFFFF"/>
      <w:spacing w:before="100" w:beforeAutospacing="1" w:after="100" w:afterAutospacing="1"/>
      <w:textAlignment w:val="center"/>
    </w:pPr>
    <w:rPr>
      <w:b/>
      <w:bCs/>
      <w:color w:val="000000"/>
      <w:sz w:val="16"/>
      <w:szCs w:val="16"/>
      <w:lang w:val="es-MX" w:eastAsia="es-MX"/>
    </w:rPr>
  </w:style>
  <w:style w:type="paragraph" w:customStyle="1" w:styleId="xl174">
    <w:name w:val="xl174"/>
    <w:basedOn w:val="Normal"/>
    <w:uiPriority w:val="99"/>
    <w:rsid w:val="00B8501C"/>
    <w:pPr>
      <w:pBdr>
        <w:top w:val="single" w:sz="8" w:space="0" w:color="333333"/>
        <w:left w:val="single" w:sz="8" w:space="0" w:color="auto"/>
        <w:bottom w:val="single" w:sz="8" w:space="0" w:color="auto"/>
      </w:pBdr>
      <w:shd w:val="clear" w:color="000000" w:fill="FFFFFF"/>
      <w:spacing w:before="100" w:beforeAutospacing="1" w:after="100" w:afterAutospacing="1"/>
      <w:textAlignment w:val="center"/>
    </w:pPr>
    <w:rPr>
      <w:b/>
      <w:bCs/>
      <w:color w:val="000000"/>
      <w:sz w:val="16"/>
      <w:szCs w:val="16"/>
      <w:lang w:val="es-MX" w:eastAsia="es-MX"/>
    </w:rPr>
  </w:style>
  <w:style w:type="paragraph" w:customStyle="1" w:styleId="xl175">
    <w:name w:val="xl175"/>
    <w:basedOn w:val="Normal"/>
    <w:uiPriority w:val="99"/>
    <w:rsid w:val="00B8501C"/>
    <w:pPr>
      <w:pBdr>
        <w:top w:val="single" w:sz="8" w:space="0" w:color="333333"/>
        <w:bottom w:val="single" w:sz="8" w:space="0" w:color="auto"/>
      </w:pBdr>
      <w:shd w:val="clear" w:color="000000" w:fill="FFFFFF"/>
      <w:spacing w:before="100" w:beforeAutospacing="1" w:after="100" w:afterAutospacing="1"/>
      <w:textAlignment w:val="center"/>
    </w:pPr>
    <w:rPr>
      <w:b/>
      <w:bCs/>
      <w:color w:val="000000"/>
      <w:sz w:val="16"/>
      <w:szCs w:val="16"/>
      <w:lang w:val="es-MX" w:eastAsia="es-MX"/>
    </w:rPr>
  </w:style>
  <w:style w:type="paragraph" w:customStyle="1" w:styleId="xl176">
    <w:name w:val="xl176"/>
    <w:basedOn w:val="Normal"/>
    <w:uiPriority w:val="99"/>
    <w:rsid w:val="00B8501C"/>
    <w:pPr>
      <w:pBdr>
        <w:top w:val="single" w:sz="8" w:space="0" w:color="333333"/>
        <w:bottom w:val="single" w:sz="8" w:space="0" w:color="auto"/>
        <w:right w:val="single" w:sz="8" w:space="0" w:color="333333"/>
      </w:pBdr>
      <w:shd w:val="clear" w:color="000000" w:fill="FFFFFF"/>
      <w:spacing w:before="100" w:beforeAutospacing="1" w:after="100" w:afterAutospacing="1"/>
      <w:textAlignment w:val="center"/>
    </w:pPr>
    <w:rPr>
      <w:b/>
      <w:bCs/>
      <w:color w:val="000000"/>
      <w:sz w:val="16"/>
      <w:szCs w:val="16"/>
      <w:lang w:val="es-MX" w:eastAsia="es-MX"/>
    </w:rPr>
  </w:style>
  <w:style w:type="paragraph" w:customStyle="1" w:styleId="xl177">
    <w:name w:val="xl177"/>
    <w:basedOn w:val="Normal"/>
    <w:uiPriority w:val="99"/>
    <w:rsid w:val="00B8501C"/>
    <w:pPr>
      <w:pBdr>
        <w:top w:val="single" w:sz="8" w:space="0" w:color="333333"/>
        <w:left w:val="single" w:sz="8" w:space="0" w:color="auto"/>
        <w:bottom w:val="single" w:sz="8" w:space="0" w:color="333333"/>
      </w:pBdr>
      <w:shd w:val="clear" w:color="000000" w:fill="FFFFFF"/>
      <w:spacing w:before="100" w:beforeAutospacing="1" w:after="100" w:afterAutospacing="1"/>
      <w:textAlignment w:val="center"/>
    </w:pPr>
    <w:rPr>
      <w:b/>
      <w:bCs/>
      <w:color w:val="000000"/>
      <w:sz w:val="16"/>
      <w:szCs w:val="16"/>
      <w:lang w:val="es-MX" w:eastAsia="es-MX"/>
    </w:rPr>
  </w:style>
  <w:style w:type="paragraph" w:customStyle="1" w:styleId="xl178">
    <w:name w:val="xl178"/>
    <w:basedOn w:val="Normal"/>
    <w:uiPriority w:val="99"/>
    <w:rsid w:val="00B8501C"/>
    <w:pPr>
      <w:pBdr>
        <w:top w:val="single" w:sz="8" w:space="0" w:color="333333"/>
        <w:bottom w:val="single" w:sz="8" w:space="0" w:color="333333"/>
      </w:pBdr>
      <w:shd w:val="clear" w:color="000000" w:fill="FFFFFF"/>
      <w:spacing w:before="100" w:beforeAutospacing="1" w:after="100" w:afterAutospacing="1"/>
      <w:textAlignment w:val="center"/>
    </w:pPr>
    <w:rPr>
      <w:b/>
      <w:bCs/>
      <w:color w:val="000000"/>
      <w:sz w:val="16"/>
      <w:szCs w:val="16"/>
      <w:lang w:val="es-MX" w:eastAsia="es-MX"/>
    </w:rPr>
  </w:style>
  <w:style w:type="paragraph" w:customStyle="1" w:styleId="xl179">
    <w:name w:val="xl179"/>
    <w:basedOn w:val="Normal"/>
    <w:uiPriority w:val="99"/>
    <w:rsid w:val="00B8501C"/>
    <w:pPr>
      <w:pBdr>
        <w:top w:val="single" w:sz="8" w:space="0" w:color="333333"/>
        <w:bottom w:val="single" w:sz="8" w:space="0" w:color="333333"/>
        <w:right w:val="single" w:sz="8" w:space="0" w:color="333333"/>
      </w:pBdr>
      <w:shd w:val="clear" w:color="000000" w:fill="FFFFFF"/>
      <w:spacing w:before="100" w:beforeAutospacing="1" w:after="100" w:afterAutospacing="1"/>
      <w:textAlignment w:val="center"/>
    </w:pPr>
    <w:rPr>
      <w:b/>
      <w:bCs/>
      <w:color w:val="000000"/>
      <w:sz w:val="16"/>
      <w:szCs w:val="16"/>
      <w:lang w:val="es-MX" w:eastAsia="es-MX"/>
    </w:rPr>
  </w:style>
  <w:style w:type="paragraph" w:customStyle="1" w:styleId="xl180">
    <w:name w:val="xl180"/>
    <w:basedOn w:val="Normal"/>
    <w:uiPriority w:val="99"/>
    <w:rsid w:val="00B8501C"/>
    <w:pPr>
      <w:pBdr>
        <w:top w:val="single" w:sz="8" w:space="0" w:color="333333"/>
        <w:bottom w:val="single" w:sz="8" w:space="0" w:color="333333"/>
        <w:right w:val="single" w:sz="8" w:space="0" w:color="auto"/>
      </w:pBdr>
      <w:shd w:val="clear" w:color="000000" w:fill="FFFFFF"/>
      <w:spacing w:before="100" w:beforeAutospacing="1" w:after="100" w:afterAutospacing="1"/>
      <w:textAlignment w:val="center"/>
    </w:pPr>
    <w:rPr>
      <w:b/>
      <w:bCs/>
      <w:color w:val="000000"/>
      <w:sz w:val="16"/>
      <w:szCs w:val="16"/>
      <w:lang w:val="es-MX" w:eastAsia="es-MX"/>
    </w:rPr>
  </w:style>
  <w:style w:type="paragraph" w:customStyle="1" w:styleId="xl181">
    <w:name w:val="xl181"/>
    <w:basedOn w:val="Normal"/>
    <w:uiPriority w:val="99"/>
    <w:rsid w:val="00B8501C"/>
    <w:pPr>
      <w:pBdr>
        <w:top w:val="single" w:sz="8" w:space="0" w:color="333333"/>
        <w:bottom w:val="single" w:sz="8" w:space="0" w:color="auto"/>
        <w:right w:val="single" w:sz="8" w:space="0" w:color="auto"/>
      </w:pBdr>
      <w:shd w:val="clear" w:color="000000" w:fill="FFFFFF"/>
      <w:spacing w:before="100" w:beforeAutospacing="1" w:after="100" w:afterAutospacing="1"/>
      <w:textAlignment w:val="center"/>
    </w:pPr>
    <w:rPr>
      <w:b/>
      <w:bCs/>
      <w:color w:val="000000"/>
      <w:sz w:val="16"/>
      <w:szCs w:val="16"/>
      <w:lang w:val="es-MX" w:eastAsia="es-MX"/>
    </w:rPr>
  </w:style>
  <w:style w:type="paragraph" w:customStyle="1" w:styleId="xl182">
    <w:name w:val="xl182"/>
    <w:basedOn w:val="Normal"/>
    <w:uiPriority w:val="99"/>
    <w:rsid w:val="00B8501C"/>
    <w:pPr>
      <w:pBdr>
        <w:top w:val="single" w:sz="8" w:space="0" w:color="auto"/>
        <w:bottom w:val="single" w:sz="8" w:space="0" w:color="333333"/>
        <w:right w:val="single" w:sz="8" w:space="0" w:color="auto"/>
      </w:pBdr>
      <w:shd w:val="clear" w:color="000000" w:fill="FFFFFF"/>
      <w:spacing w:before="100" w:beforeAutospacing="1" w:after="100" w:afterAutospacing="1"/>
      <w:textAlignment w:val="center"/>
    </w:pPr>
    <w:rPr>
      <w:b/>
      <w:bCs/>
      <w:color w:val="000000"/>
      <w:sz w:val="16"/>
      <w:szCs w:val="16"/>
      <w:lang w:val="es-MX" w:eastAsia="es-MX"/>
    </w:rPr>
  </w:style>
  <w:style w:type="paragraph" w:customStyle="1" w:styleId="xl183">
    <w:name w:val="xl183"/>
    <w:basedOn w:val="Normal"/>
    <w:uiPriority w:val="99"/>
    <w:rsid w:val="00B8501C"/>
    <w:pPr>
      <w:pBdr>
        <w:top w:val="single" w:sz="8" w:space="0" w:color="auto"/>
        <w:left w:val="single" w:sz="8" w:space="0" w:color="auto"/>
      </w:pBdr>
      <w:shd w:val="clear" w:color="000000" w:fill="FFFFFF"/>
      <w:spacing w:before="100" w:beforeAutospacing="1" w:after="100" w:afterAutospacing="1"/>
      <w:jc w:val="center"/>
      <w:textAlignment w:val="center"/>
    </w:pPr>
    <w:rPr>
      <w:color w:val="000000"/>
      <w:sz w:val="16"/>
      <w:szCs w:val="16"/>
      <w:lang w:val="es-MX" w:eastAsia="es-MX"/>
    </w:rPr>
  </w:style>
  <w:style w:type="paragraph" w:customStyle="1" w:styleId="xl184">
    <w:name w:val="xl184"/>
    <w:basedOn w:val="Normal"/>
    <w:uiPriority w:val="99"/>
    <w:rsid w:val="00B8501C"/>
    <w:pPr>
      <w:pBdr>
        <w:top w:val="single" w:sz="8" w:space="0" w:color="auto"/>
      </w:pBdr>
      <w:shd w:val="clear" w:color="000000" w:fill="FFFFFF"/>
      <w:spacing w:before="100" w:beforeAutospacing="1" w:after="100" w:afterAutospacing="1"/>
      <w:jc w:val="center"/>
      <w:textAlignment w:val="center"/>
    </w:pPr>
    <w:rPr>
      <w:color w:val="000000"/>
      <w:sz w:val="16"/>
      <w:szCs w:val="16"/>
      <w:lang w:val="es-MX" w:eastAsia="es-MX"/>
    </w:rPr>
  </w:style>
  <w:style w:type="paragraph" w:customStyle="1" w:styleId="xl185">
    <w:name w:val="xl185"/>
    <w:basedOn w:val="Normal"/>
    <w:uiPriority w:val="99"/>
    <w:rsid w:val="00B8501C"/>
    <w:pPr>
      <w:pBdr>
        <w:top w:val="single" w:sz="8" w:space="0" w:color="auto"/>
        <w:right w:val="single" w:sz="8" w:space="0" w:color="auto"/>
      </w:pBdr>
      <w:shd w:val="clear" w:color="000000" w:fill="FFFFFF"/>
      <w:spacing w:before="100" w:beforeAutospacing="1" w:after="100" w:afterAutospacing="1"/>
      <w:jc w:val="center"/>
      <w:textAlignment w:val="center"/>
    </w:pPr>
    <w:rPr>
      <w:color w:val="000000"/>
      <w:sz w:val="16"/>
      <w:szCs w:val="16"/>
      <w:lang w:val="es-MX" w:eastAsia="es-MX"/>
    </w:rPr>
  </w:style>
  <w:style w:type="paragraph" w:customStyle="1" w:styleId="xl186">
    <w:name w:val="xl186"/>
    <w:basedOn w:val="Normal"/>
    <w:uiPriority w:val="99"/>
    <w:rsid w:val="00B8501C"/>
    <w:pPr>
      <w:pBdr>
        <w:left w:val="single" w:sz="8" w:space="0" w:color="auto"/>
        <w:bottom w:val="single" w:sz="8" w:space="0" w:color="auto"/>
      </w:pBdr>
      <w:shd w:val="clear" w:color="000000" w:fill="FFFFFF"/>
      <w:spacing w:before="100" w:beforeAutospacing="1" w:after="100" w:afterAutospacing="1"/>
      <w:jc w:val="center"/>
      <w:textAlignment w:val="center"/>
    </w:pPr>
    <w:rPr>
      <w:color w:val="000000"/>
      <w:sz w:val="16"/>
      <w:szCs w:val="16"/>
      <w:lang w:val="es-MX" w:eastAsia="es-MX"/>
    </w:rPr>
  </w:style>
  <w:style w:type="paragraph" w:customStyle="1" w:styleId="xl187">
    <w:name w:val="xl187"/>
    <w:basedOn w:val="Normal"/>
    <w:uiPriority w:val="99"/>
    <w:rsid w:val="00B8501C"/>
    <w:pPr>
      <w:pBdr>
        <w:bottom w:val="single" w:sz="8" w:space="0" w:color="auto"/>
      </w:pBdr>
      <w:shd w:val="clear" w:color="000000" w:fill="FFFFFF"/>
      <w:spacing w:before="100" w:beforeAutospacing="1" w:after="100" w:afterAutospacing="1"/>
      <w:jc w:val="center"/>
      <w:textAlignment w:val="center"/>
    </w:pPr>
    <w:rPr>
      <w:color w:val="000000"/>
      <w:sz w:val="16"/>
      <w:szCs w:val="16"/>
      <w:lang w:val="es-MX" w:eastAsia="es-MX"/>
    </w:rPr>
  </w:style>
  <w:style w:type="paragraph" w:customStyle="1" w:styleId="xl188">
    <w:name w:val="xl188"/>
    <w:basedOn w:val="Normal"/>
    <w:uiPriority w:val="99"/>
    <w:rsid w:val="00B8501C"/>
    <w:pPr>
      <w:pBdr>
        <w:bottom w:val="single" w:sz="8" w:space="0" w:color="auto"/>
        <w:right w:val="single" w:sz="8" w:space="0" w:color="auto"/>
      </w:pBdr>
      <w:shd w:val="clear" w:color="000000" w:fill="FFFFFF"/>
      <w:spacing w:before="100" w:beforeAutospacing="1" w:after="100" w:afterAutospacing="1"/>
      <w:jc w:val="center"/>
      <w:textAlignment w:val="center"/>
    </w:pPr>
    <w:rPr>
      <w:color w:val="000000"/>
      <w:sz w:val="16"/>
      <w:szCs w:val="16"/>
      <w:lang w:val="es-MX" w:eastAsia="es-MX"/>
    </w:rPr>
  </w:style>
  <w:style w:type="paragraph" w:customStyle="1" w:styleId="xl189">
    <w:name w:val="xl189"/>
    <w:basedOn w:val="Normal"/>
    <w:uiPriority w:val="99"/>
    <w:rsid w:val="00B8501C"/>
    <w:pPr>
      <w:pBdr>
        <w:right w:val="single" w:sz="8" w:space="0" w:color="333333"/>
      </w:pBdr>
      <w:shd w:val="clear" w:color="000000" w:fill="FFFFFF"/>
      <w:spacing w:before="100" w:beforeAutospacing="1" w:after="100" w:afterAutospacing="1"/>
      <w:textAlignment w:val="center"/>
    </w:pPr>
    <w:rPr>
      <w:color w:val="000000"/>
      <w:sz w:val="16"/>
      <w:szCs w:val="16"/>
      <w:lang w:val="es-MX" w:eastAsia="es-MX"/>
    </w:rPr>
  </w:style>
  <w:style w:type="paragraph" w:customStyle="1" w:styleId="xl190">
    <w:name w:val="xl190"/>
    <w:basedOn w:val="Normal"/>
    <w:uiPriority w:val="99"/>
    <w:rsid w:val="00B8501C"/>
    <w:pPr>
      <w:pBdr>
        <w:top w:val="single" w:sz="8" w:space="0" w:color="auto"/>
        <w:left w:val="single" w:sz="8" w:space="0" w:color="auto"/>
      </w:pBdr>
      <w:shd w:val="clear" w:color="000000" w:fill="FFFFFF"/>
      <w:spacing w:before="100" w:beforeAutospacing="1" w:after="100" w:afterAutospacing="1"/>
      <w:textAlignment w:val="center"/>
    </w:pPr>
    <w:rPr>
      <w:color w:val="000000"/>
      <w:sz w:val="16"/>
      <w:szCs w:val="16"/>
      <w:lang w:val="es-MX" w:eastAsia="es-MX"/>
    </w:rPr>
  </w:style>
  <w:style w:type="paragraph" w:customStyle="1" w:styleId="xl191">
    <w:name w:val="xl191"/>
    <w:basedOn w:val="Normal"/>
    <w:uiPriority w:val="99"/>
    <w:rsid w:val="00B8501C"/>
    <w:pPr>
      <w:pBdr>
        <w:top w:val="single" w:sz="8" w:space="0" w:color="auto"/>
      </w:pBdr>
      <w:shd w:val="clear" w:color="000000" w:fill="FFFFFF"/>
      <w:spacing w:before="100" w:beforeAutospacing="1" w:after="100" w:afterAutospacing="1"/>
      <w:textAlignment w:val="center"/>
    </w:pPr>
    <w:rPr>
      <w:color w:val="000000"/>
      <w:sz w:val="16"/>
      <w:szCs w:val="16"/>
      <w:lang w:val="es-MX" w:eastAsia="es-MX"/>
    </w:rPr>
  </w:style>
  <w:style w:type="paragraph" w:customStyle="1" w:styleId="xl192">
    <w:name w:val="xl192"/>
    <w:basedOn w:val="Normal"/>
    <w:uiPriority w:val="99"/>
    <w:rsid w:val="00B8501C"/>
    <w:pPr>
      <w:pBdr>
        <w:bottom w:val="single" w:sz="8" w:space="0" w:color="auto"/>
      </w:pBdr>
      <w:shd w:val="clear" w:color="000000" w:fill="FFFFFF"/>
      <w:spacing w:before="100" w:beforeAutospacing="1" w:after="100" w:afterAutospacing="1"/>
      <w:textAlignment w:val="center"/>
    </w:pPr>
    <w:rPr>
      <w:b/>
      <w:bCs/>
      <w:color w:val="000000"/>
      <w:sz w:val="16"/>
      <w:szCs w:val="16"/>
      <w:lang w:val="es-MX" w:eastAsia="es-MX"/>
    </w:rPr>
  </w:style>
  <w:style w:type="paragraph" w:customStyle="1" w:styleId="xl193">
    <w:name w:val="xl193"/>
    <w:basedOn w:val="Normal"/>
    <w:uiPriority w:val="99"/>
    <w:rsid w:val="00B8501C"/>
    <w:pPr>
      <w:pBdr>
        <w:bottom w:val="single" w:sz="8" w:space="0" w:color="auto"/>
        <w:right w:val="single" w:sz="8" w:space="0" w:color="333333"/>
      </w:pBdr>
      <w:shd w:val="clear" w:color="000000" w:fill="FFFFFF"/>
      <w:spacing w:before="100" w:beforeAutospacing="1" w:after="100" w:afterAutospacing="1"/>
      <w:textAlignment w:val="center"/>
    </w:pPr>
    <w:rPr>
      <w:b/>
      <w:bCs/>
      <w:color w:val="000000"/>
      <w:sz w:val="16"/>
      <w:szCs w:val="16"/>
      <w:lang w:val="es-MX" w:eastAsia="es-MX"/>
    </w:rPr>
  </w:style>
  <w:style w:type="paragraph" w:customStyle="1" w:styleId="xl194">
    <w:name w:val="xl194"/>
    <w:basedOn w:val="Normal"/>
    <w:uiPriority w:val="99"/>
    <w:rsid w:val="00B8501C"/>
    <w:pPr>
      <w:pBdr>
        <w:top w:val="single" w:sz="8" w:space="0" w:color="auto"/>
        <w:bottom w:val="single" w:sz="8" w:space="0" w:color="auto"/>
        <w:right w:val="single" w:sz="8" w:space="0" w:color="auto"/>
      </w:pBdr>
      <w:shd w:val="clear" w:color="000000" w:fill="FFFFFF"/>
      <w:spacing w:before="100" w:beforeAutospacing="1" w:after="100" w:afterAutospacing="1"/>
      <w:textAlignment w:val="center"/>
    </w:pPr>
    <w:rPr>
      <w:color w:val="000000"/>
      <w:sz w:val="16"/>
      <w:szCs w:val="16"/>
      <w:lang w:val="es-MX" w:eastAsia="es-MX"/>
    </w:rPr>
  </w:style>
  <w:style w:type="paragraph" w:customStyle="1" w:styleId="xl195">
    <w:name w:val="xl195"/>
    <w:basedOn w:val="Normal"/>
    <w:uiPriority w:val="99"/>
    <w:rsid w:val="00B8501C"/>
    <w:pPr>
      <w:pBdr>
        <w:top w:val="single" w:sz="8" w:space="0" w:color="auto"/>
        <w:bottom w:val="single" w:sz="8" w:space="0" w:color="auto"/>
      </w:pBdr>
      <w:shd w:val="clear" w:color="000000" w:fill="FFFFFF"/>
      <w:spacing w:before="100" w:beforeAutospacing="1" w:after="100" w:afterAutospacing="1"/>
      <w:textAlignment w:val="center"/>
    </w:pPr>
    <w:rPr>
      <w:b/>
      <w:bCs/>
      <w:color w:val="000000"/>
      <w:sz w:val="16"/>
      <w:szCs w:val="16"/>
      <w:lang w:val="es-MX" w:eastAsia="es-MX"/>
    </w:rPr>
  </w:style>
  <w:style w:type="paragraph" w:customStyle="1" w:styleId="xl196">
    <w:name w:val="xl196"/>
    <w:basedOn w:val="Normal"/>
    <w:uiPriority w:val="99"/>
    <w:rsid w:val="00B8501C"/>
    <w:pPr>
      <w:pBdr>
        <w:top w:val="single" w:sz="8" w:space="0" w:color="auto"/>
        <w:bottom w:val="single" w:sz="8" w:space="0" w:color="auto"/>
        <w:right w:val="single" w:sz="8" w:space="0" w:color="auto"/>
      </w:pBdr>
      <w:shd w:val="clear" w:color="000000" w:fill="FFFFFF"/>
      <w:spacing w:before="100" w:beforeAutospacing="1" w:after="100" w:afterAutospacing="1"/>
      <w:textAlignment w:val="center"/>
    </w:pPr>
    <w:rPr>
      <w:b/>
      <w:bCs/>
      <w:color w:val="000000"/>
      <w:sz w:val="16"/>
      <w:szCs w:val="16"/>
      <w:lang w:val="es-MX" w:eastAsia="es-MX"/>
    </w:rPr>
  </w:style>
  <w:style w:type="paragraph" w:customStyle="1" w:styleId="xl197">
    <w:name w:val="xl197"/>
    <w:basedOn w:val="Normal"/>
    <w:uiPriority w:val="99"/>
    <w:rsid w:val="00B8501C"/>
    <w:pPr>
      <w:pBdr>
        <w:top w:val="single" w:sz="8" w:space="0" w:color="auto"/>
        <w:bottom w:val="single" w:sz="8" w:space="0" w:color="auto"/>
      </w:pBdr>
      <w:shd w:val="clear" w:color="000000" w:fill="FFFFFF"/>
      <w:spacing w:before="100" w:beforeAutospacing="1" w:after="100" w:afterAutospacing="1"/>
      <w:jc w:val="center"/>
      <w:textAlignment w:val="center"/>
    </w:pPr>
    <w:rPr>
      <w:b/>
      <w:bCs/>
      <w:color w:val="000000"/>
      <w:sz w:val="16"/>
      <w:szCs w:val="16"/>
      <w:lang w:val="es-MX" w:eastAsia="es-MX"/>
    </w:rPr>
  </w:style>
  <w:style w:type="paragraph" w:customStyle="1" w:styleId="xl198">
    <w:name w:val="xl198"/>
    <w:basedOn w:val="Normal"/>
    <w:uiPriority w:val="99"/>
    <w:rsid w:val="00B8501C"/>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color w:val="000000"/>
      <w:sz w:val="16"/>
      <w:szCs w:val="16"/>
      <w:lang w:val="es-MX" w:eastAsia="es-MX"/>
    </w:rPr>
  </w:style>
  <w:style w:type="paragraph" w:customStyle="1" w:styleId="xl199">
    <w:name w:val="xl199"/>
    <w:basedOn w:val="Normal"/>
    <w:uiPriority w:val="99"/>
    <w:rsid w:val="00B8501C"/>
    <w:pPr>
      <w:pBdr>
        <w:bottom w:val="single" w:sz="8" w:space="0" w:color="333333"/>
        <w:right w:val="single" w:sz="8" w:space="0" w:color="auto"/>
      </w:pBdr>
      <w:shd w:val="clear" w:color="000000" w:fill="FFFFFF"/>
      <w:spacing w:before="100" w:beforeAutospacing="1" w:after="100" w:afterAutospacing="1"/>
      <w:jc w:val="right"/>
      <w:textAlignment w:val="center"/>
    </w:pPr>
    <w:rPr>
      <w:b/>
      <w:bCs/>
      <w:color w:val="000000"/>
      <w:sz w:val="16"/>
      <w:szCs w:val="16"/>
      <w:lang w:val="es-MX" w:eastAsia="es-MX"/>
    </w:rPr>
  </w:style>
  <w:style w:type="paragraph" w:customStyle="1" w:styleId="xl200">
    <w:name w:val="xl200"/>
    <w:basedOn w:val="Normal"/>
    <w:uiPriority w:val="99"/>
    <w:rsid w:val="00B8501C"/>
    <w:pPr>
      <w:pBdr>
        <w:bottom w:val="single" w:sz="8" w:space="0" w:color="333333"/>
        <w:right w:val="single" w:sz="8" w:space="0" w:color="auto"/>
      </w:pBdr>
      <w:shd w:val="clear" w:color="000000" w:fill="FFFFFF"/>
      <w:spacing w:before="100" w:beforeAutospacing="1" w:after="100" w:afterAutospacing="1"/>
      <w:jc w:val="right"/>
      <w:textAlignment w:val="center"/>
    </w:pPr>
    <w:rPr>
      <w:color w:val="000000"/>
      <w:sz w:val="16"/>
      <w:szCs w:val="16"/>
      <w:lang w:val="es-MX" w:eastAsia="es-MX"/>
    </w:rPr>
  </w:style>
  <w:style w:type="paragraph" w:customStyle="1" w:styleId="xl201">
    <w:name w:val="xl201"/>
    <w:basedOn w:val="Normal"/>
    <w:uiPriority w:val="99"/>
    <w:rsid w:val="00B8501C"/>
    <w:pPr>
      <w:pBdr>
        <w:bottom w:val="single" w:sz="8" w:space="0" w:color="auto"/>
        <w:right w:val="single" w:sz="8" w:space="0" w:color="auto"/>
      </w:pBdr>
      <w:shd w:val="clear" w:color="000000" w:fill="FFFFFF"/>
      <w:spacing w:before="100" w:beforeAutospacing="1" w:after="100" w:afterAutospacing="1"/>
      <w:jc w:val="right"/>
      <w:textAlignment w:val="center"/>
    </w:pPr>
    <w:rPr>
      <w:color w:val="000000"/>
      <w:sz w:val="16"/>
      <w:szCs w:val="16"/>
      <w:lang w:val="es-MX" w:eastAsia="es-MX"/>
    </w:rPr>
  </w:style>
  <w:style w:type="paragraph" w:customStyle="1" w:styleId="xl202">
    <w:name w:val="xl202"/>
    <w:basedOn w:val="Normal"/>
    <w:uiPriority w:val="99"/>
    <w:rsid w:val="00B8501C"/>
    <w:pPr>
      <w:pBdr>
        <w:top w:val="single" w:sz="8" w:space="0" w:color="auto"/>
        <w:left w:val="single" w:sz="8" w:space="0" w:color="auto"/>
        <w:right w:val="single" w:sz="8" w:space="0" w:color="auto"/>
      </w:pBdr>
      <w:shd w:val="clear" w:color="000000" w:fill="FFFFFF"/>
      <w:spacing w:before="100" w:beforeAutospacing="1" w:after="100" w:afterAutospacing="1"/>
      <w:jc w:val="right"/>
      <w:textAlignment w:val="center"/>
    </w:pPr>
    <w:rPr>
      <w:color w:val="000000"/>
      <w:sz w:val="16"/>
      <w:szCs w:val="16"/>
      <w:lang w:val="es-MX" w:eastAsia="es-MX"/>
    </w:rPr>
  </w:style>
  <w:style w:type="paragraph" w:customStyle="1" w:styleId="xl203">
    <w:name w:val="xl203"/>
    <w:basedOn w:val="Normal"/>
    <w:uiPriority w:val="99"/>
    <w:rsid w:val="00B8501C"/>
    <w:pPr>
      <w:pBdr>
        <w:left w:val="single" w:sz="8" w:space="0" w:color="auto"/>
        <w:bottom w:val="single" w:sz="8" w:space="0" w:color="auto"/>
        <w:right w:val="single" w:sz="8" w:space="0" w:color="auto"/>
      </w:pBdr>
      <w:shd w:val="clear" w:color="000000" w:fill="FFFFFF"/>
      <w:spacing w:before="100" w:beforeAutospacing="1" w:after="100" w:afterAutospacing="1"/>
      <w:jc w:val="right"/>
      <w:textAlignment w:val="center"/>
    </w:pPr>
    <w:rPr>
      <w:color w:val="000000"/>
      <w:sz w:val="16"/>
      <w:szCs w:val="16"/>
      <w:lang w:val="es-MX" w:eastAsia="es-MX"/>
    </w:rPr>
  </w:style>
  <w:style w:type="paragraph" w:customStyle="1" w:styleId="xl204">
    <w:name w:val="xl204"/>
    <w:basedOn w:val="Normal"/>
    <w:uiPriority w:val="99"/>
    <w:rsid w:val="00B8501C"/>
    <w:pPr>
      <w:pBdr>
        <w:bottom w:val="single" w:sz="8" w:space="0" w:color="auto"/>
        <w:right w:val="single" w:sz="8" w:space="0" w:color="auto"/>
      </w:pBdr>
      <w:shd w:val="clear" w:color="000000" w:fill="FFFFFF"/>
      <w:spacing w:before="100" w:beforeAutospacing="1" w:after="100" w:afterAutospacing="1"/>
      <w:jc w:val="right"/>
      <w:textAlignment w:val="center"/>
    </w:pPr>
    <w:rPr>
      <w:b/>
      <w:bCs/>
      <w:color w:val="000000"/>
      <w:sz w:val="16"/>
      <w:szCs w:val="16"/>
      <w:lang w:val="es-MX" w:eastAsia="es-MX"/>
    </w:rPr>
  </w:style>
  <w:style w:type="paragraph" w:customStyle="1" w:styleId="xl205">
    <w:name w:val="xl205"/>
    <w:basedOn w:val="Normal"/>
    <w:uiPriority w:val="99"/>
    <w:rsid w:val="00B8501C"/>
    <w:pPr>
      <w:pBdr>
        <w:bottom w:val="single" w:sz="8" w:space="0" w:color="333333"/>
        <w:right w:val="single" w:sz="8" w:space="0" w:color="auto"/>
      </w:pBdr>
      <w:shd w:val="clear" w:color="000000" w:fill="FFFFFF"/>
      <w:spacing w:before="100" w:beforeAutospacing="1" w:after="100" w:afterAutospacing="1"/>
      <w:jc w:val="right"/>
      <w:textAlignment w:val="center"/>
    </w:pPr>
    <w:rPr>
      <w:rFonts w:ascii="Arial Narrow" w:hAnsi="Arial Narrow"/>
      <w:b/>
      <w:bCs/>
      <w:color w:val="000000"/>
      <w:sz w:val="20"/>
      <w:szCs w:val="20"/>
      <w:lang w:val="es-MX" w:eastAsia="es-MX"/>
    </w:rPr>
  </w:style>
  <w:style w:type="paragraph" w:customStyle="1" w:styleId="xl206">
    <w:name w:val="xl206"/>
    <w:basedOn w:val="Normal"/>
    <w:uiPriority w:val="99"/>
    <w:rsid w:val="00B8501C"/>
    <w:pPr>
      <w:pBdr>
        <w:bottom w:val="single" w:sz="8" w:space="0" w:color="333333"/>
        <w:right w:val="single" w:sz="8" w:space="0" w:color="auto"/>
      </w:pBdr>
      <w:shd w:val="clear" w:color="000000" w:fill="FFFFFF"/>
      <w:spacing w:before="100" w:beforeAutospacing="1" w:after="100" w:afterAutospacing="1"/>
      <w:jc w:val="right"/>
      <w:textAlignment w:val="center"/>
    </w:pPr>
    <w:rPr>
      <w:rFonts w:ascii="Arial Narrow" w:hAnsi="Arial Narrow"/>
      <w:color w:val="000000"/>
      <w:sz w:val="20"/>
      <w:szCs w:val="20"/>
      <w:lang w:val="es-MX" w:eastAsia="es-MX"/>
    </w:rPr>
  </w:style>
  <w:style w:type="paragraph" w:customStyle="1" w:styleId="xl207">
    <w:name w:val="xl207"/>
    <w:basedOn w:val="Normal"/>
    <w:uiPriority w:val="99"/>
    <w:rsid w:val="00B8501C"/>
    <w:pPr>
      <w:pBdr>
        <w:right w:val="single" w:sz="8" w:space="0" w:color="auto"/>
      </w:pBdr>
      <w:shd w:val="clear" w:color="000000" w:fill="FFFFFF"/>
      <w:spacing w:before="100" w:beforeAutospacing="1" w:after="100" w:afterAutospacing="1"/>
      <w:jc w:val="right"/>
      <w:textAlignment w:val="center"/>
    </w:pPr>
    <w:rPr>
      <w:color w:val="000000"/>
      <w:sz w:val="16"/>
      <w:szCs w:val="16"/>
      <w:lang w:val="es-MX" w:eastAsia="es-MX"/>
    </w:rPr>
  </w:style>
  <w:style w:type="paragraph" w:customStyle="1" w:styleId="xl208">
    <w:name w:val="xl208"/>
    <w:basedOn w:val="Normal"/>
    <w:uiPriority w:val="99"/>
    <w:rsid w:val="00B8501C"/>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right"/>
      <w:textAlignment w:val="center"/>
    </w:pPr>
    <w:rPr>
      <w:b/>
      <w:bCs/>
      <w:color w:val="000000"/>
      <w:sz w:val="16"/>
      <w:szCs w:val="16"/>
      <w:lang w:val="es-MX" w:eastAsia="es-MX"/>
    </w:rPr>
  </w:style>
  <w:style w:type="paragraph" w:customStyle="1" w:styleId="xl209">
    <w:name w:val="xl209"/>
    <w:basedOn w:val="Normal"/>
    <w:uiPriority w:val="99"/>
    <w:rsid w:val="00B8501C"/>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right"/>
      <w:textAlignment w:val="center"/>
    </w:pPr>
    <w:rPr>
      <w:color w:val="000000"/>
      <w:sz w:val="16"/>
      <w:szCs w:val="16"/>
      <w:lang w:val="es-MX" w:eastAsia="es-MX"/>
    </w:rPr>
  </w:style>
  <w:style w:type="paragraph" w:customStyle="1" w:styleId="xl210">
    <w:name w:val="xl210"/>
    <w:basedOn w:val="Normal"/>
    <w:uiPriority w:val="99"/>
    <w:rsid w:val="00B8501C"/>
    <w:pPr>
      <w:pBdr>
        <w:top w:val="single" w:sz="8" w:space="0" w:color="auto"/>
      </w:pBdr>
      <w:shd w:val="clear" w:color="000000" w:fill="FFFFFF"/>
      <w:spacing w:before="100" w:beforeAutospacing="1" w:after="100" w:afterAutospacing="1"/>
      <w:jc w:val="center"/>
      <w:textAlignment w:val="center"/>
    </w:pPr>
    <w:rPr>
      <w:color w:val="000000"/>
      <w:sz w:val="16"/>
      <w:szCs w:val="16"/>
      <w:lang w:val="es-MX" w:eastAsia="es-MX"/>
    </w:rPr>
  </w:style>
  <w:style w:type="paragraph" w:customStyle="1" w:styleId="xl211">
    <w:name w:val="xl211"/>
    <w:basedOn w:val="Normal"/>
    <w:uiPriority w:val="99"/>
    <w:rsid w:val="00B8501C"/>
    <w:pPr>
      <w:pBdr>
        <w:top w:val="single" w:sz="8" w:space="0" w:color="auto"/>
        <w:right w:val="single" w:sz="8" w:space="0" w:color="auto"/>
      </w:pBdr>
      <w:shd w:val="clear" w:color="000000" w:fill="FFFFFF"/>
      <w:spacing w:before="100" w:beforeAutospacing="1" w:after="100" w:afterAutospacing="1"/>
      <w:jc w:val="center"/>
      <w:textAlignment w:val="center"/>
    </w:pPr>
    <w:rPr>
      <w:color w:val="000000"/>
      <w:sz w:val="16"/>
      <w:szCs w:val="16"/>
      <w:lang w:val="es-MX" w:eastAsia="es-MX"/>
    </w:rPr>
  </w:style>
  <w:style w:type="paragraph" w:customStyle="1" w:styleId="xl212">
    <w:name w:val="xl212"/>
    <w:basedOn w:val="Normal"/>
    <w:uiPriority w:val="99"/>
    <w:rsid w:val="00B8501C"/>
    <w:pPr>
      <w:pBdr>
        <w:top w:val="single" w:sz="8" w:space="0" w:color="auto"/>
        <w:left w:val="single" w:sz="8" w:space="0" w:color="auto"/>
        <w:right w:val="single" w:sz="8" w:space="0" w:color="auto"/>
      </w:pBdr>
      <w:shd w:val="clear" w:color="000000" w:fill="FFFFFF"/>
      <w:spacing w:before="100" w:beforeAutospacing="1" w:after="100" w:afterAutospacing="1"/>
      <w:jc w:val="right"/>
      <w:textAlignment w:val="center"/>
    </w:pPr>
    <w:rPr>
      <w:color w:val="000000"/>
      <w:sz w:val="16"/>
      <w:szCs w:val="16"/>
      <w:lang w:val="es-MX" w:eastAsia="es-MX"/>
    </w:rPr>
  </w:style>
  <w:style w:type="paragraph" w:customStyle="1" w:styleId="xl213">
    <w:name w:val="xl213"/>
    <w:basedOn w:val="Normal"/>
    <w:uiPriority w:val="99"/>
    <w:rsid w:val="00B8501C"/>
    <w:pPr>
      <w:pBdr>
        <w:left w:val="single" w:sz="8" w:space="0" w:color="auto"/>
        <w:bottom w:val="single" w:sz="8" w:space="0" w:color="auto"/>
        <w:right w:val="single" w:sz="8" w:space="0" w:color="auto"/>
      </w:pBdr>
      <w:shd w:val="clear" w:color="000000" w:fill="FFFFFF"/>
      <w:spacing w:before="100" w:beforeAutospacing="1" w:after="100" w:afterAutospacing="1"/>
      <w:jc w:val="right"/>
      <w:textAlignment w:val="center"/>
    </w:pPr>
    <w:rPr>
      <w:color w:val="000000"/>
      <w:sz w:val="16"/>
      <w:szCs w:val="16"/>
      <w:lang w:val="es-MX" w:eastAsia="es-MX"/>
    </w:rPr>
  </w:style>
  <w:style w:type="paragraph" w:customStyle="1" w:styleId="xl214">
    <w:name w:val="xl214"/>
    <w:basedOn w:val="Normal"/>
    <w:uiPriority w:val="99"/>
    <w:rsid w:val="00B8501C"/>
    <w:pPr>
      <w:pBdr>
        <w:top w:val="single" w:sz="8" w:space="0" w:color="auto"/>
        <w:left w:val="single" w:sz="8" w:space="0" w:color="auto"/>
      </w:pBdr>
      <w:shd w:val="clear" w:color="000000" w:fill="FFFFFF"/>
      <w:spacing w:before="100" w:beforeAutospacing="1" w:after="100" w:afterAutospacing="1"/>
      <w:jc w:val="right"/>
      <w:textAlignment w:val="center"/>
    </w:pPr>
    <w:rPr>
      <w:color w:val="000000"/>
      <w:sz w:val="16"/>
      <w:szCs w:val="16"/>
      <w:lang w:val="es-MX" w:eastAsia="es-MX"/>
    </w:rPr>
  </w:style>
  <w:style w:type="paragraph" w:customStyle="1" w:styleId="xl215">
    <w:name w:val="xl215"/>
    <w:basedOn w:val="Normal"/>
    <w:uiPriority w:val="99"/>
    <w:rsid w:val="00B8501C"/>
    <w:pPr>
      <w:pBdr>
        <w:top w:val="single" w:sz="8" w:space="0" w:color="auto"/>
      </w:pBdr>
      <w:shd w:val="clear" w:color="000000" w:fill="FFFFFF"/>
      <w:spacing w:before="100" w:beforeAutospacing="1" w:after="100" w:afterAutospacing="1"/>
      <w:jc w:val="right"/>
      <w:textAlignment w:val="center"/>
    </w:pPr>
    <w:rPr>
      <w:color w:val="000000"/>
      <w:sz w:val="16"/>
      <w:szCs w:val="16"/>
      <w:lang w:val="es-MX" w:eastAsia="es-MX"/>
    </w:rPr>
  </w:style>
  <w:style w:type="paragraph" w:customStyle="1" w:styleId="xl216">
    <w:name w:val="xl216"/>
    <w:basedOn w:val="Normal"/>
    <w:uiPriority w:val="99"/>
    <w:rsid w:val="00B8501C"/>
    <w:pPr>
      <w:pBdr>
        <w:top w:val="single" w:sz="8" w:space="0" w:color="auto"/>
        <w:right w:val="single" w:sz="8" w:space="0" w:color="auto"/>
      </w:pBdr>
      <w:shd w:val="clear" w:color="000000" w:fill="FFFFFF"/>
      <w:spacing w:before="100" w:beforeAutospacing="1" w:after="100" w:afterAutospacing="1"/>
      <w:jc w:val="right"/>
      <w:textAlignment w:val="center"/>
    </w:pPr>
    <w:rPr>
      <w:color w:val="000000"/>
      <w:sz w:val="16"/>
      <w:szCs w:val="16"/>
      <w:lang w:val="es-MX" w:eastAsia="es-MX"/>
    </w:rPr>
  </w:style>
  <w:style w:type="paragraph" w:customStyle="1" w:styleId="xl217">
    <w:name w:val="xl217"/>
    <w:basedOn w:val="Normal"/>
    <w:uiPriority w:val="99"/>
    <w:rsid w:val="00B8501C"/>
    <w:pPr>
      <w:pBdr>
        <w:left w:val="single" w:sz="8" w:space="0" w:color="auto"/>
        <w:bottom w:val="single" w:sz="8" w:space="0" w:color="auto"/>
      </w:pBdr>
      <w:shd w:val="clear" w:color="000000" w:fill="FFFFFF"/>
      <w:spacing w:before="100" w:beforeAutospacing="1" w:after="100" w:afterAutospacing="1"/>
      <w:jc w:val="right"/>
      <w:textAlignment w:val="center"/>
    </w:pPr>
    <w:rPr>
      <w:color w:val="000000"/>
      <w:sz w:val="16"/>
      <w:szCs w:val="16"/>
      <w:lang w:val="es-MX" w:eastAsia="es-MX"/>
    </w:rPr>
  </w:style>
  <w:style w:type="paragraph" w:customStyle="1" w:styleId="xl218">
    <w:name w:val="xl218"/>
    <w:basedOn w:val="Normal"/>
    <w:uiPriority w:val="99"/>
    <w:rsid w:val="00B8501C"/>
    <w:pPr>
      <w:pBdr>
        <w:bottom w:val="single" w:sz="8" w:space="0" w:color="auto"/>
      </w:pBdr>
      <w:shd w:val="clear" w:color="000000" w:fill="FFFFFF"/>
      <w:spacing w:before="100" w:beforeAutospacing="1" w:after="100" w:afterAutospacing="1"/>
      <w:jc w:val="right"/>
      <w:textAlignment w:val="center"/>
    </w:pPr>
    <w:rPr>
      <w:color w:val="000000"/>
      <w:sz w:val="16"/>
      <w:szCs w:val="16"/>
      <w:lang w:val="es-MX" w:eastAsia="es-MX"/>
    </w:rPr>
  </w:style>
  <w:style w:type="paragraph" w:customStyle="1" w:styleId="xl219">
    <w:name w:val="xl219"/>
    <w:basedOn w:val="Normal"/>
    <w:uiPriority w:val="99"/>
    <w:rsid w:val="00B8501C"/>
    <w:pPr>
      <w:pBdr>
        <w:bottom w:val="single" w:sz="8" w:space="0" w:color="auto"/>
        <w:right w:val="single" w:sz="8" w:space="0" w:color="auto"/>
      </w:pBdr>
      <w:shd w:val="clear" w:color="000000" w:fill="FFFFFF"/>
      <w:spacing w:before="100" w:beforeAutospacing="1" w:after="100" w:afterAutospacing="1"/>
      <w:jc w:val="right"/>
      <w:textAlignment w:val="center"/>
    </w:pPr>
    <w:rPr>
      <w:color w:val="000000"/>
      <w:sz w:val="16"/>
      <w:szCs w:val="16"/>
      <w:lang w:val="es-MX" w:eastAsia="es-MX"/>
    </w:rPr>
  </w:style>
  <w:style w:type="paragraph" w:customStyle="1" w:styleId="xl220">
    <w:name w:val="xl220"/>
    <w:basedOn w:val="Normal"/>
    <w:uiPriority w:val="99"/>
    <w:rsid w:val="00B8501C"/>
    <w:pPr>
      <w:pBdr>
        <w:top w:val="single" w:sz="8" w:space="0" w:color="333333"/>
        <w:bottom w:val="single" w:sz="8" w:space="0" w:color="333333"/>
      </w:pBdr>
      <w:shd w:val="clear" w:color="000000" w:fill="FFFFFF"/>
      <w:spacing w:before="100" w:beforeAutospacing="1" w:after="100" w:afterAutospacing="1"/>
      <w:textAlignment w:val="center"/>
    </w:pPr>
    <w:rPr>
      <w:b/>
      <w:bCs/>
      <w:color w:val="000000"/>
      <w:sz w:val="16"/>
      <w:szCs w:val="16"/>
      <w:lang w:val="es-MX" w:eastAsia="es-MX"/>
    </w:rPr>
  </w:style>
  <w:style w:type="paragraph" w:customStyle="1" w:styleId="xl221">
    <w:name w:val="xl221"/>
    <w:basedOn w:val="Normal"/>
    <w:uiPriority w:val="99"/>
    <w:rsid w:val="00B8501C"/>
    <w:pPr>
      <w:pBdr>
        <w:top w:val="single" w:sz="8" w:space="0" w:color="333333"/>
        <w:bottom w:val="single" w:sz="8" w:space="0" w:color="333333"/>
        <w:right w:val="single" w:sz="8" w:space="0" w:color="333333"/>
      </w:pBdr>
      <w:shd w:val="clear" w:color="000000" w:fill="FFFFFF"/>
      <w:spacing w:before="100" w:beforeAutospacing="1" w:after="100" w:afterAutospacing="1"/>
      <w:textAlignment w:val="center"/>
    </w:pPr>
    <w:rPr>
      <w:b/>
      <w:bCs/>
      <w:color w:val="000000"/>
      <w:sz w:val="16"/>
      <w:szCs w:val="16"/>
      <w:lang w:val="es-MX" w:eastAsia="es-MX"/>
    </w:rPr>
  </w:style>
  <w:style w:type="character" w:customStyle="1" w:styleId="Absatz-Standardschriftart">
    <w:name w:val="Absatz-Standardschriftart"/>
    <w:rsid w:val="00B8501C"/>
  </w:style>
  <w:style w:type="character" w:customStyle="1" w:styleId="WW-Absatz-Standardschriftart">
    <w:name w:val="WW-Absatz-Standardschriftart"/>
    <w:rsid w:val="00B8501C"/>
  </w:style>
  <w:style w:type="character" w:customStyle="1" w:styleId="WW-Absatz-Standardschriftart1">
    <w:name w:val="WW-Absatz-Standardschriftart1"/>
    <w:rsid w:val="00B8501C"/>
  </w:style>
  <w:style w:type="character" w:customStyle="1" w:styleId="WW-Absatz-Standardschriftart11">
    <w:name w:val="WW-Absatz-Standardschriftart11"/>
    <w:rsid w:val="00B8501C"/>
  </w:style>
  <w:style w:type="character" w:customStyle="1" w:styleId="WW-Absatz-Standardschriftart111">
    <w:name w:val="WW-Absatz-Standardschriftart111"/>
    <w:rsid w:val="00B8501C"/>
  </w:style>
  <w:style w:type="character" w:customStyle="1" w:styleId="WW8Num2z0">
    <w:name w:val="WW8Num2z0"/>
    <w:rsid w:val="00B8501C"/>
    <w:rPr>
      <w:rFonts w:ascii="Wingdings" w:hAnsi="Wingdings" w:cs="Wingdings"/>
    </w:rPr>
  </w:style>
  <w:style w:type="character" w:customStyle="1" w:styleId="WW8Num3z0">
    <w:name w:val="WW8Num3z0"/>
    <w:rsid w:val="00B8501C"/>
    <w:rPr>
      <w:rFonts w:ascii="Symbol" w:hAnsi="Symbol" w:cs="Symbol"/>
    </w:rPr>
  </w:style>
  <w:style w:type="character" w:customStyle="1" w:styleId="WW8Num3z1">
    <w:name w:val="WW8Num3z1"/>
    <w:rsid w:val="00B8501C"/>
    <w:rPr>
      <w:rFonts w:ascii="Courier New" w:hAnsi="Courier New" w:cs="Courier New"/>
    </w:rPr>
  </w:style>
  <w:style w:type="character" w:customStyle="1" w:styleId="WW8Num3z2">
    <w:name w:val="WW8Num3z2"/>
    <w:rsid w:val="00B8501C"/>
    <w:rPr>
      <w:rFonts w:ascii="Wingdings" w:hAnsi="Wingdings" w:cs="Wingdings"/>
    </w:rPr>
  </w:style>
  <w:style w:type="character" w:customStyle="1" w:styleId="WW8Num4z0">
    <w:name w:val="WW8Num4z0"/>
    <w:rsid w:val="00B8501C"/>
    <w:rPr>
      <w:rFonts w:ascii="Symbol" w:hAnsi="Symbol" w:cs="Symbol"/>
    </w:rPr>
  </w:style>
  <w:style w:type="character" w:customStyle="1" w:styleId="WW8Num4z1">
    <w:name w:val="WW8Num4z1"/>
    <w:rsid w:val="00B8501C"/>
    <w:rPr>
      <w:rFonts w:ascii="Courier New" w:hAnsi="Courier New" w:cs="Courier New"/>
    </w:rPr>
  </w:style>
  <w:style w:type="character" w:customStyle="1" w:styleId="WW8Num4z2">
    <w:name w:val="WW8Num4z2"/>
    <w:rsid w:val="00B8501C"/>
    <w:rPr>
      <w:rFonts w:ascii="Wingdings" w:hAnsi="Wingdings" w:cs="Wingdings"/>
    </w:rPr>
  </w:style>
  <w:style w:type="character" w:customStyle="1" w:styleId="WW8Num5z0">
    <w:name w:val="WW8Num5z0"/>
    <w:rsid w:val="00B8501C"/>
    <w:rPr>
      <w:rFonts w:ascii="Symbol" w:hAnsi="Symbol" w:cs="Symbol"/>
    </w:rPr>
  </w:style>
  <w:style w:type="character" w:customStyle="1" w:styleId="WW8Num5z1">
    <w:name w:val="WW8Num5z1"/>
    <w:rsid w:val="00B8501C"/>
    <w:rPr>
      <w:rFonts w:ascii="Courier New" w:hAnsi="Courier New" w:cs="Courier New"/>
    </w:rPr>
  </w:style>
  <w:style w:type="character" w:customStyle="1" w:styleId="WW8Num5z2">
    <w:name w:val="WW8Num5z2"/>
    <w:rsid w:val="00B8501C"/>
    <w:rPr>
      <w:rFonts w:ascii="Wingdings" w:hAnsi="Wingdings" w:cs="Wingdings"/>
    </w:rPr>
  </w:style>
  <w:style w:type="character" w:customStyle="1" w:styleId="WW8Num6z0">
    <w:name w:val="WW8Num6z0"/>
    <w:rsid w:val="00B8501C"/>
    <w:rPr>
      <w:rFonts w:ascii="Symbol" w:hAnsi="Symbol" w:cs="Symbol"/>
    </w:rPr>
  </w:style>
  <w:style w:type="character" w:customStyle="1" w:styleId="WW8Num6z1">
    <w:name w:val="WW8Num6z1"/>
    <w:rsid w:val="00B8501C"/>
    <w:rPr>
      <w:rFonts w:ascii="Courier New" w:hAnsi="Courier New" w:cs="Courier New"/>
    </w:rPr>
  </w:style>
  <w:style w:type="character" w:customStyle="1" w:styleId="WW8Num6z2">
    <w:name w:val="WW8Num6z2"/>
    <w:rsid w:val="00B8501C"/>
    <w:rPr>
      <w:rFonts w:ascii="Wingdings" w:hAnsi="Wingdings" w:cs="Wingdings"/>
    </w:rPr>
  </w:style>
  <w:style w:type="character" w:customStyle="1" w:styleId="WW8Num7z0">
    <w:name w:val="WW8Num7z0"/>
    <w:rsid w:val="00B8501C"/>
    <w:rPr>
      <w:rFonts w:ascii="Symbol" w:hAnsi="Symbol" w:cs="Symbol"/>
    </w:rPr>
  </w:style>
  <w:style w:type="character" w:customStyle="1" w:styleId="WW8Num8z0">
    <w:name w:val="WW8Num8z0"/>
    <w:rsid w:val="00B8501C"/>
    <w:rPr>
      <w:rFonts w:ascii="Wingdings" w:hAnsi="Wingdings" w:cs="Wingdings"/>
    </w:rPr>
  </w:style>
  <w:style w:type="character" w:customStyle="1" w:styleId="WW8Num9z0">
    <w:name w:val="WW8Num9z0"/>
    <w:rsid w:val="00B8501C"/>
    <w:rPr>
      <w:rFonts w:ascii="Wingdings" w:hAnsi="Wingdings" w:cs="Wingdings"/>
    </w:rPr>
  </w:style>
  <w:style w:type="character" w:customStyle="1" w:styleId="WW8NumSt3z0">
    <w:name w:val="WW8NumSt3z0"/>
    <w:rsid w:val="00B8501C"/>
    <w:rPr>
      <w:rFonts w:ascii="Arial" w:hAnsi="Arial" w:cs="Arial"/>
      <w:sz w:val="32"/>
    </w:rPr>
  </w:style>
  <w:style w:type="character" w:customStyle="1" w:styleId="Fuentedeprrafopredeter1">
    <w:name w:val="Fuente de párrafo predeter.1"/>
    <w:rsid w:val="00B8501C"/>
  </w:style>
  <w:style w:type="paragraph" w:customStyle="1" w:styleId="Encabezado1">
    <w:name w:val="Encabezado1"/>
    <w:basedOn w:val="Normal"/>
    <w:next w:val="Textoindependiente"/>
    <w:uiPriority w:val="99"/>
    <w:rsid w:val="00B8501C"/>
    <w:pPr>
      <w:keepNext/>
      <w:suppressAutoHyphens/>
      <w:spacing w:before="240" w:after="120"/>
    </w:pPr>
    <w:rPr>
      <w:rFonts w:ascii="Arial" w:eastAsia="WenQuanYi Micro Hei" w:hAnsi="Arial" w:cs="Lohit Hindi"/>
      <w:sz w:val="28"/>
      <w:szCs w:val="28"/>
      <w:lang w:eastAsia="ar-SA"/>
    </w:rPr>
  </w:style>
  <w:style w:type="paragraph" w:styleId="Lista">
    <w:name w:val="List"/>
    <w:basedOn w:val="Textoindependiente"/>
    <w:uiPriority w:val="99"/>
    <w:rsid w:val="00B8501C"/>
    <w:pPr>
      <w:suppressAutoHyphens/>
      <w:spacing w:line="240" w:lineRule="auto"/>
      <w:jc w:val="left"/>
    </w:pPr>
    <w:rPr>
      <w:rFonts w:cs="Lohit Hindi"/>
      <w:b w:val="0"/>
      <w:bCs w:val="0"/>
      <w:sz w:val="16"/>
      <w:szCs w:val="20"/>
      <w:lang w:eastAsia="ar-SA"/>
    </w:rPr>
  </w:style>
  <w:style w:type="paragraph" w:customStyle="1" w:styleId="Etiqueta">
    <w:name w:val="Etiqueta"/>
    <w:basedOn w:val="Normal"/>
    <w:uiPriority w:val="99"/>
    <w:rsid w:val="00B8501C"/>
    <w:pPr>
      <w:suppressLineNumbers/>
      <w:suppressAutoHyphens/>
      <w:spacing w:before="120" w:after="120"/>
    </w:pPr>
    <w:rPr>
      <w:rFonts w:cs="Lohit Hindi"/>
      <w:i/>
      <w:iCs/>
      <w:lang w:eastAsia="ar-SA"/>
    </w:rPr>
  </w:style>
  <w:style w:type="paragraph" w:customStyle="1" w:styleId="ndice">
    <w:name w:val="Índice"/>
    <w:basedOn w:val="Normal"/>
    <w:uiPriority w:val="99"/>
    <w:rsid w:val="00B8501C"/>
    <w:pPr>
      <w:suppressLineNumbers/>
      <w:suppressAutoHyphens/>
    </w:pPr>
    <w:rPr>
      <w:rFonts w:cs="Lohit Hindi"/>
      <w:sz w:val="20"/>
      <w:szCs w:val="20"/>
      <w:lang w:eastAsia="ar-SA"/>
    </w:rPr>
  </w:style>
  <w:style w:type="paragraph" w:customStyle="1" w:styleId="Contenidodelatabla">
    <w:name w:val="Contenido de la tabla"/>
    <w:basedOn w:val="Normal"/>
    <w:uiPriority w:val="99"/>
    <w:rsid w:val="00B8501C"/>
    <w:pPr>
      <w:suppressLineNumbers/>
      <w:suppressAutoHyphens/>
    </w:pPr>
    <w:rPr>
      <w:sz w:val="20"/>
      <w:szCs w:val="20"/>
      <w:lang w:eastAsia="ar-SA"/>
    </w:rPr>
  </w:style>
  <w:style w:type="paragraph" w:customStyle="1" w:styleId="Encabezadodelatabla">
    <w:name w:val="Encabezado de la tabla"/>
    <w:basedOn w:val="Contenidodelatabla"/>
    <w:uiPriority w:val="99"/>
    <w:rsid w:val="00B8501C"/>
    <w:pPr>
      <w:jc w:val="center"/>
    </w:pPr>
    <w:rPr>
      <w:b/>
      <w:bCs/>
    </w:rPr>
  </w:style>
  <w:style w:type="paragraph" w:customStyle="1" w:styleId="Contenidodelmarco">
    <w:name w:val="Contenido del marco"/>
    <w:basedOn w:val="Textoindependiente"/>
    <w:uiPriority w:val="99"/>
    <w:rsid w:val="00B8501C"/>
    <w:pPr>
      <w:suppressAutoHyphens/>
      <w:spacing w:line="240" w:lineRule="auto"/>
      <w:jc w:val="left"/>
    </w:pPr>
    <w:rPr>
      <w:b w:val="0"/>
      <w:bCs w:val="0"/>
      <w:sz w:val="16"/>
      <w:szCs w:val="20"/>
      <w:lang w:eastAsia="ar-SA"/>
    </w:rPr>
  </w:style>
  <w:style w:type="paragraph" w:customStyle="1" w:styleId="xl222">
    <w:name w:val="xl222"/>
    <w:basedOn w:val="Normal"/>
    <w:uiPriority w:val="99"/>
    <w:rsid w:val="00B8501C"/>
    <w:pPr>
      <w:pBdr>
        <w:top w:val="single" w:sz="8" w:space="0" w:color="auto"/>
        <w:left w:val="single" w:sz="8" w:space="0" w:color="auto"/>
      </w:pBdr>
      <w:shd w:val="clear" w:color="000000" w:fill="FFFFFF"/>
      <w:spacing w:before="100" w:beforeAutospacing="1" w:after="100" w:afterAutospacing="1"/>
      <w:jc w:val="right"/>
      <w:textAlignment w:val="center"/>
    </w:pPr>
    <w:rPr>
      <w:color w:val="000000"/>
      <w:sz w:val="16"/>
      <w:szCs w:val="16"/>
      <w:lang w:val="es-MX" w:eastAsia="es-MX"/>
    </w:rPr>
  </w:style>
  <w:style w:type="paragraph" w:customStyle="1" w:styleId="xl223">
    <w:name w:val="xl223"/>
    <w:basedOn w:val="Normal"/>
    <w:uiPriority w:val="99"/>
    <w:rsid w:val="00B8501C"/>
    <w:pPr>
      <w:pBdr>
        <w:top w:val="single" w:sz="8" w:space="0" w:color="auto"/>
      </w:pBdr>
      <w:shd w:val="clear" w:color="000000" w:fill="FFFFFF"/>
      <w:spacing w:before="100" w:beforeAutospacing="1" w:after="100" w:afterAutospacing="1"/>
      <w:jc w:val="right"/>
      <w:textAlignment w:val="center"/>
    </w:pPr>
    <w:rPr>
      <w:color w:val="000000"/>
      <w:sz w:val="16"/>
      <w:szCs w:val="16"/>
      <w:lang w:val="es-MX" w:eastAsia="es-MX"/>
    </w:rPr>
  </w:style>
  <w:style w:type="paragraph" w:customStyle="1" w:styleId="xl224">
    <w:name w:val="xl224"/>
    <w:basedOn w:val="Normal"/>
    <w:uiPriority w:val="99"/>
    <w:rsid w:val="00B8501C"/>
    <w:pPr>
      <w:pBdr>
        <w:top w:val="single" w:sz="8" w:space="0" w:color="auto"/>
        <w:right w:val="single" w:sz="8" w:space="0" w:color="auto"/>
      </w:pBdr>
      <w:shd w:val="clear" w:color="000000" w:fill="FFFFFF"/>
      <w:spacing w:before="100" w:beforeAutospacing="1" w:after="100" w:afterAutospacing="1"/>
      <w:jc w:val="right"/>
      <w:textAlignment w:val="center"/>
    </w:pPr>
    <w:rPr>
      <w:color w:val="000000"/>
      <w:sz w:val="16"/>
      <w:szCs w:val="16"/>
      <w:lang w:val="es-MX" w:eastAsia="es-MX"/>
    </w:rPr>
  </w:style>
  <w:style w:type="paragraph" w:customStyle="1" w:styleId="xl225">
    <w:name w:val="xl225"/>
    <w:basedOn w:val="Normal"/>
    <w:uiPriority w:val="99"/>
    <w:rsid w:val="00B8501C"/>
    <w:pPr>
      <w:pBdr>
        <w:top w:val="single" w:sz="8" w:space="0" w:color="333333"/>
        <w:left w:val="single" w:sz="8" w:space="0" w:color="333333"/>
        <w:bottom w:val="single" w:sz="8" w:space="0" w:color="333333"/>
        <w:right w:val="single" w:sz="8" w:space="0" w:color="auto"/>
      </w:pBdr>
      <w:spacing w:before="100" w:beforeAutospacing="1" w:after="100" w:afterAutospacing="1"/>
      <w:jc w:val="right"/>
      <w:textAlignment w:val="center"/>
    </w:pPr>
    <w:rPr>
      <w:color w:val="000000"/>
      <w:sz w:val="16"/>
      <w:szCs w:val="16"/>
      <w:lang w:val="es-MX" w:eastAsia="es-MX"/>
    </w:rPr>
  </w:style>
  <w:style w:type="paragraph" w:customStyle="1" w:styleId="xl226">
    <w:name w:val="xl226"/>
    <w:basedOn w:val="Normal"/>
    <w:uiPriority w:val="99"/>
    <w:rsid w:val="00B8501C"/>
    <w:pPr>
      <w:pBdr>
        <w:top w:val="single" w:sz="8" w:space="0" w:color="333333"/>
        <w:left w:val="single" w:sz="8" w:space="0" w:color="333333"/>
        <w:bottom w:val="single" w:sz="8" w:space="0" w:color="auto"/>
        <w:right w:val="single" w:sz="8" w:space="0" w:color="auto"/>
      </w:pBdr>
      <w:shd w:val="clear" w:color="000000" w:fill="FFFFFF"/>
      <w:spacing w:before="100" w:beforeAutospacing="1" w:after="100" w:afterAutospacing="1"/>
      <w:jc w:val="right"/>
      <w:textAlignment w:val="center"/>
    </w:pPr>
    <w:rPr>
      <w:color w:val="000000"/>
      <w:sz w:val="16"/>
      <w:szCs w:val="16"/>
      <w:lang w:val="es-MX" w:eastAsia="es-MX"/>
    </w:rPr>
  </w:style>
  <w:style w:type="paragraph" w:customStyle="1" w:styleId="xl227">
    <w:name w:val="xl227"/>
    <w:basedOn w:val="Normal"/>
    <w:uiPriority w:val="99"/>
    <w:rsid w:val="00B8501C"/>
    <w:pPr>
      <w:pBdr>
        <w:bottom w:val="single" w:sz="8" w:space="0" w:color="333333"/>
        <w:right w:val="single" w:sz="8" w:space="0" w:color="333333"/>
      </w:pBdr>
      <w:shd w:val="clear" w:color="000000" w:fill="FFFF00"/>
      <w:spacing w:before="100" w:beforeAutospacing="1" w:after="100" w:afterAutospacing="1"/>
      <w:jc w:val="right"/>
      <w:textAlignment w:val="center"/>
    </w:pPr>
    <w:rPr>
      <w:b/>
      <w:bCs/>
      <w:color w:val="000000"/>
      <w:sz w:val="16"/>
      <w:szCs w:val="16"/>
      <w:lang w:val="es-MX" w:eastAsia="es-MX"/>
    </w:rPr>
  </w:style>
  <w:style w:type="paragraph" w:customStyle="1" w:styleId="xl228">
    <w:name w:val="xl228"/>
    <w:basedOn w:val="Normal"/>
    <w:uiPriority w:val="99"/>
    <w:rsid w:val="00B8501C"/>
    <w:pPr>
      <w:pBdr>
        <w:bottom w:val="single" w:sz="8" w:space="0" w:color="333333"/>
        <w:right w:val="single" w:sz="8" w:space="0" w:color="333333"/>
      </w:pBdr>
      <w:shd w:val="clear" w:color="000000" w:fill="FFC000"/>
      <w:spacing w:before="100" w:beforeAutospacing="1" w:after="100" w:afterAutospacing="1"/>
      <w:jc w:val="right"/>
      <w:textAlignment w:val="center"/>
    </w:pPr>
    <w:rPr>
      <w:b/>
      <w:bCs/>
      <w:color w:val="000000"/>
      <w:sz w:val="16"/>
      <w:szCs w:val="16"/>
      <w:lang w:val="es-MX" w:eastAsia="es-MX"/>
    </w:rPr>
  </w:style>
  <w:style w:type="paragraph" w:customStyle="1" w:styleId="xl229">
    <w:name w:val="xl229"/>
    <w:basedOn w:val="Normal"/>
    <w:uiPriority w:val="99"/>
    <w:rsid w:val="00B8501C"/>
    <w:pPr>
      <w:pBdr>
        <w:top w:val="single" w:sz="8" w:space="0" w:color="auto"/>
        <w:bottom w:val="single" w:sz="8" w:space="0" w:color="auto"/>
        <w:right w:val="single" w:sz="8" w:space="0" w:color="auto"/>
      </w:pBdr>
      <w:shd w:val="clear" w:color="000000" w:fill="92D050"/>
      <w:spacing w:before="100" w:beforeAutospacing="1" w:after="100" w:afterAutospacing="1"/>
      <w:jc w:val="right"/>
      <w:textAlignment w:val="center"/>
    </w:pPr>
    <w:rPr>
      <w:b/>
      <w:bCs/>
      <w:color w:val="000000"/>
      <w:sz w:val="16"/>
      <w:szCs w:val="16"/>
      <w:lang w:val="es-MX" w:eastAsia="es-MX"/>
    </w:rPr>
  </w:style>
  <w:style w:type="paragraph" w:customStyle="1" w:styleId="xl230">
    <w:name w:val="xl230"/>
    <w:basedOn w:val="Normal"/>
    <w:uiPriority w:val="99"/>
    <w:rsid w:val="00B8501C"/>
    <w:pPr>
      <w:pBdr>
        <w:bottom w:val="single" w:sz="8" w:space="0" w:color="auto"/>
        <w:right w:val="single" w:sz="8" w:space="0" w:color="auto"/>
      </w:pBdr>
      <w:shd w:val="clear" w:color="000000" w:fill="92D050"/>
      <w:spacing w:before="100" w:beforeAutospacing="1" w:after="100" w:afterAutospacing="1"/>
      <w:jc w:val="right"/>
      <w:textAlignment w:val="center"/>
    </w:pPr>
    <w:rPr>
      <w:b/>
      <w:bCs/>
      <w:color w:val="000000"/>
      <w:sz w:val="16"/>
      <w:szCs w:val="16"/>
      <w:lang w:val="es-MX" w:eastAsia="es-MX"/>
    </w:rPr>
  </w:style>
  <w:style w:type="paragraph" w:customStyle="1" w:styleId="xl231">
    <w:name w:val="xl231"/>
    <w:basedOn w:val="Normal"/>
    <w:uiPriority w:val="99"/>
    <w:rsid w:val="00B8501C"/>
    <w:pPr>
      <w:pBdr>
        <w:bottom w:val="single" w:sz="8" w:space="0" w:color="auto"/>
        <w:right w:val="single" w:sz="8" w:space="0" w:color="auto"/>
      </w:pBdr>
      <w:shd w:val="clear" w:color="000000" w:fill="FF0000"/>
      <w:spacing w:before="100" w:beforeAutospacing="1" w:after="100" w:afterAutospacing="1"/>
      <w:jc w:val="right"/>
      <w:textAlignment w:val="center"/>
    </w:pPr>
    <w:rPr>
      <w:b/>
      <w:bCs/>
      <w:color w:val="000000"/>
      <w:sz w:val="16"/>
      <w:szCs w:val="16"/>
      <w:lang w:val="es-MX" w:eastAsia="es-MX"/>
    </w:rPr>
  </w:style>
  <w:style w:type="table" w:customStyle="1" w:styleId="Sombreadoclaro1">
    <w:name w:val="Sombreado claro1"/>
    <w:basedOn w:val="Tablanormal"/>
    <w:uiPriority w:val="60"/>
    <w:rsid w:val="00B8501C"/>
    <w:pPr>
      <w:spacing w:after="0" w:line="240" w:lineRule="auto"/>
    </w:pPr>
    <w:rPr>
      <w:rFonts w:ascii="Calibri" w:eastAsia="Calibri" w:hAnsi="Calibri" w:cs="Times New Roman"/>
      <w:color w:val="000000"/>
      <w:sz w:val="20"/>
      <w:szCs w:val="20"/>
      <w:lang w:eastAsia="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concuadrcula2">
    <w:name w:val="Tabla con cuadrícula2"/>
    <w:basedOn w:val="Tablanormal"/>
    <w:next w:val="Tablaconcuadrcula"/>
    <w:uiPriority w:val="59"/>
    <w:rsid w:val="00B8501C"/>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59"/>
    <w:rsid w:val="00B8501C"/>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B8501C"/>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next w:val="Tablaconcuadrcula"/>
    <w:uiPriority w:val="59"/>
    <w:rsid w:val="00B8501C"/>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next w:val="Tablaconcuadrcula"/>
    <w:uiPriority w:val="59"/>
    <w:rsid w:val="00B8501C"/>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
    <w:name w:val="Sin lista2"/>
    <w:next w:val="Sinlista"/>
    <w:uiPriority w:val="99"/>
    <w:semiHidden/>
    <w:unhideWhenUsed/>
    <w:rsid w:val="00B8501C"/>
  </w:style>
  <w:style w:type="table" w:customStyle="1" w:styleId="Tablaconcuadrcula51">
    <w:name w:val="Tabla con cuadrícula51"/>
    <w:basedOn w:val="Tablanormal"/>
    <w:next w:val="Tablaconcuadrcula"/>
    <w:uiPriority w:val="59"/>
    <w:rsid w:val="00B8501C"/>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
    <w:name w:val="Tabla con cuadrícula7"/>
    <w:basedOn w:val="Tablanormal"/>
    <w:next w:val="Tablaconcuadrcula"/>
    <w:uiPriority w:val="59"/>
    <w:rsid w:val="00B8501C"/>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
    <w:name w:val="Tabla con cuadrícula61"/>
    <w:basedOn w:val="Tablanormal"/>
    <w:next w:val="Tablaconcuadrcula"/>
    <w:uiPriority w:val="59"/>
    <w:rsid w:val="00B8501C"/>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2">
    <w:name w:val="Tabla con cuadrícula52"/>
    <w:basedOn w:val="Tablanormal"/>
    <w:next w:val="Tablaconcuadrcula"/>
    <w:uiPriority w:val="59"/>
    <w:rsid w:val="00B8501C"/>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2">
    <w:name w:val="Tabla con cuadrícula62"/>
    <w:basedOn w:val="Tablanormal"/>
    <w:next w:val="Tablaconcuadrcula"/>
    <w:uiPriority w:val="59"/>
    <w:rsid w:val="00B8501C"/>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
    <w:name w:val="Sin lista3"/>
    <w:next w:val="Sinlista"/>
    <w:uiPriority w:val="99"/>
    <w:semiHidden/>
    <w:unhideWhenUsed/>
    <w:rsid w:val="00B8501C"/>
  </w:style>
  <w:style w:type="paragraph" w:customStyle="1" w:styleId="ecxmsolistparagraph">
    <w:name w:val="ecxmsolistparagraph"/>
    <w:basedOn w:val="Normal"/>
    <w:uiPriority w:val="99"/>
    <w:rsid w:val="00B8501C"/>
    <w:pPr>
      <w:spacing w:after="324"/>
    </w:pPr>
    <w:rPr>
      <w:lang w:val="es-MX" w:eastAsia="es-MX"/>
    </w:rPr>
  </w:style>
  <w:style w:type="numbering" w:customStyle="1" w:styleId="Sinlista4">
    <w:name w:val="Sin lista4"/>
    <w:next w:val="Sinlista"/>
    <w:uiPriority w:val="99"/>
    <w:semiHidden/>
    <w:unhideWhenUsed/>
    <w:rsid w:val="00B8501C"/>
  </w:style>
  <w:style w:type="table" w:customStyle="1" w:styleId="Tablaconcuadrcula53">
    <w:name w:val="Tabla con cuadrícula53"/>
    <w:basedOn w:val="Tablanormal"/>
    <w:next w:val="Tablaconcuadrcula"/>
    <w:uiPriority w:val="59"/>
    <w:rsid w:val="00B8501C"/>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basedOn w:val="Tablanormal"/>
    <w:next w:val="Tablaconcuadrcula"/>
    <w:uiPriority w:val="59"/>
    <w:rsid w:val="00B8501C"/>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3">
    <w:name w:val="Tabla con cuadrícula63"/>
    <w:basedOn w:val="Tablanormal"/>
    <w:next w:val="Tablaconcuadrcula"/>
    <w:uiPriority w:val="59"/>
    <w:rsid w:val="00B8501C"/>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
    <w:name w:val="TableGrid"/>
    <w:rsid w:val="00B8501C"/>
    <w:pPr>
      <w:spacing w:after="0" w:line="240" w:lineRule="auto"/>
      <w:jc w:val="both"/>
    </w:pPr>
    <w:rPr>
      <w:rFonts w:ascii="Calibri" w:eastAsia="Times New Roman" w:hAnsi="Calibri" w:cs="Times New Roman"/>
      <w:lang w:eastAsia="es-MX"/>
    </w:rPr>
    <w:tblPr>
      <w:tblCellMar>
        <w:top w:w="0" w:type="dxa"/>
        <w:left w:w="0" w:type="dxa"/>
        <w:bottom w:w="0" w:type="dxa"/>
        <w:right w:w="0" w:type="dxa"/>
      </w:tblCellMar>
    </w:tblPr>
  </w:style>
  <w:style w:type="numbering" w:customStyle="1" w:styleId="Sinlista5">
    <w:name w:val="Sin lista5"/>
    <w:next w:val="Sinlista"/>
    <w:uiPriority w:val="99"/>
    <w:semiHidden/>
    <w:unhideWhenUsed/>
    <w:rsid w:val="00B8501C"/>
  </w:style>
  <w:style w:type="numbering" w:customStyle="1" w:styleId="Sinlista12">
    <w:name w:val="Sin lista12"/>
    <w:next w:val="Sinlista"/>
    <w:uiPriority w:val="99"/>
    <w:semiHidden/>
    <w:unhideWhenUsed/>
    <w:rsid w:val="00B8501C"/>
  </w:style>
  <w:style w:type="table" w:customStyle="1" w:styleId="Tablaconcuadrcula9">
    <w:name w:val="Tabla con cuadrícula9"/>
    <w:basedOn w:val="Tablanormal"/>
    <w:next w:val="Tablaconcuadrcula"/>
    <w:uiPriority w:val="59"/>
    <w:rsid w:val="00B8501C"/>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
    <w:name w:val="Sin lista1111"/>
    <w:next w:val="Sinlista"/>
    <w:uiPriority w:val="99"/>
    <w:semiHidden/>
    <w:unhideWhenUsed/>
    <w:rsid w:val="00B8501C"/>
  </w:style>
  <w:style w:type="table" w:customStyle="1" w:styleId="Tablaconcuadrcula11">
    <w:name w:val="Tabla con cuadrícula11"/>
    <w:basedOn w:val="Tablanormal"/>
    <w:next w:val="Tablaconcuadrcula"/>
    <w:uiPriority w:val="59"/>
    <w:rsid w:val="00B8501C"/>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ombreadoclaro11">
    <w:name w:val="Sombreado claro11"/>
    <w:basedOn w:val="Tablanormal"/>
    <w:uiPriority w:val="60"/>
    <w:rsid w:val="00B8501C"/>
    <w:pPr>
      <w:spacing w:after="0" w:line="240" w:lineRule="auto"/>
    </w:pPr>
    <w:rPr>
      <w:rFonts w:ascii="Calibri" w:eastAsia="Calibri" w:hAnsi="Calibri" w:cs="Times New Roman"/>
      <w:color w:val="000000"/>
      <w:sz w:val="20"/>
      <w:szCs w:val="20"/>
      <w:lang w:eastAsia="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concuadrcula21">
    <w:name w:val="Tabla con cuadrícula21"/>
    <w:basedOn w:val="Tablanormal"/>
    <w:next w:val="Tablaconcuadrcula"/>
    <w:uiPriority w:val="59"/>
    <w:rsid w:val="00B8501C"/>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next w:val="Tablaconcuadrcula"/>
    <w:uiPriority w:val="59"/>
    <w:rsid w:val="00B8501C"/>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
    <w:name w:val="Tabla con cuadrícula41"/>
    <w:basedOn w:val="Tablanormal"/>
    <w:next w:val="Tablaconcuadrcula"/>
    <w:uiPriority w:val="59"/>
    <w:rsid w:val="00B8501C"/>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4">
    <w:name w:val="Tabla con cuadrícula54"/>
    <w:basedOn w:val="Tablanormal"/>
    <w:next w:val="Tablaconcuadrcula"/>
    <w:uiPriority w:val="59"/>
    <w:rsid w:val="00B8501C"/>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4">
    <w:name w:val="Tabla con cuadrícula64"/>
    <w:basedOn w:val="Tablanormal"/>
    <w:next w:val="Tablaconcuadrcula"/>
    <w:uiPriority w:val="59"/>
    <w:rsid w:val="00B8501C"/>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
    <w:name w:val="Sin lista21"/>
    <w:next w:val="Sinlista"/>
    <w:uiPriority w:val="99"/>
    <w:semiHidden/>
    <w:unhideWhenUsed/>
    <w:rsid w:val="00B8501C"/>
  </w:style>
  <w:style w:type="table" w:customStyle="1" w:styleId="Tablaconcuadrcula511">
    <w:name w:val="Tabla con cuadrícula511"/>
    <w:basedOn w:val="Tablanormal"/>
    <w:next w:val="Tablaconcuadrcula"/>
    <w:uiPriority w:val="59"/>
    <w:rsid w:val="00B8501C"/>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
    <w:name w:val="Tabla con cuadrícula71"/>
    <w:basedOn w:val="Tablanormal"/>
    <w:next w:val="Tablaconcuadrcula"/>
    <w:uiPriority w:val="59"/>
    <w:rsid w:val="00B8501C"/>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1">
    <w:name w:val="Tabla con cuadrícula611"/>
    <w:basedOn w:val="Tablanormal"/>
    <w:next w:val="Tablaconcuadrcula"/>
    <w:uiPriority w:val="59"/>
    <w:rsid w:val="00B8501C"/>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21">
    <w:name w:val="Tabla con cuadrícula521"/>
    <w:basedOn w:val="Tablanormal"/>
    <w:next w:val="Tablaconcuadrcula"/>
    <w:uiPriority w:val="59"/>
    <w:rsid w:val="00B8501C"/>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21">
    <w:name w:val="Tabla con cuadrícula621"/>
    <w:basedOn w:val="Tablanormal"/>
    <w:next w:val="Tablaconcuadrcula"/>
    <w:uiPriority w:val="59"/>
    <w:rsid w:val="00B8501C"/>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
    <w:name w:val="Sin lista31"/>
    <w:next w:val="Sinlista"/>
    <w:uiPriority w:val="99"/>
    <w:semiHidden/>
    <w:unhideWhenUsed/>
    <w:rsid w:val="00B8501C"/>
  </w:style>
  <w:style w:type="numbering" w:customStyle="1" w:styleId="Sinlista41">
    <w:name w:val="Sin lista41"/>
    <w:next w:val="Sinlista"/>
    <w:uiPriority w:val="99"/>
    <w:semiHidden/>
    <w:unhideWhenUsed/>
    <w:rsid w:val="00B8501C"/>
  </w:style>
  <w:style w:type="table" w:customStyle="1" w:styleId="Tablaconcuadrcula531">
    <w:name w:val="Tabla con cuadrícula531"/>
    <w:basedOn w:val="Tablanormal"/>
    <w:next w:val="Tablaconcuadrcula"/>
    <w:uiPriority w:val="59"/>
    <w:rsid w:val="00B8501C"/>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1">
    <w:name w:val="Tabla con cuadrícula81"/>
    <w:basedOn w:val="Tablanormal"/>
    <w:next w:val="Tablaconcuadrcula"/>
    <w:uiPriority w:val="59"/>
    <w:rsid w:val="00B8501C"/>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31">
    <w:name w:val="Tabla con cuadrícula631"/>
    <w:basedOn w:val="Tablanormal"/>
    <w:next w:val="Tablaconcuadrcula"/>
    <w:uiPriority w:val="59"/>
    <w:rsid w:val="00B8501C"/>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Grid1"/>
    <w:rsid w:val="00B8501C"/>
    <w:pPr>
      <w:spacing w:after="0" w:line="240" w:lineRule="auto"/>
      <w:jc w:val="both"/>
    </w:pPr>
    <w:rPr>
      <w:rFonts w:ascii="Calibri" w:eastAsia="Times New Roman" w:hAnsi="Calibri" w:cs="Times New Roman"/>
      <w:lang w:eastAsia="es-MX"/>
    </w:rPr>
    <w:tblPr>
      <w:tblCellMar>
        <w:top w:w="0" w:type="dxa"/>
        <w:left w:w="0" w:type="dxa"/>
        <w:bottom w:w="0" w:type="dxa"/>
        <w:right w:w="0" w:type="dxa"/>
      </w:tblCellMar>
    </w:tblPr>
  </w:style>
  <w:style w:type="table" w:customStyle="1" w:styleId="Tablaconcuadrcula12">
    <w:name w:val="Tabla con cuadrícula12"/>
    <w:basedOn w:val="Tablanormal"/>
    <w:next w:val="Tablaconcuadrcula"/>
    <w:uiPriority w:val="59"/>
    <w:rsid w:val="00B8501C"/>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
    <w:name w:val="Tabla con cuadrícula10"/>
    <w:basedOn w:val="Tablanormal"/>
    <w:next w:val="Tablaconcuadrcula"/>
    <w:uiPriority w:val="39"/>
    <w:rsid w:val="00B8501C"/>
    <w:pPr>
      <w:spacing w:after="0" w:line="240" w:lineRule="auto"/>
    </w:pPr>
    <w:rPr>
      <w:rFonts w:ascii="Calibri" w:eastAsia="Calibri" w:hAnsi="Calibri" w:cs="Times New Roman"/>
      <w:sz w:val="20"/>
      <w:szCs w:val="20"/>
      <w:lang w:val="es-ES_tradnl"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msonormal">
    <w:name w:val="x_msonormal"/>
    <w:basedOn w:val="Normal"/>
    <w:uiPriority w:val="99"/>
    <w:rsid w:val="00B8501C"/>
    <w:pPr>
      <w:spacing w:before="100" w:beforeAutospacing="1" w:after="100" w:afterAutospacing="1"/>
    </w:pPr>
    <w:rPr>
      <w:lang w:val="es-MX" w:eastAsia="es-MX"/>
    </w:rPr>
  </w:style>
  <w:style w:type="table" w:customStyle="1" w:styleId="Tablaconcuadrcula42">
    <w:name w:val="Tabla con cuadrícula42"/>
    <w:basedOn w:val="Tablanormal"/>
    <w:uiPriority w:val="59"/>
    <w:rsid w:val="00B8501C"/>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3">
    <w:name w:val="Tabla con cuadrícula43"/>
    <w:basedOn w:val="Tablanormal"/>
    <w:uiPriority w:val="59"/>
    <w:rsid w:val="00B8501C"/>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Car">
    <w:name w:val="Título Car"/>
    <w:uiPriority w:val="10"/>
    <w:rsid w:val="00B8501C"/>
    <w:rPr>
      <w:rFonts w:ascii="Cambria" w:eastAsia="Times New Roman" w:hAnsi="Cambria" w:cs="Times New Roman"/>
      <w:color w:val="17365D"/>
      <w:spacing w:val="5"/>
      <w:kern w:val="28"/>
      <w:sz w:val="52"/>
      <w:szCs w:val="52"/>
    </w:rPr>
  </w:style>
  <w:style w:type="character" w:customStyle="1" w:styleId="PuestoCar1">
    <w:name w:val="Puesto Car1"/>
    <w:uiPriority w:val="10"/>
    <w:rsid w:val="00B8501C"/>
    <w:rPr>
      <w:rFonts w:ascii="Cambria" w:eastAsia="Times New Roman" w:hAnsi="Cambria" w:cs="Times New Roman"/>
      <w:spacing w:val="-10"/>
      <w:kern w:val="28"/>
      <w:sz w:val="56"/>
      <w:szCs w:val="56"/>
    </w:rPr>
  </w:style>
  <w:style w:type="table" w:customStyle="1" w:styleId="Tablaconcuadrcula13">
    <w:name w:val="Tabla con cuadrícula13"/>
    <w:basedOn w:val="Tablanormal"/>
    <w:next w:val="Tablaconcuadrcula"/>
    <w:uiPriority w:val="39"/>
    <w:rsid w:val="00B8501C"/>
    <w:pPr>
      <w:spacing w:after="0" w:line="240" w:lineRule="auto"/>
    </w:pPr>
    <w:rPr>
      <w:rFonts w:ascii="Calibri" w:eastAsia="Calibri" w:hAnsi="Calibri" w:cs="Times New Roman"/>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
    <w:name w:val="Tabla con cuadrícula14"/>
    <w:basedOn w:val="Tablanormal"/>
    <w:next w:val="Tablaconcuadrcula"/>
    <w:uiPriority w:val="39"/>
    <w:rsid w:val="00B8501C"/>
    <w:pPr>
      <w:spacing w:after="0" w:line="240" w:lineRule="auto"/>
    </w:pPr>
    <w:rPr>
      <w:rFonts w:ascii="Calibri" w:eastAsia="Calibri" w:hAnsi="Calibri" w:cs="Times New Roman"/>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angra2detindependienteCar1">
    <w:name w:val="Sangría 2 de t. independiente Car1"/>
    <w:basedOn w:val="Fuentedeprrafopredeter"/>
    <w:uiPriority w:val="99"/>
    <w:semiHidden/>
    <w:rsid w:val="00B8501C"/>
  </w:style>
  <w:style w:type="paragraph" w:styleId="Puesto">
    <w:name w:val="Title"/>
    <w:basedOn w:val="Normal"/>
    <w:next w:val="Normal"/>
    <w:link w:val="PuestoCar"/>
    <w:uiPriority w:val="99"/>
    <w:qFormat/>
    <w:rsid w:val="00B8501C"/>
    <w:pPr>
      <w:contextualSpacing/>
    </w:pPr>
    <w:rPr>
      <w:rFonts w:ascii="Cambria" w:hAnsi="Cambria"/>
      <w:color w:val="17365D"/>
      <w:spacing w:val="5"/>
      <w:kern w:val="28"/>
      <w:sz w:val="52"/>
      <w:szCs w:val="52"/>
    </w:rPr>
  </w:style>
  <w:style w:type="character" w:customStyle="1" w:styleId="TtuloCar1">
    <w:name w:val="Título Car1"/>
    <w:basedOn w:val="Fuentedeprrafopredeter"/>
    <w:uiPriority w:val="10"/>
    <w:rsid w:val="00B8501C"/>
    <w:rPr>
      <w:rFonts w:asciiTheme="majorHAnsi" w:eastAsiaTheme="majorEastAsia" w:hAnsiTheme="majorHAnsi" w:cstheme="majorBidi"/>
      <w:spacing w:val="-10"/>
      <w:kern w:val="28"/>
      <w:sz w:val="56"/>
      <w:szCs w:val="56"/>
      <w:lang w:val="es-ES" w:eastAsia="es-ES"/>
    </w:rPr>
  </w:style>
  <w:style w:type="table" w:customStyle="1" w:styleId="TableNormal">
    <w:name w:val="Table Normal"/>
    <w:uiPriority w:val="2"/>
    <w:semiHidden/>
    <w:unhideWhenUsed/>
    <w:qFormat/>
    <w:rsid w:val="001D5FE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1D5FE1"/>
    <w:pPr>
      <w:widowControl w:val="0"/>
      <w:autoSpaceDE w:val="0"/>
      <w:autoSpaceDN w:val="0"/>
    </w:pPr>
    <w:rPr>
      <w:sz w:val="22"/>
      <w:szCs w:val="22"/>
      <w:lang w:val="es-MX" w:eastAsia="en-US"/>
    </w:rPr>
  </w:style>
  <w:style w:type="character" w:customStyle="1" w:styleId="PuestoCar2">
    <w:name w:val="Puesto Car2"/>
    <w:basedOn w:val="Fuentedeprrafopredeter"/>
    <w:uiPriority w:val="10"/>
    <w:rsid w:val="00CB2519"/>
    <w:rPr>
      <w:rFonts w:asciiTheme="majorHAnsi" w:eastAsiaTheme="majorEastAsia" w:hAnsiTheme="majorHAnsi" w:cstheme="majorBidi" w:hint="default"/>
      <w:spacing w:val="-10"/>
      <w:kern w:val="28"/>
      <w:sz w:val="56"/>
      <w:szCs w:val="56"/>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649006">
      <w:bodyDiv w:val="1"/>
      <w:marLeft w:val="0"/>
      <w:marRight w:val="0"/>
      <w:marTop w:val="0"/>
      <w:marBottom w:val="0"/>
      <w:divBdr>
        <w:top w:val="none" w:sz="0" w:space="0" w:color="auto"/>
        <w:left w:val="none" w:sz="0" w:space="0" w:color="auto"/>
        <w:bottom w:val="none" w:sz="0" w:space="0" w:color="auto"/>
        <w:right w:val="none" w:sz="0" w:space="0" w:color="auto"/>
      </w:divBdr>
    </w:div>
    <w:div w:id="88627794">
      <w:bodyDiv w:val="1"/>
      <w:marLeft w:val="0"/>
      <w:marRight w:val="0"/>
      <w:marTop w:val="0"/>
      <w:marBottom w:val="0"/>
      <w:divBdr>
        <w:top w:val="none" w:sz="0" w:space="0" w:color="auto"/>
        <w:left w:val="none" w:sz="0" w:space="0" w:color="auto"/>
        <w:bottom w:val="none" w:sz="0" w:space="0" w:color="auto"/>
        <w:right w:val="none" w:sz="0" w:space="0" w:color="auto"/>
      </w:divBdr>
    </w:div>
    <w:div w:id="97721791">
      <w:bodyDiv w:val="1"/>
      <w:marLeft w:val="0"/>
      <w:marRight w:val="0"/>
      <w:marTop w:val="0"/>
      <w:marBottom w:val="0"/>
      <w:divBdr>
        <w:top w:val="none" w:sz="0" w:space="0" w:color="auto"/>
        <w:left w:val="none" w:sz="0" w:space="0" w:color="auto"/>
        <w:bottom w:val="none" w:sz="0" w:space="0" w:color="auto"/>
        <w:right w:val="none" w:sz="0" w:space="0" w:color="auto"/>
      </w:divBdr>
    </w:div>
    <w:div w:id="126898301">
      <w:bodyDiv w:val="1"/>
      <w:marLeft w:val="0"/>
      <w:marRight w:val="0"/>
      <w:marTop w:val="0"/>
      <w:marBottom w:val="0"/>
      <w:divBdr>
        <w:top w:val="none" w:sz="0" w:space="0" w:color="auto"/>
        <w:left w:val="none" w:sz="0" w:space="0" w:color="auto"/>
        <w:bottom w:val="none" w:sz="0" w:space="0" w:color="auto"/>
        <w:right w:val="none" w:sz="0" w:space="0" w:color="auto"/>
      </w:divBdr>
    </w:div>
    <w:div w:id="153962043">
      <w:bodyDiv w:val="1"/>
      <w:marLeft w:val="0"/>
      <w:marRight w:val="0"/>
      <w:marTop w:val="0"/>
      <w:marBottom w:val="0"/>
      <w:divBdr>
        <w:top w:val="none" w:sz="0" w:space="0" w:color="auto"/>
        <w:left w:val="none" w:sz="0" w:space="0" w:color="auto"/>
        <w:bottom w:val="none" w:sz="0" w:space="0" w:color="auto"/>
        <w:right w:val="none" w:sz="0" w:space="0" w:color="auto"/>
      </w:divBdr>
    </w:div>
    <w:div w:id="230312178">
      <w:bodyDiv w:val="1"/>
      <w:marLeft w:val="0"/>
      <w:marRight w:val="0"/>
      <w:marTop w:val="0"/>
      <w:marBottom w:val="0"/>
      <w:divBdr>
        <w:top w:val="none" w:sz="0" w:space="0" w:color="auto"/>
        <w:left w:val="none" w:sz="0" w:space="0" w:color="auto"/>
        <w:bottom w:val="none" w:sz="0" w:space="0" w:color="auto"/>
        <w:right w:val="none" w:sz="0" w:space="0" w:color="auto"/>
      </w:divBdr>
    </w:div>
    <w:div w:id="238638325">
      <w:bodyDiv w:val="1"/>
      <w:marLeft w:val="0"/>
      <w:marRight w:val="0"/>
      <w:marTop w:val="0"/>
      <w:marBottom w:val="0"/>
      <w:divBdr>
        <w:top w:val="none" w:sz="0" w:space="0" w:color="auto"/>
        <w:left w:val="none" w:sz="0" w:space="0" w:color="auto"/>
        <w:bottom w:val="none" w:sz="0" w:space="0" w:color="auto"/>
        <w:right w:val="none" w:sz="0" w:space="0" w:color="auto"/>
      </w:divBdr>
    </w:div>
    <w:div w:id="249580293">
      <w:bodyDiv w:val="1"/>
      <w:marLeft w:val="0"/>
      <w:marRight w:val="0"/>
      <w:marTop w:val="0"/>
      <w:marBottom w:val="0"/>
      <w:divBdr>
        <w:top w:val="none" w:sz="0" w:space="0" w:color="auto"/>
        <w:left w:val="none" w:sz="0" w:space="0" w:color="auto"/>
        <w:bottom w:val="none" w:sz="0" w:space="0" w:color="auto"/>
        <w:right w:val="none" w:sz="0" w:space="0" w:color="auto"/>
      </w:divBdr>
    </w:div>
    <w:div w:id="301351037">
      <w:bodyDiv w:val="1"/>
      <w:marLeft w:val="0"/>
      <w:marRight w:val="0"/>
      <w:marTop w:val="0"/>
      <w:marBottom w:val="0"/>
      <w:divBdr>
        <w:top w:val="none" w:sz="0" w:space="0" w:color="auto"/>
        <w:left w:val="none" w:sz="0" w:space="0" w:color="auto"/>
        <w:bottom w:val="none" w:sz="0" w:space="0" w:color="auto"/>
        <w:right w:val="none" w:sz="0" w:space="0" w:color="auto"/>
      </w:divBdr>
    </w:div>
    <w:div w:id="302538878">
      <w:bodyDiv w:val="1"/>
      <w:marLeft w:val="0"/>
      <w:marRight w:val="0"/>
      <w:marTop w:val="0"/>
      <w:marBottom w:val="0"/>
      <w:divBdr>
        <w:top w:val="none" w:sz="0" w:space="0" w:color="auto"/>
        <w:left w:val="none" w:sz="0" w:space="0" w:color="auto"/>
        <w:bottom w:val="none" w:sz="0" w:space="0" w:color="auto"/>
        <w:right w:val="none" w:sz="0" w:space="0" w:color="auto"/>
      </w:divBdr>
    </w:div>
    <w:div w:id="323631331">
      <w:bodyDiv w:val="1"/>
      <w:marLeft w:val="0"/>
      <w:marRight w:val="0"/>
      <w:marTop w:val="0"/>
      <w:marBottom w:val="0"/>
      <w:divBdr>
        <w:top w:val="none" w:sz="0" w:space="0" w:color="auto"/>
        <w:left w:val="none" w:sz="0" w:space="0" w:color="auto"/>
        <w:bottom w:val="none" w:sz="0" w:space="0" w:color="auto"/>
        <w:right w:val="none" w:sz="0" w:space="0" w:color="auto"/>
      </w:divBdr>
    </w:div>
    <w:div w:id="328485268">
      <w:bodyDiv w:val="1"/>
      <w:marLeft w:val="0"/>
      <w:marRight w:val="0"/>
      <w:marTop w:val="0"/>
      <w:marBottom w:val="0"/>
      <w:divBdr>
        <w:top w:val="none" w:sz="0" w:space="0" w:color="auto"/>
        <w:left w:val="none" w:sz="0" w:space="0" w:color="auto"/>
        <w:bottom w:val="none" w:sz="0" w:space="0" w:color="auto"/>
        <w:right w:val="none" w:sz="0" w:space="0" w:color="auto"/>
      </w:divBdr>
    </w:div>
    <w:div w:id="376129591">
      <w:bodyDiv w:val="1"/>
      <w:marLeft w:val="0"/>
      <w:marRight w:val="0"/>
      <w:marTop w:val="0"/>
      <w:marBottom w:val="0"/>
      <w:divBdr>
        <w:top w:val="none" w:sz="0" w:space="0" w:color="auto"/>
        <w:left w:val="none" w:sz="0" w:space="0" w:color="auto"/>
        <w:bottom w:val="none" w:sz="0" w:space="0" w:color="auto"/>
        <w:right w:val="none" w:sz="0" w:space="0" w:color="auto"/>
      </w:divBdr>
    </w:div>
    <w:div w:id="382603953">
      <w:bodyDiv w:val="1"/>
      <w:marLeft w:val="0"/>
      <w:marRight w:val="0"/>
      <w:marTop w:val="0"/>
      <w:marBottom w:val="0"/>
      <w:divBdr>
        <w:top w:val="none" w:sz="0" w:space="0" w:color="auto"/>
        <w:left w:val="none" w:sz="0" w:space="0" w:color="auto"/>
        <w:bottom w:val="none" w:sz="0" w:space="0" w:color="auto"/>
        <w:right w:val="none" w:sz="0" w:space="0" w:color="auto"/>
      </w:divBdr>
    </w:div>
    <w:div w:id="392436905">
      <w:bodyDiv w:val="1"/>
      <w:marLeft w:val="0"/>
      <w:marRight w:val="0"/>
      <w:marTop w:val="0"/>
      <w:marBottom w:val="0"/>
      <w:divBdr>
        <w:top w:val="none" w:sz="0" w:space="0" w:color="auto"/>
        <w:left w:val="none" w:sz="0" w:space="0" w:color="auto"/>
        <w:bottom w:val="none" w:sz="0" w:space="0" w:color="auto"/>
        <w:right w:val="none" w:sz="0" w:space="0" w:color="auto"/>
      </w:divBdr>
    </w:div>
    <w:div w:id="421224666">
      <w:bodyDiv w:val="1"/>
      <w:marLeft w:val="0"/>
      <w:marRight w:val="0"/>
      <w:marTop w:val="0"/>
      <w:marBottom w:val="0"/>
      <w:divBdr>
        <w:top w:val="none" w:sz="0" w:space="0" w:color="auto"/>
        <w:left w:val="none" w:sz="0" w:space="0" w:color="auto"/>
        <w:bottom w:val="none" w:sz="0" w:space="0" w:color="auto"/>
        <w:right w:val="none" w:sz="0" w:space="0" w:color="auto"/>
      </w:divBdr>
    </w:div>
    <w:div w:id="445273126">
      <w:bodyDiv w:val="1"/>
      <w:marLeft w:val="0"/>
      <w:marRight w:val="0"/>
      <w:marTop w:val="0"/>
      <w:marBottom w:val="0"/>
      <w:divBdr>
        <w:top w:val="none" w:sz="0" w:space="0" w:color="auto"/>
        <w:left w:val="none" w:sz="0" w:space="0" w:color="auto"/>
        <w:bottom w:val="none" w:sz="0" w:space="0" w:color="auto"/>
        <w:right w:val="none" w:sz="0" w:space="0" w:color="auto"/>
      </w:divBdr>
    </w:div>
    <w:div w:id="461197878">
      <w:bodyDiv w:val="1"/>
      <w:marLeft w:val="0"/>
      <w:marRight w:val="0"/>
      <w:marTop w:val="0"/>
      <w:marBottom w:val="0"/>
      <w:divBdr>
        <w:top w:val="none" w:sz="0" w:space="0" w:color="auto"/>
        <w:left w:val="none" w:sz="0" w:space="0" w:color="auto"/>
        <w:bottom w:val="none" w:sz="0" w:space="0" w:color="auto"/>
        <w:right w:val="none" w:sz="0" w:space="0" w:color="auto"/>
      </w:divBdr>
    </w:div>
    <w:div w:id="504172880">
      <w:bodyDiv w:val="1"/>
      <w:marLeft w:val="0"/>
      <w:marRight w:val="0"/>
      <w:marTop w:val="0"/>
      <w:marBottom w:val="0"/>
      <w:divBdr>
        <w:top w:val="none" w:sz="0" w:space="0" w:color="auto"/>
        <w:left w:val="none" w:sz="0" w:space="0" w:color="auto"/>
        <w:bottom w:val="none" w:sz="0" w:space="0" w:color="auto"/>
        <w:right w:val="none" w:sz="0" w:space="0" w:color="auto"/>
      </w:divBdr>
    </w:div>
    <w:div w:id="556548927">
      <w:bodyDiv w:val="1"/>
      <w:marLeft w:val="0"/>
      <w:marRight w:val="0"/>
      <w:marTop w:val="0"/>
      <w:marBottom w:val="0"/>
      <w:divBdr>
        <w:top w:val="none" w:sz="0" w:space="0" w:color="auto"/>
        <w:left w:val="none" w:sz="0" w:space="0" w:color="auto"/>
        <w:bottom w:val="none" w:sz="0" w:space="0" w:color="auto"/>
        <w:right w:val="none" w:sz="0" w:space="0" w:color="auto"/>
      </w:divBdr>
    </w:div>
    <w:div w:id="585575249">
      <w:bodyDiv w:val="1"/>
      <w:marLeft w:val="0"/>
      <w:marRight w:val="0"/>
      <w:marTop w:val="0"/>
      <w:marBottom w:val="0"/>
      <w:divBdr>
        <w:top w:val="none" w:sz="0" w:space="0" w:color="auto"/>
        <w:left w:val="none" w:sz="0" w:space="0" w:color="auto"/>
        <w:bottom w:val="none" w:sz="0" w:space="0" w:color="auto"/>
        <w:right w:val="none" w:sz="0" w:space="0" w:color="auto"/>
      </w:divBdr>
    </w:div>
    <w:div w:id="651984421">
      <w:bodyDiv w:val="1"/>
      <w:marLeft w:val="0"/>
      <w:marRight w:val="0"/>
      <w:marTop w:val="0"/>
      <w:marBottom w:val="0"/>
      <w:divBdr>
        <w:top w:val="none" w:sz="0" w:space="0" w:color="auto"/>
        <w:left w:val="none" w:sz="0" w:space="0" w:color="auto"/>
        <w:bottom w:val="none" w:sz="0" w:space="0" w:color="auto"/>
        <w:right w:val="none" w:sz="0" w:space="0" w:color="auto"/>
      </w:divBdr>
    </w:div>
    <w:div w:id="727416565">
      <w:bodyDiv w:val="1"/>
      <w:marLeft w:val="0"/>
      <w:marRight w:val="0"/>
      <w:marTop w:val="0"/>
      <w:marBottom w:val="0"/>
      <w:divBdr>
        <w:top w:val="none" w:sz="0" w:space="0" w:color="auto"/>
        <w:left w:val="none" w:sz="0" w:space="0" w:color="auto"/>
        <w:bottom w:val="none" w:sz="0" w:space="0" w:color="auto"/>
        <w:right w:val="none" w:sz="0" w:space="0" w:color="auto"/>
      </w:divBdr>
    </w:div>
    <w:div w:id="732044218">
      <w:bodyDiv w:val="1"/>
      <w:marLeft w:val="0"/>
      <w:marRight w:val="0"/>
      <w:marTop w:val="0"/>
      <w:marBottom w:val="0"/>
      <w:divBdr>
        <w:top w:val="none" w:sz="0" w:space="0" w:color="auto"/>
        <w:left w:val="none" w:sz="0" w:space="0" w:color="auto"/>
        <w:bottom w:val="none" w:sz="0" w:space="0" w:color="auto"/>
        <w:right w:val="none" w:sz="0" w:space="0" w:color="auto"/>
      </w:divBdr>
    </w:div>
    <w:div w:id="753091625">
      <w:bodyDiv w:val="1"/>
      <w:marLeft w:val="0"/>
      <w:marRight w:val="0"/>
      <w:marTop w:val="0"/>
      <w:marBottom w:val="0"/>
      <w:divBdr>
        <w:top w:val="none" w:sz="0" w:space="0" w:color="auto"/>
        <w:left w:val="none" w:sz="0" w:space="0" w:color="auto"/>
        <w:bottom w:val="none" w:sz="0" w:space="0" w:color="auto"/>
        <w:right w:val="none" w:sz="0" w:space="0" w:color="auto"/>
      </w:divBdr>
    </w:div>
    <w:div w:id="804540256">
      <w:bodyDiv w:val="1"/>
      <w:marLeft w:val="0"/>
      <w:marRight w:val="0"/>
      <w:marTop w:val="0"/>
      <w:marBottom w:val="0"/>
      <w:divBdr>
        <w:top w:val="none" w:sz="0" w:space="0" w:color="auto"/>
        <w:left w:val="none" w:sz="0" w:space="0" w:color="auto"/>
        <w:bottom w:val="none" w:sz="0" w:space="0" w:color="auto"/>
        <w:right w:val="none" w:sz="0" w:space="0" w:color="auto"/>
      </w:divBdr>
    </w:div>
    <w:div w:id="805778039">
      <w:bodyDiv w:val="1"/>
      <w:marLeft w:val="0"/>
      <w:marRight w:val="0"/>
      <w:marTop w:val="0"/>
      <w:marBottom w:val="0"/>
      <w:divBdr>
        <w:top w:val="none" w:sz="0" w:space="0" w:color="auto"/>
        <w:left w:val="none" w:sz="0" w:space="0" w:color="auto"/>
        <w:bottom w:val="none" w:sz="0" w:space="0" w:color="auto"/>
        <w:right w:val="none" w:sz="0" w:space="0" w:color="auto"/>
      </w:divBdr>
    </w:div>
    <w:div w:id="811097422">
      <w:bodyDiv w:val="1"/>
      <w:marLeft w:val="0"/>
      <w:marRight w:val="0"/>
      <w:marTop w:val="0"/>
      <w:marBottom w:val="0"/>
      <w:divBdr>
        <w:top w:val="none" w:sz="0" w:space="0" w:color="auto"/>
        <w:left w:val="none" w:sz="0" w:space="0" w:color="auto"/>
        <w:bottom w:val="none" w:sz="0" w:space="0" w:color="auto"/>
        <w:right w:val="none" w:sz="0" w:space="0" w:color="auto"/>
      </w:divBdr>
    </w:div>
    <w:div w:id="832377401">
      <w:bodyDiv w:val="1"/>
      <w:marLeft w:val="0"/>
      <w:marRight w:val="0"/>
      <w:marTop w:val="0"/>
      <w:marBottom w:val="0"/>
      <w:divBdr>
        <w:top w:val="none" w:sz="0" w:space="0" w:color="auto"/>
        <w:left w:val="none" w:sz="0" w:space="0" w:color="auto"/>
        <w:bottom w:val="none" w:sz="0" w:space="0" w:color="auto"/>
        <w:right w:val="none" w:sz="0" w:space="0" w:color="auto"/>
      </w:divBdr>
    </w:div>
    <w:div w:id="868686120">
      <w:bodyDiv w:val="1"/>
      <w:marLeft w:val="0"/>
      <w:marRight w:val="0"/>
      <w:marTop w:val="0"/>
      <w:marBottom w:val="0"/>
      <w:divBdr>
        <w:top w:val="none" w:sz="0" w:space="0" w:color="auto"/>
        <w:left w:val="none" w:sz="0" w:space="0" w:color="auto"/>
        <w:bottom w:val="none" w:sz="0" w:space="0" w:color="auto"/>
        <w:right w:val="none" w:sz="0" w:space="0" w:color="auto"/>
      </w:divBdr>
    </w:div>
    <w:div w:id="885216558">
      <w:bodyDiv w:val="1"/>
      <w:marLeft w:val="0"/>
      <w:marRight w:val="0"/>
      <w:marTop w:val="0"/>
      <w:marBottom w:val="0"/>
      <w:divBdr>
        <w:top w:val="none" w:sz="0" w:space="0" w:color="auto"/>
        <w:left w:val="none" w:sz="0" w:space="0" w:color="auto"/>
        <w:bottom w:val="none" w:sz="0" w:space="0" w:color="auto"/>
        <w:right w:val="none" w:sz="0" w:space="0" w:color="auto"/>
      </w:divBdr>
    </w:div>
    <w:div w:id="915439032">
      <w:bodyDiv w:val="1"/>
      <w:marLeft w:val="0"/>
      <w:marRight w:val="0"/>
      <w:marTop w:val="0"/>
      <w:marBottom w:val="0"/>
      <w:divBdr>
        <w:top w:val="none" w:sz="0" w:space="0" w:color="auto"/>
        <w:left w:val="none" w:sz="0" w:space="0" w:color="auto"/>
        <w:bottom w:val="none" w:sz="0" w:space="0" w:color="auto"/>
        <w:right w:val="none" w:sz="0" w:space="0" w:color="auto"/>
      </w:divBdr>
    </w:div>
    <w:div w:id="950353804">
      <w:bodyDiv w:val="1"/>
      <w:marLeft w:val="0"/>
      <w:marRight w:val="0"/>
      <w:marTop w:val="0"/>
      <w:marBottom w:val="0"/>
      <w:divBdr>
        <w:top w:val="none" w:sz="0" w:space="0" w:color="auto"/>
        <w:left w:val="none" w:sz="0" w:space="0" w:color="auto"/>
        <w:bottom w:val="none" w:sz="0" w:space="0" w:color="auto"/>
        <w:right w:val="none" w:sz="0" w:space="0" w:color="auto"/>
      </w:divBdr>
    </w:div>
    <w:div w:id="986935163">
      <w:bodyDiv w:val="1"/>
      <w:marLeft w:val="0"/>
      <w:marRight w:val="0"/>
      <w:marTop w:val="0"/>
      <w:marBottom w:val="0"/>
      <w:divBdr>
        <w:top w:val="none" w:sz="0" w:space="0" w:color="auto"/>
        <w:left w:val="none" w:sz="0" w:space="0" w:color="auto"/>
        <w:bottom w:val="none" w:sz="0" w:space="0" w:color="auto"/>
        <w:right w:val="none" w:sz="0" w:space="0" w:color="auto"/>
      </w:divBdr>
    </w:div>
    <w:div w:id="1008368222">
      <w:bodyDiv w:val="1"/>
      <w:marLeft w:val="0"/>
      <w:marRight w:val="0"/>
      <w:marTop w:val="0"/>
      <w:marBottom w:val="0"/>
      <w:divBdr>
        <w:top w:val="none" w:sz="0" w:space="0" w:color="auto"/>
        <w:left w:val="none" w:sz="0" w:space="0" w:color="auto"/>
        <w:bottom w:val="none" w:sz="0" w:space="0" w:color="auto"/>
        <w:right w:val="none" w:sz="0" w:space="0" w:color="auto"/>
      </w:divBdr>
    </w:div>
    <w:div w:id="1090390806">
      <w:bodyDiv w:val="1"/>
      <w:marLeft w:val="0"/>
      <w:marRight w:val="0"/>
      <w:marTop w:val="0"/>
      <w:marBottom w:val="0"/>
      <w:divBdr>
        <w:top w:val="none" w:sz="0" w:space="0" w:color="auto"/>
        <w:left w:val="none" w:sz="0" w:space="0" w:color="auto"/>
        <w:bottom w:val="none" w:sz="0" w:space="0" w:color="auto"/>
        <w:right w:val="none" w:sz="0" w:space="0" w:color="auto"/>
      </w:divBdr>
    </w:div>
    <w:div w:id="1098333048">
      <w:bodyDiv w:val="1"/>
      <w:marLeft w:val="0"/>
      <w:marRight w:val="0"/>
      <w:marTop w:val="0"/>
      <w:marBottom w:val="0"/>
      <w:divBdr>
        <w:top w:val="none" w:sz="0" w:space="0" w:color="auto"/>
        <w:left w:val="none" w:sz="0" w:space="0" w:color="auto"/>
        <w:bottom w:val="none" w:sz="0" w:space="0" w:color="auto"/>
        <w:right w:val="none" w:sz="0" w:space="0" w:color="auto"/>
      </w:divBdr>
    </w:div>
    <w:div w:id="1109933165">
      <w:bodyDiv w:val="1"/>
      <w:marLeft w:val="0"/>
      <w:marRight w:val="0"/>
      <w:marTop w:val="0"/>
      <w:marBottom w:val="0"/>
      <w:divBdr>
        <w:top w:val="none" w:sz="0" w:space="0" w:color="auto"/>
        <w:left w:val="none" w:sz="0" w:space="0" w:color="auto"/>
        <w:bottom w:val="none" w:sz="0" w:space="0" w:color="auto"/>
        <w:right w:val="none" w:sz="0" w:space="0" w:color="auto"/>
      </w:divBdr>
    </w:div>
    <w:div w:id="1120804087">
      <w:bodyDiv w:val="1"/>
      <w:marLeft w:val="0"/>
      <w:marRight w:val="0"/>
      <w:marTop w:val="0"/>
      <w:marBottom w:val="0"/>
      <w:divBdr>
        <w:top w:val="none" w:sz="0" w:space="0" w:color="auto"/>
        <w:left w:val="none" w:sz="0" w:space="0" w:color="auto"/>
        <w:bottom w:val="none" w:sz="0" w:space="0" w:color="auto"/>
        <w:right w:val="none" w:sz="0" w:space="0" w:color="auto"/>
      </w:divBdr>
    </w:div>
    <w:div w:id="1157265026">
      <w:bodyDiv w:val="1"/>
      <w:marLeft w:val="0"/>
      <w:marRight w:val="0"/>
      <w:marTop w:val="0"/>
      <w:marBottom w:val="0"/>
      <w:divBdr>
        <w:top w:val="none" w:sz="0" w:space="0" w:color="auto"/>
        <w:left w:val="none" w:sz="0" w:space="0" w:color="auto"/>
        <w:bottom w:val="none" w:sz="0" w:space="0" w:color="auto"/>
        <w:right w:val="none" w:sz="0" w:space="0" w:color="auto"/>
      </w:divBdr>
    </w:div>
    <w:div w:id="1157694552">
      <w:bodyDiv w:val="1"/>
      <w:marLeft w:val="0"/>
      <w:marRight w:val="0"/>
      <w:marTop w:val="0"/>
      <w:marBottom w:val="0"/>
      <w:divBdr>
        <w:top w:val="none" w:sz="0" w:space="0" w:color="auto"/>
        <w:left w:val="none" w:sz="0" w:space="0" w:color="auto"/>
        <w:bottom w:val="none" w:sz="0" w:space="0" w:color="auto"/>
        <w:right w:val="none" w:sz="0" w:space="0" w:color="auto"/>
      </w:divBdr>
    </w:div>
    <w:div w:id="1161695454">
      <w:bodyDiv w:val="1"/>
      <w:marLeft w:val="0"/>
      <w:marRight w:val="0"/>
      <w:marTop w:val="0"/>
      <w:marBottom w:val="0"/>
      <w:divBdr>
        <w:top w:val="none" w:sz="0" w:space="0" w:color="auto"/>
        <w:left w:val="none" w:sz="0" w:space="0" w:color="auto"/>
        <w:bottom w:val="none" w:sz="0" w:space="0" w:color="auto"/>
        <w:right w:val="none" w:sz="0" w:space="0" w:color="auto"/>
      </w:divBdr>
    </w:div>
    <w:div w:id="1181159022">
      <w:bodyDiv w:val="1"/>
      <w:marLeft w:val="0"/>
      <w:marRight w:val="0"/>
      <w:marTop w:val="0"/>
      <w:marBottom w:val="0"/>
      <w:divBdr>
        <w:top w:val="none" w:sz="0" w:space="0" w:color="auto"/>
        <w:left w:val="none" w:sz="0" w:space="0" w:color="auto"/>
        <w:bottom w:val="none" w:sz="0" w:space="0" w:color="auto"/>
        <w:right w:val="none" w:sz="0" w:space="0" w:color="auto"/>
      </w:divBdr>
    </w:div>
    <w:div w:id="1187213952">
      <w:bodyDiv w:val="1"/>
      <w:marLeft w:val="0"/>
      <w:marRight w:val="0"/>
      <w:marTop w:val="0"/>
      <w:marBottom w:val="0"/>
      <w:divBdr>
        <w:top w:val="none" w:sz="0" w:space="0" w:color="auto"/>
        <w:left w:val="none" w:sz="0" w:space="0" w:color="auto"/>
        <w:bottom w:val="none" w:sz="0" w:space="0" w:color="auto"/>
        <w:right w:val="none" w:sz="0" w:space="0" w:color="auto"/>
      </w:divBdr>
    </w:div>
    <w:div w:id="1251934633">
      <w:bodyDiv w:val="1"/>
      <w:marLeft w:val="0"/>
      <w:marRight w:val="0"/>
      <w:marTop w:val="0"/>
      <w:marBottom w:val="0"/>
      <w:divBdr>
        <w:top w:val="none" w:sz="0" w:space="0" w:color="auto"/>
        <w:left w:val="none" w:sz="0" w:space="0" w:color="auto"/>
        <w:bottom w:val="none" w:sz="0" w:space="0" w:color="auto"/>
        <w:right w:val="none" w:sz="0" w:space="0" w:color="auto"/>
      </w:divBdr>
    </w:div>
    <w:div w:id="1265846228">
      <w:bodyDiv w:val="1"/>
      <w:marLeft w:val="0"/>
      <w:marRight w:val="0"/>
      <w:marTop w:val="0"/>
      <w:marBottom w:val="0"/>
      <w:divBdr>
        <w:top w:val="none" w:sz="0" w:space="0" w:color="auto"/>
        <w:left w:val="none" w:sz="0" w:space="0" w:color="auto"/>
        <w:bottom w:val="none" w:sz="0" w:space="0" w:color="auto"/>
        <w:right w:val="none" w:sz="0" w:space="0" w:color="auto"/>
      </w:divBdr>
    </w:div>
    <w:div w:id="1273510214">
      <w:bodyDiv w:val="1"/>
      <w:marLeft w:val="0"/>
      <w:marRight w:val="0"/>
      <w:marTop w:val="0"/>
      <w:marBottom w:val="0"/>
      <w:divBdr>
        <w:top w:val="none" w:sz="0" w:space="0" w:color="auto"/>
        <w:left w:val="none" w:sz="0" w:space="0" w:color="auto"/>
        <w:bottom w:val="none" w:sz="0" w:space="0" w:color="auto"/>
        <w:right w:val="none" w:sz="0" w:space="0" w:color="auto"/>
      </w:divBdr>
    </w:div>
    <w:div w:id="1293636459">
      <w:bodyDiv w:val="1"/>
      <w:marLeft w:val="0"/>
      <w:marRight w:val="0"/>
      <w:marTop w:val="0"/>
      <w:marBottom w:val="0"/>
      <w:divBdr>
        <w:top w:val="none" w:sz="0" w:space="0" w:color="auto"/>
        <w:left w:val="none" w:sz="0" w:space="0" w:color="auto"/>
        <w:bottom w:val="none" w:sz="0" w:space="0" w:color="auto"/>
        <w:right w:val="none" w:sz="0" w:space="0" w:color="auto"/>
      </w:divBdr>
    </w:div>
    <w:div w:id="1318923243">
      <w:bodyDiv w:val="1"/>
      <w:marLeft w:val="0"/>
      <w:marRight w:val="0"/>
      <w:marTop w:val="0"/>
      <w:marBottom w:val="0"/>
      <w:divBdr>
        <w:top w:val="none" w:sz="0" w:space="0" w:color="auto"/>
        <w:left w:val="none" w:sz="0" w:space="0" w:color="auto"/>
        <w:bottom w:val="none" w:sz="0" w:space="0" w:color="auto"/>
        <w:right w:val="none" w:sz="0" w:space="0" w:color="auto"/>
      </w:divBdr>
    </w:div>
    <w:div w:id="1347102262">
      <w:bodyDiv w:val="1"/>
      <w:marLeft w:val="0"/>
      <w:marRight w:val="0"/>
      <w:marTop w:val="0"/>
      <w:marBottom w:val="0"/>
      <w:divBdr>
        <w:top w:val="none" w:sz="0" w:space="0" w:color="auto"/>
        <w:left w:val="none" w:sz="0" w:space="0" w:color="auto"/>
        <w:bottom w:val="none" w:sz="0" w:space="0" w:color="auto"/>
        <w:right w:val="none" w:sz="0" w:space="0" w:color="auto"/>
      </w:divBdr>
    </w:div>
    <w:div w:id="1348294012">
      <w:bodyDiv w:val="1"/>
      <w:marLeft w:val="0"/>
      <w:marRight w:val="0"/>
      <w:marTop w:val="0"/>
      <w:marBottom w:val="0"/>
      <w:divBdr>
        <w:top w:val="none" w:sz="0" w:space="0" w:color="auto"/>
        <w:left w:val="none" w:sz="0" w:space="0" w:color="auto"/>
        <w:bottom w:val="none" w:sz="0" w:space="0" w:color="auto"/>
        <w:right w:val="none" w:sz="0" w:space="0" w:color="auto"/>
      </w:divBdr>
    </w:div>
    <w:div w:id="1410082900">
      <w:bodyDiv w:val="1"/>
      <w:marLeft w:val="0"/>
      <w:marRight w:val="0"/>
      <w:marTop w:val="0"/>
      <w:marBottom w:val="0"/>
      <w:divBdr>
        <w:top w:val="none" w:sz="0" w:space="0" w:color="auto"/>
        <w:left w:val="none" w:sz="0" w:space="0" w:color="auto"/>
        <w:bottom w:val="none" w:sz="0" w:space="0" w:color="auto"/>
        <w:right w:val="none" w:sz="0" w:space="0" w:color="auto"/>
      </w:divBdr>
    </w:div>
    <w:div w:id="1427799754">
      <w:bodyDiv w:val="1"/>
      <w:marLeft w:val="0"/>
      <w:marRight w:val="0"/>
      <w:marTop w:val="0"/>
      <w:marBottom w:val="0"/>
      <w:divBdr>
        <w:top w:val="none" w:sz="0" w:space="0" w:color="auto"/>
        <w:left w:val="none" w:sz="0" w:space="0" w:color="auto"/>
        <w:bottom w:val="none" w:sz="0" w:space="0" w:color="auto"/>
        <w:right w:val="none" w:sz="0" w:space="0" w:color="auto"/>
      </w:divBdr>
    </w:div>
    <w:div w:id="1461916786">
      <w:bodyDiv w:val="1"/>
      <w:marLeft w:val="0"/>
      <w:marRight w:val="0"/>
      <w:marTop w:val="0"/>
      <w:marBottom w:val="0"/>
      <w:divBdr>
        <w:top w:val="none" w:sz="0" w:space="0" w:color="auto"/>
        <w:left w:val="none" w:sz="0" w:space="0" w:color="auto"/>
        <w:bottom w:val="none" w:sz="0" w:space="0" w:color="auto"/>
        <w:right w:val="none" w:sz="0" w:space="0" w:color="auto"/>
      </w:divBdr>
    </w:div>
    <w:div w:id="1523930411">
      <w:bodyDiv w:val="1"/>
      <w:marLeft w:val="0"/>
      <w:marRight w:val="0"/>
      <w:marTop w:val="0"/>
      <w:marBottom w:val="0"/>
      <w:divBdr>
        <w:top w:val="none" w:sz="0" w:space="0" w:color="auto"/>
        <w:left w:val="none" w:sz="0" w:space="0" w:color="auto"/>
        <w:bottom w:val="none" w:sz="0" w:space="0" w:color="auto"/>
        <w:right w:val="none" w:sz="0" w:space="0" w:color="auto"/>
      </w:divBdr>
    </w:div>
    <w:div w:id="1537431814">
      <w:bodyDiv w:val="1"/>
      <w:marLeft w:val="0"/>
      <w:marRight w:val="0"/>
      <w:marTop w:val="0"/>
      <w:marBottom w:val="0"/>
      <w:divBdr>
        <w:top w:val="none" w:sz="0" w:space="0" w:color="auto"/>
        <w:left w:val="none" w:sz="0" w:space="0" w:color="auto"/>
        <w:bottom w:val="none" w:sz="0" w:space="0" w:color="auto"/>
        <w:right w:val="none" w:sz="0" w:space="0" w:color="auto"/>
      </w:divBdr>
    </w:div>
    <w:div w:id="1538732771">
      <w:bodyDiv w:val="1"/>
      <w:marLeft w:val="0"/>
      <w:marRight w:val="0"/>
      <w:marTop w:val="0"/>
      <w:marBottom w:val="0"/>
      <w:divBdr>
        <w:top w:val="none" w:sz="0" w:space="0" w:color="auto"/>
        <w:left w:val="none" w:sz="0" w:space="0" w:color="auto"/>
        <w:bottom w:val="none" w:sz="0" w:space="0" w:color="auto"/>
        <w:right w:val="none" w:sz="0" w:space="0" w:color="auto"/>
      </w:divBdr>
    </w:div>
    <w:div w:id="1613129130">
      <w:bodyDiv w:val="1"/>
      <w:marLeft w:val="0"/>
      <w:marRight w:val="0"/>
      <w:marTop w:val="0"/>
      <w:marBottom w:val="0"/>
      <w:divBdr>
        <w:top w:val="none" w:sz="0" w:space="0" w:color="auto"/>
        <w:left w:val="none" w:sz="0" w:space="0" w:color="auto"/>
        <w:bottom w:val="none" w:sz="0" w:space="0" w:color="auto"/>
        <w:right w:val="none" w:sz="0" w:space="0" w:color="auto"/>
      </w:divBdr>
    </w:div>
    <w:div w:id="1638102033">
      <w:bodyDiv w:val="1"/>
      <w:marLeft w:val="0"/>
      <w:marRight w:val="0"/>
      <w:marTop w:val="0"/>
      <w:marBottom w:val="0"/>
      <w:divBdr>
        <w:top w:val="none" w:sz="0" w:space="0" w:color="auto"/>
        <w:left w:val="none" w:sz="0" w:space="0" w:color="auto"/>
        <w:bottom w:val="none" w:sz="0" w:space="0" w:color="auto"/>
        <w:right w:val="none" w:sz="0" w:space="0" w:color="auto"/>
      </w:divBdr>
    </w:div>
    <w:div w:id="1656031994">
      <w:bodyDiv w:val="1"/>
      <w:marLeft w:val="0"/>
      <w:marRight w:val="0"/>
      <w:marTop w:val="0"/>
      <w:marBottom w:val="0"/>
      <w:divBdr>
        <w:top w:val="none" w:sz="0" w:space="0" w:color="auto"/>
        <w:left w:val="none" w:sz="0" w:space="0" w:color="auto"/>
        <w:bottom w:val="none" w:sz="0" w:space="0" w:color="auto"/>
        <w:right w:val="none" w:sz="0" w:space="0" w:color="auto"/>
      </w:divBdr>
    </w:div>
    <w:div w:id="1665427574">
      <w:bodyDiv w:val="1"/>
      <w:marLeft w:val="0"/>
      <w:marRight w:val="0"/>
      <w:marTop w:val="0"/>
      <w:marBottom w:val="0"/>
      <w:divBdr>
        <w:top w:val="none" w:sz="0" w:space="0" w:color="auto"/>
        <w:left w:val="none" w:sz="0" w:space="0" w:color="auto"/>
        <w:bottom w:val="none" w:sz="0" w:space="0" w:color="auto"/>
        <w:right w:val="none" w:sz="0" w:space="0" w:color="auto"/>
      </w:divBdr>
    </w:div>
    <w:div w:id="1700163550">
      <w:bodyDiv w:val="1"/>
      <w:marLeft w:val="0"/>
      <w:marRight w:val="0"/>
      <w:marTop w:val="0"/>
      <w:marBottom w:val="0"/>
      <w:divBdr>
        <w:top w:val="none" w:sz="0" w:space="0" w:color="auto"/>
        <w:left w:val="none" w:sz="0" w:space="0" w:color="auto"/>
        <w:bottom w:val="none" w:sz="0" w:space="0" w:color="auto"/>
        <w:right w:val="none" w:sz="0" w:space="0" w:color="auto"/>
      </w:divBdr>
    </w:div>
    <w:div w:id="1701931940">
      <w:bodyDiv w:val="1"/>
      <w:marLeft w:val="0"/>
      <w:marRight w:val="0"/>
      <w:marTop w:val="0"/>
      <w:marBottom w:val="0"/>
      <w:divBdr>
        <w:top w:val="none" w:sz="0" w:space="0" w:color="auto"/>
        <w:left w:val="none" w:sz="0" w:space="0" w:color="auto"/>
        <w:bottom w:val="none" w:sz="0" w:space="0" w:color="auto"/>
        <w:right w:val="none" w:sz="0" w:space="0" w:color="auto"/>
      </w:divBdr>
    </w:div>
    <w:div w:id="1710957093">
      <w:bodyDiv w:val="1"/>
      <w:marLeft w:val="0"/>
      <w:marRight w:val="0"/>
      <w:marTop w:val="0"/>
      <w:marBottom w:val="0"/>
      <w:divBdr>
        <w:top w:val="none" w:sz="0" w:space="0" w:color="auto"/>
        <w:left w:val="none" w:sz="0" w:space="0" w:color="auto"/>
        <w:bottom w:val="none" w:sz="0" w:space="0" w:color="auto"/>
        <w:right w:val="none" w:sz="0" w:space="0" w:color="auto"/>
      </w:divBdr>
    </w:div>
    <w:div w:id="1740976629">
      <w:bodyDiv w:val="1"/>
      <w:marLeft w:val="0"/>
      <w:marRight w:val="0"/>
      <w:marTop w:val="0"/>
      <w:marBottom w:val="0"/>
      <w:divBdr>
        <w:top w:val="none" w:sz="0" w:space="0" w:color="auto"/>
        <w:left w:val="none" w:sz="0" w:space="0" w:color="auto"/>
        <w:bottom w:val="none" w:sz="0" w:space="0" w:color="auto"/>
        <w:right w:val="none" w:sz="0" w:space="0" w:color="auto"/>
      </w:divBdr>
    </w:div>
    <w:div w:id="1745831665">
      <w:bodyDiv w:val="1"/>
      <w:marLeft w:val="0"/>
      <w:marRight w:val="0"/>
      <w:marTop w:val="0"/>
      <w:marBottom w:val="0"/>
      <w:divBdr>
        <w:top w:val="none" w:sz="0" w:space="0" w:color="auto"/>
        <w:left w:val="none" w:sz="0" w:space="0" w:color="auto"/>
        <w:bottom w:val="none" w:sz="0" w:space="0" w:color="auto"/>
        <w:right w:val="none" w:sz="0" w:space="0" w:color="auto"/>
      </w:divBdr>
    </w:div>
    <w:div w:id="1773164431">
      <w:bodyDiv w:val="1"/>
      <w:marLeft w:val="0"/>
      <w:marRight w:val="0"/>
      <w:marTop w:val="0"/>
      <w:marBottom w:val="0"/>
      <w:divBdr>
        <w:top w:val="none" w:sz="0" w:space="0" w:color="auto"/>
        <w:left w:val="none" w:sz="0" w:space="0" w:color="auto"/>
        <w:bottom w:val="none" w:sz="0" w:space="0" w:color="auto"/>
        <w:right w:val="none" w:sz="0" w:space="0" w:color="auto"/>
      </w:divBdr>
    </w:div>
    <w:div w:id="1790323009">
      <w:bodyDiv w:val="1"/>
      <w:marLeft w:val="0"/>
      <w:marRight w:val="0"/>
      <w:marTop w:val="0"/>
      <w:marBottom w:val="0"/>
      <w:divBdr>
        <w:top w:val="none" w:sz="0" w:space="0" w:color="auto"/>
        <w:left w:val="none" w:sz="0" w:space="0" w:color="auto"/>
        <w:bottom w:val="none" w:sz="0" w:space="0" w:color="auto"/>
        <w:right w:val="none" w:sz="0" w:space="0" w:color="auto"/>
      </w:divBdr>
    </w:div>
    <w:div w:id="1790902584">
      <w:bodyDiv w:val="1"/>
      <w:marLeft w:val="0"/>
      <w:marRight w:val="0"/>
      <w:marTop w:val="0"/>
      <w:marBottom w:val="0"/>
      <w:divBdr>
        <w:top w:val="none" w:sz="0" w:space="0" w:color="auto"/>
        <w:left w:val="none" w:sz="0" w:space="0" w:color="auto"/>
        <w:bottom w:val="none" w:sz="0" w:space="0" w:color="auto"/>
        <w:right w:val="none" w:sz="0" w:space="0" w:color="auto"/>
      </w:divBdr>
    </w:div>
    <w:div w:id="1793749185">
      <w:bodyDiv w:val="1"/>
      <w:marLeft w:val="0"/>
      <w:marRight w:val="0"/>
      <w:marTop w:val="0"/>
      <w:marBottom w:val="0"/>
      <w:divBdr>
        <w:top w:val="none" w:sz="0" w:space="0" w:color="auto"/>
        <w:left w:val="none" w:sz="0" w:space="0" w:color="auto"/>
        <w:bottom w:val="none" w:sz="0" w:space="0" w:color="auto"/>
        <w:right w:val="none" w:sz="0" w:space="0" w:color="auto"/>
      </w:divBdr>
    </w:div>
    <w:div w:id="1793940924">
      <w:bodyDiv w:val="1"/>
      <w:marLeft w:val="0"/>
      <w:marRight w:val="0"/>
      <w:marTop w:val="0"/>
      <w:marBottom w:val="0"/>
      <w:divBdr>
        <w:top w:val="none" w:sz="0" w:space="0" w:color="auto"/>
        <w:left w:val="none" w:sz="0" w:space="0" w:color="auto"/>
        <w:bottom w:val="none" w:sz="0" w:space="0" w:color="auto"/>
        <w:right w:val="none" w:sz="0" w:space="0" w:color="auto"/>
      </w:divBdr>
    </w:div>
    <w:div w:id="1794055343">
      <w:bodyDiv w:val="1"/>
      <w:marLeft w:val="0"/>
      <w:marRight w:val="0"/>
      <w:marTop w:val="0"/>
      <w:marBottom w:val="0"/>
      <w:divBdr>
        <w:top w:val="none" w:sz="0" w:space="0" w:color="auto"/>
        <w:left w:val="none" w:sz="0" w:space="0" w:color="auto"/>
        <w:bottom w:val="none" w:sz="0" w:space="0" w:color="auto"/>
        <w:right w:val="none" w:sz="0" w:space="0" w:color="auto"/>
      </w:divBdr>
    </w:div>
    <w:div w:id="1813984222">
      <w:bodyDiv w:val="1"/>
      <w:marLeft w:val="0"/>
      <w:marRight w:val="0"/>
      <w:marTop w:val="0"/>
      <w:marBottom w:val="0"/>
      <w:divBdr>
        <w:top w:val="none" w:sz="0" w:space="0" w:color="auto"/>
        <w:left w:val="none" w:sz="0" w:space="0" w:color="auto"/>
        <w:bottom w:val="none" w:sz="0" w:space="0" w:color="auto"/>
        <w:right w:val="none" w:sz="0" w:space="0" w:color="auto"/>
      </w:divBdr>
    </w:div>
    <w:div w:id="1821455241">
      <w:bodyDiv w:val="1"/>
      <w:marLeft w:val="0"/>
      <w:marRight w:val="0"/>
      <w:marTop w:val="0"/>
      <w:marBottom w:val="0"/>
      <w:divBdr>
        <w:top w:val="none" w:sz="0" w:space="0" w:color="auto"/>
        <w:left w:val="none" w:sz="0" w:space="0" w:color="auto"/>
        <w:bottom w:val="none" w:sz="0" w:space="0" w:color="auto"/>
        <w:right w:val="none" w:sz="0" w:space="0" w:color="auto"/>
      </w:divBdr>
    </w:div>
    <w:div w:id="1845127916">
      <w:bodyDiv w:val="1"/>
      <w:marLeft w:val="0"/>
      <w:marRight w:val="0"/>
      <w:marTop w:val="0"/>
      <w:marBottom w:val="0"/>
      <w:divBdr>
        <w:top w:val="none" w:sz="0" w:space="0" w:color="auto"/>
        <w:left w:val="none" w:sz="0" w:space="0" w:color="auto"/>
        <w:bottom w:val="none" w:sz="0" w:space="0" w:color="auto"/>
        <w:right w:val="none" w:sz="0" w:space="0" w:color="auto"/>
      </w:divBdr>
    </w:div>
    <w:div w:id="1867673325">
      <w:bodyDiv w:val="1"/>
      <w:marLeft w:val="0"/>
      <w:marRight w:val="0"/>
      <w:marTop w:val="0"/>
      <w:marBottom w:val="0"/>
      <w:divBdr>
        <w:top w:val="none" w:sz="0" w:space="0" w:color="auto"/>
        <w:left w:val="none" w:sz="0" w:space="0" w:color="auto"/>
        <w:bottom w:val="none" w:sz="0" w:space="0" w:color="auto"/>
        <w:right w:val="none" w:sz="0" w:space="0" w:color="auto"/>
      </w:divBdr>
    </w:div>
    <w:div w:id="1870289113">
      <w:bodyDiv w:val="1"/>
      <w:marLeft w:val="0"/>
      <w:marRight w:val="0"/>
      <w:marTop w:val="0"/>
      <w:marBottom w:val="0"/>
      <w:divBdr>
        <w:top w:val="none" w:sz="0" w:space="0" w:color="auto"/>
        <w:left w:val="none" w:sz="0" w:space="0" w:color="auto"/>
        <w:bottom w:val="none" w:sz="0" w:space="0" w:color="auto"/>
        <w:right w:val="none" w:sz="0" w:space="0" w:color="auto"/>
      </w:divBdr>
    </w:div>
    <w:div w:id="1891571658">
      <w:bodyDiv w:val="1"/>
      <w:marLeft w:val="0"/>
      <w:marRight w:val="0"/>
      <w:marTop w:val="0"/>
      <w:marBottom w:val="0"/>
      <w:divBdr>
        <w:top w:val="none" w:sz="0" w:space="0" w:color="auto"/>
        <w:left w:val="none" w:sz="0" w:space="0" w:color="auto"/>
        <w:bottom w:val="none" w:sz="0" w:space="0" w:color="auto"/>
        <w:right w:val="none" w:sz="0" w:space="0" w:color="auto"/>
      </w:divBdr>
    </w:div>
    <w:div w:id="1902516940">
      <w:bodyDiv w:val="1"/>
      <w:marLeft w:val="0"/>
      <w:marRight w:val="0"/>
      <w:marTop w:val="0"/>
      <w:marBottom w:val="0"/>
      <w:divBdr>
        <w:top w:val="none" w:sz="0" w:space="0" w:color="auto"/>
        <w:left w:val="none" w:sz="0" w:space="0" w:color="auto"/>
        <w:bottom w:val="none" w:sz="0" w:space="0" w:color="auto"/>
        <w:right w:val="none" w:sz="0" w:space="0" w:color="auto"/>
      </w:divBdr>
    </w:div>
    <w:div w:id="1925067766">
      <w:bodyDiv w:val="1"/>
      <w:marLeft w:val="0"/>
      <w:marRight w:val="0"/>
      <w:marTop w:val="0"/>
      <w:marBottom w:val="0"/>
      <w:divBdr>
        <w:top w:val="none" w:sz="0" w:space="0" w:color="auto"/>
        <w:left w:val="none" w:sz="0" w:space="0" w:color="auto"/>
        <w:bottom w:val="none" w:sz="0" w:space="0" w:color="auto"/>
        <w:right w:val="none" w:sz="0" w:space="0" w:color="auto"/>
      </w:divBdr>
    </w:div>
    <w:div w:id="1925601168">
      <w:bodyDiv w:val="1"/>
      <w:marLeft w:val="0"/>
      <w:marRight w:val="0"/>
      <w:marTop w:val="0"/>
      <w:marBottom w:val="0"/>
      <w:divBdr>
        <w:top w:val="none" w:sz="0" w:space="0" w:color="auto"/>
        <w:left w:val="none" w:sz="0" w:space="0" w:color="auto"/>
        <w:bottom w:val="none" w:sz="0" w:space="0" w:color="auto"/>
        <w:right w:val="none" w:sz="0" w:space="0" w:color="auto"/>
      </w:divBdr>
    </w:div>
    <w:div w:id="1938125657">
      <w:bodyDiv w:val="1"/>
      <w:marLeft w:val="0"/>
      <w:marRight w:val="0"/>
      <w:marTop w:val="0"/>
      <w:marBottom w:val="0"/>
      <w:divBdr>
        <w:top w:val="none" w:sz="0" w:space="0" w:color="auto"/>
        <w:left w:val="none" w:sz="0" w:space="0" w:color="auto"/>
        <w:bottom w:val="none" w:sz="0" w:space="0" w:color="auto"/>
        <w:right w:val="none" w:sz="0" w:space="0" w:color="auto"/>
      </w:divBdr>
    </w:div>
    <w:div w:id="1964848943">
      <w:bodyDiv w:val="1"/>
      <w:marLeft w:val="0"/>
      <w:marRight w:val="0"/>
      <w:marTop w:val="0"/>
      <w:marBottom w:val="0"/>
      <w:divBdr>
        <w:top w:val="none" w:sz="0" w:space="0" w:color="auto"/>
        <w:left w:val="none" w:sz="0" w:space="0" w:color="auto"/>
        <w:bottom w:val="none" w:sz="0" w:space="0" w:color="auto"/>
        <w:right w:val="none" w:sz="0" w:space="0" w:color="auto"/>
      </w:divBdr>
    </w:div>
    <w:div w:id="1983539606">
      <w:bodyDiv w:val="1"/>
      <w:marLeft w:val="0"/>
      <w:marRight w:val="0"/>
      <w:marTop w:val="0"/>
      <w:marBottom w:val="0"/>
      <w:divBdr>
        <w:top w:val="none" w:sz="0" w:space="0" w:color="auto"/>
        <w:left w:val="none" w:sz="0" w:space="0" w:color="auto"/>
        <w:bottom w:val="none" w:sz="0" w:space="0" w:color="auto"/>
        <w:right w:val="none" w:sz="0" w:space="0" w:color="auto"/>
      </w:divBdr>
    </w:div>
    <w:div w:id="1991711953">
      <w:bodyDiv w:val="1"/>
      <w:marLeft w:val="0"/>
      <w:marRight w:val="0"/>
      <w:marTop w:val="0"/>
      <w:marBottom w:val="0"/>
      <w:divBdr>
        <w:top w:val="none" w:sz="0" w:space="0" w:color="auto"/>
        <w:left w:val="none" w:sz="0" w:space="0" w:color="auto"/>
        <w:bottom w:val="none" w:sz="0" w:space="0" w:color="auto"/>
        <w:right w:val="none" w:sz="0" w:space="0" w:color="auto"/>
      </w:divBdr>
    </w:div>
    <w:div w:id="2005545503">
      <w:bodyDiv w:val="1"/>
      <w:marLeft w:val="0"/>
      <w:marRight w:val="0"/>
      <w:marTop w:val="0"/>
      <w:marBottom w:val="0"/>
      <w:divBdr>
        <w:top w:val="none" w:sz="0" w:space="0" w:color="auto"/>
        <w:left w:val="none" w:sz="0" w:space="0" w:color="auto"/>
        <w:bottom w:val="none" w:sz="0" w:space="0" w:color="auto"/>
        <w:right w:val="none" w:sz="0" w:space="0" w:color="auto"/>
      </w:divBdr>
    </w:div>
    <w:div w:id="2007703977">
      <w:bodyDiv w:val="1"/>
      <w:marLeft w:val="0"/>
      <w:marRight w:val="0"/>
      <w:marTop w:val="0"/>
      <w:marBottom w:val="0"/>
      <w:divBdr>
        <w:top w:val="none" w:sz="0" w:space="0" w:color="auto"/>
        <w:left w:val="none" w:sz="0" w:space="0" w:color="auto"/>
        <w:bottom w:val="none" w:sz="0" w:space="0" w:color="auto"/>
        <w:right w:val="none" w:sz="0" w:space="0" w:color="auto"/>
      </w:divBdr>
    </w:div>
    <w:div w:id="2039618349">
      <w:bodyDiv w:val="1"/>
      <w:marLeft w:val="0"/>
      <w:marRight w:val="0"/>
      <w:marTop w:val="0"/>
      <w:marBottom w:val="0"/>
      <w:divBdr>
        <w:top w:val="none" w:sz="0" w:space="0" w:color="auto"/>
        <w:left w:val="none" w:sz="0" w:space="0" w:color="auto"/>
        <w:bottom w:val="none" w:sz="0" w:space="0" w:color="auto"/>
        <w:right w:val="none" w:sz="0" w:space="0" w:color="auto"/>
      </w:divBdr>
    </w:div>
    <w:div w:id="2045867329">
      <w:bodyDiv w:val="1"/>
      <w:marLeft w:val="0"/>
      <w:marRight w:val="0"/>
      <w:marTop w:val="0"/>
      <w:marBottom w:val="0"/>
      <w:divBdr>
        <w:top w:val="none" w:sz="0" w:space="0" w:color="auto"/>
        <w:left w:val="none" w:sz="0" w:space="0" w:color="auto"/>
        <w:bottom w:val="none" w:sz="0" w:space="0" w:color="auto"/>
        <w:right w:val="none" w:sz="0" w:space="0" w:color="auto"/>
      </w:divBdr>
    </w:div>
    <w:div w:id="2070225679">
      <w:bodyDiv w:val="1"/>
      <w:marLeft w:val="0"/>
      <w:marRight w:val="0"/>
      <w:marTop w:val="0"/>
      <w:marBottom w:val="0"/>
      <w:divBdr>
        <w:top w:val="none" w:sz="0" w:space="0" w:color="auto"/>
        <w:left w:val="none" w:sz="0" w:space="0" w:color="auto"/>
        <w:bottom w:val="none" w:sz="0" w:space="0" w:color="auto"/>
        <w:right w:val="none" w:sz="0" w:space="0" w:color="auto"/>
      </w:divBdr>
    </w:div>
    <w:div w:id="2112358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50B7F7-C512-410F-9996-6463BE4E37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229</TotalTime>
  <Pages>39</Pages>
  <Words>9224</Words>
  <Characters>50733</Characters>
  <Application>Microsoft Office Word</Application>
  <DocSecurity>0</DocSecurity>
  <Lines>422</Lines>
  <Paragraphs>119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59838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17</cp:revision>
  <cp:lastPrinted>2022-11-12T02:41:00Z</cp:lastPrinted>
  <dcterms:created xsi:type="dcterms:W3CDTF">2023-10-25T16:17:00Z</dcterms:created>
  <dcterms:modified xsi:type="dcterms:W3CDTF">2023-11-01T19:58:00Z</dcterms:modified>
</cp:coreProperties>
</file>