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0A" w:rsidRDefault="00A2770A" w:rsidP="00A2770A">
      <w:pPr>
        <w:jc w:val="center"/>
      </w:pPr>
    </w:p>
    <w:p w:rsidR="00A2770A" w:rsidRPr="00540418" w:rsidRDefault="00A2770A" w:rsidP="00A2770A">
      <w:pPr>
        <w:shd w:val="clear" w:color="auto" w:fill="FFFFFF" w:themeFill="background1"/>
        <w:jc w:val="center"/>
        <w:rPr>
          <w:rFonts w:ascii="Soberana Sans Light" w:hAnsi="Soberana Sans Light"/>
        </w:rPr>
      </w:pPr>
      <w:r w:rsidRPr="00540418">
        <w:rPr>
          <w:rFonts w:ascii="Soberana Sans Light" w:hAnsi="Soberana Sans Light"/>
        </w:rPr>
        <w:t>Informe de Pasivos Contingentes</w:t>
      </w:r>
    </w:p>
    <w:p w:rsidR="00A2770A" w:rsidRPr="00540418" w:rsidRDefault="00A2770A" w:rsidP="00A2770A">
      <w:pPr>
        <w:shd w:val="clear" w:color="auto" w:fill="FFFFFF" w:themeFill="background1"/>
        <w:rPr>
          <w:rFonts w:ascii="Soberana Sans Light" w:hAnsi="Soberana Sans Light"/>
        </w:rPr>
      </w:pPr>
    </w:p>
    <w:p w:rsidR="00A2770A" w:rsidRPr="009B2071" w:rsidRDefault="00A2770A" w:rsidP="00A2770A">
      <w:pPr>
        <w:pStyle w:val="Prrafodelista"/>
        <w:shd w:val="clear" w:color="auto" w:fill="FFFFFF" w:themeFill="background1"/>
        <w:jc w:val="both"/>
        <w:rPr>
          <w:rFonts w:ascii="Arial" w:hAnsi="Arial" w:cs="Arial"/>
          <w:sz w:val="18"/>
          <w:szCs w:val="18"/>
        </w:rPr>
      </w:pPr>
      <w:r>
        <w:rPr>
          <w:rFonts w:ascii="Arial" w:hAnsi="Arial" w:cs="Arial"/>
          <w:sz w:val="18"/>
          <w:szCs w:val="18"/>
        </w:rPr>
        <w:t>Del Fondo para Contingencias por la cantidad de $ 214,946.78 (DOSCIENTOS CATORCE MIL NOVECIENTOS CUARENTA Y SEIS PESOS, 78/100 M.N.); se ejercieron $ 37,264.93 (TREINTA Y SIETE MIL, DOSCIENTOS SESENTA Y CUATRO PESOS, 93/100 M.N.) para pago de Finiquitos Laborales y resta un saldo de $ 177,681.85 (CIENTO SETENTA Y SIETE MIL, SEISCIENTOS OCHENTA Y UN PESOS, 85/100 M.N.).</w:t>
      </w:r>
    </w:p>
    <w:p w:rsidR="00A2770A" w:rsidRDefault="00A2770A" w:rsidP="00A2770A">
      <w:pPr>
        <w:rPr>
          <w:rFonts w:ascii="Soberana Sans Light" w:hAnsi="Soberana Sans Light"/>
        </w:rPr>
      </w:pPr>
    </w:p>
    <w:p w:rsidR="00A2770A" w:rsidRDefault="00A2770A" w:rsidP="00A2770A">
      <w:pPr>
        <w:rPr>
          <w:rFonts w:ascii="Soberana Sans Light" w:hAnsi="Soberana Sans Light"/>
        </w:rPr>
      </w:pPr>
    </w:p>
    <w:p w:rsidR="00A2770A" w:rsidRDefault="00A2770A" w:rsidP="00A2770A">
      <w:pPr>
        <w:rPr>
          <w:rFonts w:ascii="Soberana Sans Light" w:hAnsi="Soberana Sans Light"/>
        </w:rPr>
      </w:pPr>
    </w:p>
    <w:p w:rsidR="00A2770A" w:rsidRDefault="00A2770A" w:rsidP="00A2770A">
      <w:pPr>
        <w:rPr>
          <w:rFonts w:ascii="Soberana Sans Light" w:hAnsi="Soberana Sans Light"/>
        </w:rPr>
      </w:pPr>
    </w:p>
    <w:p w:rsidR="00A2770A" w:rsidRDefault="00A2770A" w:rsidP="00A2770A">
      <w:pPr>
        <w:rPr>
          <w:rFonts w:ascii="Soberana Sans Light" w:hAnsi="Soberana Sans Light"/>
        </w:rPr>
      </w:pPr>
    </w:p>
    <w:p w:rsidR="00A2770A" w:rsidRDefault="00A2770A" w:rsidP="00A2770A">
      <w:pPr>
        <w:rPr>
          <w:rFonts w:ascii="Soberana Sans Light" w:hAnsi="Soberana Sans Light"/>
        </w:rPr>
      </w:pPr>
    </w:p>
    <w:p w:rsidR="00A2770A" w:rsidRDefault="00A2770A" w:rsidP="00A2770A">
      <w:pPr>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0"/>
        <w:gridCol w:w="6910"/>
      </w:tblGrid>
      <w:tr w:rsidR="00A2770A" w:rsidRPr="00786D90" w:rsidTr="00285DAD">
        <w:trPr>
          <w:jc w:val="center"/>
        </w:trPr>
        <w:tc>
          <w:tcPr>
            <w:tcW w:w="6910" w:type="dxa"/>
          </w:tcPr>
          <w:p w:rsidR="00A2770A" w:rsidRDefault="00A2770A" w:rsidP="00285DAD">
            <w:pPr>
              <w:pBdr>
                <w:bottom w:val="single" w:sz="12" w:space="1" w:color="auto"/>
              </w:pBdr>
              <w:spacing w:line="276" w:lineRule="auto"/>
              <w:rPr>
                <w:rFonts w:ascii="Arial" w:hAnsi="Arial" w:cs="Arial"/>
                <w:sz w:val="18"/>
                <w:szCs w:val="18"/>
              </w:rPr>
            </w:pPr>
          </w:p>
          <w:p w:rsidR="00A2770A" w:rsidRDefault="00A2770A" w:rsidP="00285DAD">
            <w:pPr>
              <w:spacing w:line="276" w:lineRule="auto"/>
              <w:jc w:val="center"/>
              <w:rPr>
                <w:rFonts w:ascii="Arial" w:hAnsi="Arial" w:cs="Arial"/>
                <w:sz w:val="18"/>
                <w:szCs w:val="18"/>
              </w:rPr>
            </w:pPr>
            <w:proofErr w:type="spellStart"/>
            <w:r>
              <w:rPr>
                <w:rFonts w:ascii="Arial" w:hAnsi="Arial" w:cs="Arial"/>
                <w:sz w:val="18"/>
                <w:szCs w:val="18"/>
              </w:rPr>
              <w:t>Maday</w:t>
            </w:r>
            <w:proofErr w:type="spellEnd"/>
            <w:r>
              <w:rPr>
                <w:rFonts w:ascii="Arial" w:hAnsi="Arial" w:cs="Arial"/>
                <w:sz w:val="18"/>
                <w:szCs w:val="18"/>
              </w:rPr>
              <w:t xml:space="preserve"> Capilla Piedras</w:t>
            </w:r>
          </w:p>
          <w:p w:rsidR="00A2770A" w:rsidRPr="00786D90" w:rsidRDefault="00A2770A" w:rsidP="00285DAD">
            <w:pPr>
              <w:spacing w:line="276" w:lineRule="auto"/>
              <w:jc w:val="center"/>
              <w:rPr>
                <w:rFonts w:ascii="Arial" w:hAnsi="Arial" w:cs="Arial"/>
                <w:sz w:val="18"/>
                <w:szCs w:val="18"/>
              </w:rPr>
            </w:pPr>
            <w:r>
              <w:rPr>
                <w:rFonts w:ascii="Arial" w:hAnsi="Arial" w:cs="Arial"/>
                <w:sz w:val="18"/>
                <w:szCs w:val="18"/>
              </w:rPr>
              <w:t>Directora General</w:t>
            </w:r>
          </w:p>
        </w:tc>
        <w:tc>
          <w:tcPr>
            <w:tcW w:w="6910" w:type="dxa"/>
          </w:tcPr>
          <w:p w:rsidR="00A2770A" w:rsidRDefault="00A2770A" w:rsidP="00285DAD">
            <w:pPr>
              <w:pBdr>
                <w:bottom w:val="single" w:sz="12" w:space="1" w:color="auto"/>
              </w:pBdr>
              <w:spacing w:line="276" w:lineRule="auto"/>
              <w:rPr>
                <w:rFonts w:ascii="Arial" w:hAnsi="Arial" w:cs="Arial"/>
                <w:sz w:val="18"/>
                <w:szCs w:val="18"/>
              </w:rPr>
            </w:pPr>
          </w:p>
          <w:p w:rsidR="00A2770A" w:rsidRDefault="00A2770A" w:rsidP="00285DAD">
            <w:pPr>
              <w:spacing w:line="276" w:lineRule="auto"/>
              <w:jc w:val="center"/>
              <w:rPr>
                <w:rFonts w:ascii="Arial" w:hAnsi="Arial" w:cs="Arial"/>
                <w:sz w:val="18"/>
                <w:szCs w:val="18"/>
              </w:rPr>
            </w:pPr>
            <w:r>
              <w:rPr>
                <w:rFonts w:ascii="Arial" w:hAnsi="Arial" w:cs="Arial"/>
                <w:sz w:val="18"/>
                <w:szCs w:val="18"/>
              </w:rPr>
              <w:t>Jesús José Payan Reyes</w:t>
            </w:r>
          </w:p>
          <w:p w:rsidR="00A2770A" w:rsidRPr="00786D90" w:rsidRDefault="00A2770A" w:rsidP="00285DAD">
            <w:pPr>
              <w:spacing w:line="276" w:lineRule="auto"/>
              <w:jc w:val="center"/>
              <w:rPr>
                <w:rFonts w:ascii="Arial" w:hAnsi="Arial" w:cs="Arial"/>
                <w:sz w:val="18"/>
                <w:szCs w:val="18"/>
              </w:rPr>
            </w:pPr>
            <w:r>
              <w:rPr>
                <w:rFonts w:ascii="Arial" w:hAnsi="Arial" w:cs="Arial"/>
                <w:sz w:val="18"/>
                <w:szCs w:val="18"/>
              </w:rPr>
              <w:t>Director de Administración y Finanzas</w:t>
            </w:r>
          </w:p>
        </w:tc>
      </w:tr>
    </w:tbl>
    <w:p w:rsidR="00A2770A" w:rsidRDefault="00A2770A" w:rsidP="00A2770A">
      <w:pPr>
        <w:rPr>
          <w:rFonts w:ascii="Soberana Sans Light" w:hAnsi="Soberana Sans Light"/>
        </w:rPr>
      </w:pPr>
    </w:p>
    <w:p w:rsidR="00A2770A" w:rsidRDefault="00A2770A" w:rsidP="00A2770A">
      <w:pPr>
        <w:rPr>
          <w:rFonts w:ascii="Soberana Sans Light" w:hAnsi="Soberana Sans Light"/>
        </w:rPr>
      </w:pPr>
      <w:r>
        <w:rPr>
          <w:rFonts w:ascii="Soberana Sans Light" w:hAnsi="Soberana Sans Light"/>
        </w:rPr>
        <w:br w:type="page"/>
      </w:r>
    </w:p>
    <w:p w:rsidR="00A2770A" w:rsidRDefault="00A2770A" w:rsidP="00A2770A">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A2770A" w:rsidRDefault="00A2770A" w:rsidP="00A2770A">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a) NOTAS DE DESGLOSE</w:t>
      </w:r>
    </w:p>
    <w:p w:rsidR="00A2770A" w:rsidRPr="007E42D2" w:rsidRDefault="00A2770A" w:rsidP="00A2770A">
      <w:pPr>
        <w:pStyle w:val="INCISO"/>
        <w:spacing w:after="0" w:line="240" w:lineRule="exact"/>
        <w:ind w:left="648"/>
        <w:rPr>
          <w:rFonts w:ascii="Soberana Sans Light" w:hAnsi="Soberana Sans Light"/>
          <w:b/>
          <w:smallCaps/>
        </w:rPr>
      </w:pPr>
      <w:r w:rsidRPr="007E42D2">
        <w:rPr>
          <w:rFonts w:ascii="Soberana Sans Light" w:hAnsi="Soberana Sans Light"/>
          <w:b/>
          <w:smallCaps/>
        </w:rPr>
        <w:t>I)</w:t>
      </w:r>
      <w:r w:rsidRPr="007E42D2">
        <w:rPr>
          <w:rFonts w:ascii="Soberana Sans Light" w:hAnsi="Soberana Sans Light"/>
          <w:b/>
          <w:smallCaps/>
        </w:rPr>
        <w:tab/>
        <w:t>Notas al Estado de Situación Financiera</w:t>
      </w:r>
    </w:p>
    <w:p w:rsidR="00A2770A" w:rsidRPr="007E42D2" w:rsidRDefault="00A2770A" w:rsidP="00A2770A">
      <w:pPr>
        <w:pStyle w:val="Texto"/>
        <w:spacing w:after="0" w:line="276" w:lineRule="auto"/>
        <w:rPr>
          <w:b/>
          <w:szCs w:val="18"/>
          <w:lang w:val="es-MX"/>
        </w:rPr>
      </w:pPr>
      <w:r w:rsidRPr="007E42D2">
        <w:rPr>
          <w:b/>
          <w:szCs w:val="18"/>
          <w:lang w:val="es-MX"/>
        </w:rPr>
        <w:t>Activo</w:t>
      </w:r>
    </w:p>
    <w:p w:rsidR="00A2770A" w:rsidRPr="007E42D2" w:rsidRDefault="00A2770A" w:rsidP="00A2770A">
      <w:pPr>
        <w:pStyle w:val="Texto"/>
        <w:numPr>
          <w:ilvl w:val="0"/>
          <w:numId w:val="5"/>
        </w:numPr>
        <w:spacing w:after="0" w:line="276" w:lineRule="auto"/>
        <w:rPr>
          <w:b/>
          <w:szCs w:val="18"/>
          <w:lang w:val="es-MX"/>
        </w:rPr>
      </w:pPr>
      <w:r w:rsidRPr="007E42D2">
        <w:rPr>
          <w:b/>
          <w:szCs w:val="18"/>
          <w:lang w:val="es-MX"/>
        </w:rPr>
        <w:t>Efectivo y Equivalentes</w:t>
      </w:r>
    </w:p>
    <w:p w:rsidR="00A2770A" w:rsidRPr="007E42D2" w:rsidRDefault="00A2770A" w:rsidP="00A2770A">
      <w:pPr>
        <w:autoSpaceDE w:val="0"/>
        <w:autoSpaceDN w:val="0"/>
        <w:adjustRightInd w:val="0"/>
        <w:spacing w:before="80"/>
        <w:ind w:left="993"/>
        <w:jc w:val="both"/>
        <w:rPr>
          <w:rFonts w:ascii="Arial" w:hAnsi="Arial" w:cs="Arial"/>
          <w:sz w:val="18"/>
          <w:szCs w:val="18"/>
        </w:rPr>
      </w:pPr>
      <w:r w:rsidRPr="007E42D2">
        <w:rPr>
          <w:rFonts w:ascii="Arial" w:hAnsi="Arial" w:cs="Arial"/>
          <w:sz w:val="18"/>
          <w:szCs w:val="18"/>
        </w:rPr>
        <w:t>En este rubro se integran los recursos monetarios que maneja el Instituto Tlaxcalteca para la Educación de los Adultos ITEA, en cuentas bancarias en moneda nacional. A continuación se presenta la integración de este rubro:</w:t>
      </w:r>
    </w:p>
    <w:p w:rsidR="00A2770A" w:rsidRPr="007E42D2" w:rsidRDefault="00A2770A" w:rsidP="00A2770A">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A2770A" w:rsidRPr="007E42D2" w:rsidTr="00285DAD">
        <w:trPr>
          <w:trHeight w:val="60"/>
          <w:jc w:val="center"/>
        </w:trPr>
        <w:tc>
          <w:tcPr>
            <w:tcW w:w="2963"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Pr>
                <w:b/>
                <w:color w:val="FFFFFF" w:themeColor="background1"/>
                <w:szCs w:val="18"/>
                <w:lang w:val="es-MX"/>
              </w:rPr>
              <w:t>Por Fuente de Financiamiento</w:t>
            </w:r>
          </w:p>
        </w:tc>
        <w:tc>
          <w:tcPr>
            <w:tcW w:w="1715"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31 Dic. 2015</w:t>
            </w:r>
          </w:p>
        </w:tc>
      </w:tr>
      <w:tr w:rsidR="00A2770A" w:rsidRPr="007E42D2" w:rsidTr="00285DAD">
        <w:trPr>
          <w:trHeight w:val="60"/>
          <w:jc w:val="center"/>
        </w:trPr>
        <w:tc>
          <w:tcPr>
            <w:tcW w:w="2963" w:type="dxa"/>
            <w:shd w:val="clear" w:color="auto" w:fill="auto"/>
          </w:tcPr>
          <w:p w:rsidR="00A2770A" w:rsidRPr="007E42D2" w:rsidRDefault="00A2770A" w:rsidP="00285DAD">
            <w:pPr>
              <w:pStyle w:val="Texto"/>
              <w:spacing w:after="0" w:line="276" w:lineRule="auto"/>
              <w:ind w:firstLine="0"/>
              <w:jc w:val="left"/>
              <w:rPr>
                <w:szCs w:val="18"/>
                <w:lang w:val="es-MX"/>
              </w:rPr>
            </w:pPr>
            <w:r w:rsidRPr="007E42D2">
              <w:rPr>
                <w:szCs w:val="18"/>
                <w:lang w:val="es-MX"/>
              </w:rPr>
              <w:t>Ramo 33 FAETA</w:t>
            </w:r>
          </w:p>
        </w:tc>
        <w:tc>
          <w:tcPr>
            <w:tcW w:w="1715" w:type="dxa"/>
            <w:shd w:val="clear" w:color="auto" w:fill="auto"/>
          </w:tcPr>
          <w:p w:rsidR="00A2770A" w:rsidRPr="007E42D2" w:rsidRDefault="00A2770A" w:rsidP="00285DAD">
            <w:pPr>
              <w:pStyle w:val="Texto"/>
              <w:spacing w:after="0" w:line="276" w:lineRule="auto"/>
              <w:ind w:firstLine="0"/>
              <w:jc w:val="right"/>
              <w:rPr>
                <w:szCs w:val="18"/>
                <w:lang w:val="es-MX"/>
              </w:rPr>
            </w:pPr>
            <w:r>
              <w:rPr>
                <w:szCs w:val="18"/>
                <w:lang w:val="es-MX"/>
              </w:rPr>
              <w:t>2,260,243.97</w:t>
            </w:r>
          </w:p>
        </w:tc>
      </w:tr>
      <w:tr w:rsidR="00A2770A" w:rsidRPr="007E42D2" w:rsidTr="00285DAD">
        <w:trPr>
          <w:trHeight w:val="60"/>
          <w:jc w:val="center"/>
        </w:trPr>
        <w:tc>
          <w:tcPr>
            <w:tcW w:w="2963" w:type="dxa"/>
            <w:shd w:val="clear" w:color="auto" w:fill="auto"/>
          </w:tcPr>
          <w:p w:rsidR="00A2770A" w:rsidRPr="007E42D2" w:rsidRDefault="00A2770A" w:rsidP="00285DAD">
            <w:pPr>
              <w:pStyle w:val="Texto"/>
              <w:spacing w:after="0" w:line="276" w:lineRule="auto"/>
              <w:ind w:firstLine="0"/>
              <w:jc w:val="left"/>
              <w:rPr>
                <w:szCs w:val="18"/>
                <w:lang w:val="es-MX"/>
              </w:rPr>
            </w:pPr>
            <w:r w:rsidRPr="007E42D2">
              <w:rPr>
                <w:szCs w:val="18"/>
                <w:lang w:val="es-MX"/>
              </w:rPr>
              <w:t>Ramo 11</w:t>
            </w:r>
          </w:p>
        </w:tc>
        <w:tc>
          <w:tcPr>
            <w:tcW w:w="1715" w:type="dxa"/>
            <w:shd w:val="clear" w:color="auto" w:fill="auto"/>
          </w:tcPr>
          <w:p w:rsidR="00A2770A" w:rsidRPr="007E42D2" w:rsidRDefault="00A2770A" w:rsidP="00285DAD">
            <w:pPr>
              <w:pStyle w:val="Texto"/>
              <w:spacing w:after="0" w:line="276" w:lineRule="auto"/>
              <w:ind w:firstLine="0"/>
              <w:jc w:val="right"/>
              <w:rPr>
                <w:szCs w:val="18"/>
                <w:lang w:val="es-MX"/>
              </w:rPr>
            </w:pPr>
            <w:r>
              <w:rPr>
                <w:szCs w:val="18"/>
                <w:lang w:val="es-MX"/>
              </w:rPr>
              <w:t>15,633.88</w:t>
            </w:r>
          </w:p>
        </w:tc>
      </w:tr>
      <w:tr w:rsidR="00A2770A" w:rsidRPr="007E42D2" w:rsidTr="00285DAD">
        <w:trPr>
          <w:trHeight w:val="60"/>
          <w:jc w:val="center"/>
        </w:trPr>
        <w:tc>
          <w:tcPr>
            <w:tcW w:w="2963" w:type="dxa"/>
            <w:shd w:val="clear" w:color="auto" w:fill="auto"/>
          </w:tcPr>
          <w:p w:rsidR="00A2770A" w:rsidRPr="007E42D2" w:rsidRDefault="00A2770A" w:rsidP="00285DAD">
            <w:pPr>
              <w:pStyle w:val="Texto"/>
              <w:spacing w:after="0" w:line="276" w:lineRule="auto"/>
              <w:ind w:firstLine="0"/>
              <w:jc w:val="left"/>
              <w:rPr>
                <w:szCs w:val="18"/>
                <w:lang w:val="es-MX"/>
              </w:rPr>
            </w:pPr>
            <w:r w:rsidRPr="007E42D2">
              <w:rPr>
                <w:szCs w:val="18"/>
                <w:lang w:val="es-MX"/>
              </w:rPr>
              <w:t>Estatal</w:t>
            </w:r>
          </w:p>
        </w:tc>
        <w:tc>
          <w:tcPr>
            <w:tcW w:w="1715" w:type="dxa"/>
            <w:shd w:val="clear" w:color="auto" w:fill="auto"/>
          </w:tcPr>
          <w:p w:rsidR="00A2770A" w:rsidRPr="007E42D2" w:rsidRDefault="00A2770A" w:rsidP="00285DAD">
            <w:pPr>
              <w:pStyle w:val="Texto"/>
              <w:spacing w:after="0" w:line="276" w:lineRule="auto"/>
              <w:ind w:firstLine="0"/>
              <w:jc w:val="right"/>
              <w:rPr>
                <w:szCs w:val="18"/>
                <w:lang w:val="es-MX"/>
              </w:rPr>
            </w:pPr>
            <w:r>
              <w:rPr>
                <w:szCs w:val="18"/>
                <w:lang w:val="es-MX"/>
              </w:rPr>
              <w:t>1,206,195.45</w:t>
            </w:r>
          </w:p>
        </w:tc>
      </w:tr>
      <w:tr w:rsidR="00A2770A" w:rsidRPr="007E42D2" w:rsidTr="00285DAD">
        <w:trPr>
          <w:trHeight w:val="60"/>
          <w:jc w:val="center"/>
        </w:trPr>
        <w:tc>
          <w:tcPr>
            <w:tcW w:w="2963" w:type="dxa"/>
            <w:shd w:val="clear" w:color="auto" w:fill="auto"/>
          </w:tcPr>
          <w:p w:rsidR="00A2770A" w:rsidRPr="007E42D2" w:rsidRDefault="00A2770A" w:rsidP="00285DAD">
            <w:pPr>
              <w:pStyle w:val="Texto"/>
              <w:spacing w:after="0" w:line="276" w:lineRule="auto"/>
              <w:ind w:firstLine="0"/>
              <w:jc w:val="right"/>
              <w:rPr>
                <w:szCs w:val="18"/>
                <w:lang w:val="es-MX"/>
              </w:rPr>
            </w:pPr>
            <w:r>
              <w:rPr>
                <w:szCs w:val="18"/>
                <w:lang w:val="es-MX"/>
              </w:rPr>
              <w:t>S</w:t>
            </w:r>
            <w:r w:rsidRPr="007E42D2">
              <w:rPr>
                <w:szCs w:val="18"/>
                <w:lang w:val="es-MX"/>
              </w:rPr>
              <w:t>uma</w:t>
            </w:r>
            <w:r>
              <w:rPr>
                <w:szCs w:val="18"/>
                <w:lang w:val="es-MX"/>
              </w:rPr>
              <w:t>:</w:t>
            </w:r>
          </w:p>
        </w:tc>
        <w:tc>
          <w:tcPr>
            <w:tcW w:w="1715" w:type="dxa"/>
            <w:shd w:val="clear" w:color="auto" w:fill="auto"/>
          </w:tcPr>
          <w:p w:rsidR="00A2770A" w:rsidRPr="007E42D2" w:rsidRDefault="00A2770A" w:rsidP="00285DAD">
            <w:pPr>
              <w:pStyle w:val="Texto"/>
              <w:spacing w:after="0" w:line="276" w:lineRule="auto"/>
              <w:ind w:firstLine="0"/>
              <w:jc w:val="right"/>
              <w:rPr>
                <w:szCs w:val="18"/>
                <w:lang w:val="es-MX"/>
              </w:rPr>
            </w:pPr>
            <w:r>
              <w:rPr>
                <w:szCs w:val="18"/>
                <w:lang w:val="es-MX"/>
              </w:rPr>
              <w:fldChar w:fldCharType="begin"/>
            </w:r>
            <w:r>
              <w:rPr>
                <w:szCs w:val="18"/>
                <w:lang w:val="es-MX"/>
              </w:rPr>
              <w:instrText xml:space="preserve"> =SUM(ABOVE) \# "$#,##0.00;($#,##0.00)" </w:instrText>
            </w:r>
            <w:r>
              <w:rPr>
                <w:szCs w:val="18"/>
                <w:lang w:val="es-MX"/>
              </w:rPr>
              <w:fldChar w:fldCharType="separate"/>
            </w:r>
            <w:r>
              <w:rPr>
                <w:noProof/>
                <w:szCs w:val="18"/>
                <w:lang w:val="es-MX"/>
              </w:rPr>
              <w:t>$   3,482,073.30</w:t>
            </w:r>
            <w:r>
              <w:rPr>
                <w:szCs w:val="18"/>
                <w:lang w:val="es-MX"/>
              </w:rPr>
              <w:fldChar w:fldCharType="end"/>
            </w:r>
          </w:p>
        </w:tc>
      </w:tr>
    </w:tbl>
    <w:p w:rsidR="00A2770A" w:rsidRPr="007E42D2" w:rsidRDefault="00A2770A" w:rsidP="00A2770A">
      <w:pPr>
        <w:pStyle w:val="ROMANOS"/>
        <w:spacing w:after="0" w:line="276" w:lineRule="auto"/>
        <w:rPr>
          <w:lang w:val="es-MX"/>
        </w:rPr>
      </w:pPr>
    </w:p>
    <w:p w:rsidR="00A2770A" w:rsidRPr="007E42D2" w:rsidRDefault="00A2770A" w:rsidP="00A2770A">
      <w:pPr>
        <w:pStyle w:val="Texto"/>
        <w:numPr>
          <w:ilvl w:val="0"/>
          <w:numId w:val="5"/>
        </w:numPr>
        <w:spacing w:after="0" w:line="276" w:lineRule="auto"/>
        <w:rPr>
          <w:b/>
          <w:szCs w:val="18"/>
          <w:lang w:val="es-MX"/>
        </w:rPr>
      </w:pPr>
      <w:r w:rsidRPr="007E42D2">
        <w:rPr>
          <w:b/>
          <w:szCs w:val="18"/>
          <w:lang w:val="es-MX"/>
        </w:rPr>
        <w:t>Derechos a recibir Efectivo o Equivalentes</w:t>
      </w:r>
    </w:p>
    <w:p w:rsidR="00A2770A" w:rsidRPr="007E42D2" w:rsidRDefault="00A2770A" w:rsidP="00A2770A">
      <w:pPr>
        <w:autoSpaceDE w:val="0"/>
        <w:autoSpaceDN w:val="0"/>
        <w:adjustRightInd w:val="0"/>
        <w:spacing w:before="80"/>
        <w:ind w:left="993"/>
        <w:jc w:val="both"/>
        <w:rPr>
          <w:rFonts w:ascii="Arial" w:hAnsi="Arial" w:cs="Arial"/>
          <w:sz w:val="18"/>
          <w:szCs w:val="18"/>
        </w:rPr>
      </w:pPr>
      <w:r>
        <w:rPr>
          <w:rFonts w:ascii="Arial" w:hAnsi="Arial" w:cs="Arial"/>
          <w:sz w:val="18"/>
          <w:szCs w:val="18"/>
        </w:rPr>
        <w:t>Cabe señalar que en esta cuenta se canceló el devengo de un ingreso registrado en Diciembre 2014 por un importe de $ 1’023,160 (UN MILLÓN, VEINTITRES MIL, CIENTO SESENTA PESOS), debido a una disminución del presupuesto del Ejercicio 2014. Y que el importe que corresponde a Cuentas por Cobrar a Corto Plazo es producto de una regularización de ejercicios anteriores y que se determinaron reintegros pendientes entre fondos y entre ejercicios anteriores, mismo que se refleja también en el saldo acreedor que se señalará más adelante</w:t>
      </w:r>
      <w:r w:rsidRPr="007E42D2">
        <w:rPr>
          <w:rFonts w:ascii="Arial" w:hAnsi="Arial" w:cs="Arial"/>
          <w:sz w:val="18"/>
          <w:szCs w:val="18"/>
        </w:rPr>
        <w:t>. A continuación se presenta la integración de este rubro:</w:t>
      </w:r>
    </w:p>
    <w:p w:rsidR="00A2770A" w:rsidRPr="007E42D2" w:rsidRDefault="00A2770A" w:rsidP="00A2770A">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5435"/>
        <w:gridCol w:w="2742"/>
      </w:tblGrid>
      <w:tr w:rsidR="00A2770A" w:rsidRPr="007E42D2" w:rsidTr="00285DAD">
        <w:trPr>
          <w:trHeight w:val="60"/>
          <w:jc w:val="center"/>
        </w:trPr>
        <w:tc>
          <w:tcPr>
            <w:tcW w:w="5435"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2742"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31 Dic. 2015</w:t>
            </w:r>
          </w:p>
        </w:tc>
      </w:tr>
      <w:tr w:rsidR="00A2770A" w:rsidRPr="007E42D2" w:rsidTr="00285DAD">
        <w:trPr>
          <w:trHeight w:val="60"/>
          <w:jc w:val="center"/>
        </w:trPr>
        <w:tc>
          <w:tcPr>
            <w:tcW w:w="5435" w:type="dxa"/>
            <w:shd w:val="clear" w:color="auto" w:fill="auto"/>
          </w:tcPr>
          <w:p w:rsidR="00A2770A" w:rsidRPr="007E42D2" w:rsidRDefault="00A2770A" w:rsidP="00285DAD">
            <w:pPr>
              <w:pStyle w:val="Texto"/>
              <w:spacing w:after="0" w:line="276" w:lineRule="auto"/>
              <w:ind w:firstLine="0"/>
              <w:jc w:val="left"/>
              <w:rPr>
                <w:szCs w:val="18"/>
                <w:lang w:val="es-MX"/>
              </w:rPr>
            </w:pPr>
            <w:r>
              <w:rPr>
                <w:szCs w:val="18"/>
                <w:lang w:val="es-MX"/>
              </w:rPr>
              <w:t>Cuentas por Cobrar a Corto Plazo</w:t>
            </w:r>
          </w:p>
        </w:tc>
        <w:tc>
          <w:tcPr>
            <w:tcW w:w="2742" w:type="dxa"/>
            <w:shd w:val="clear" w:color="auto" w:fill="auto"/>
          </w:tcPr>
          <w:p w:rsidR="00A2770A" w:rsidRPr="00EF7F06" w:rsidRDefault="00A2770A" w:rsidP="00285DAD">
            <w:pPr>
              <w:jc w:val="right"/>
              <w:rPr>
                <w:rFonts w:ascii="Arial" w:hAnsi="Arial" w:cs="Arial"/>
                <w:sz w:val="16"/>
                <w:szCs w:val="16"/>
              </w:rPr>
            </w:pPr>
            <w:r w:rsidRPr="00EF7F06">
              <w:rPr>
                <w:rFonts w:ascii="Arial" w:hAnsi="Arial" w:cs="Arial"/>
                <w:sz w:val="18"/>
                <w:szCs w:val="16"/>
              </w:rPr>
              <w:t xml:space="preserve">138,886.02 </w:t>
            </w:r>
          </w:p>
        </w:tc>
      </w:tr>
      <w:tr w:rsidR="00A2770A" w:rsidRPr="00EF7F06" w:rsidTr="00285DAD">
        <w:trPr>
          <w:trHeight w:val="60"/>
          <w:jc w:val="center"/>
        </w:trPr>
        <w:tc>
          <w:tcPr>
            <w:tcW w:w="5435" w:type="dxa"/>
            <w:shd w:val="clear" w:color="auto" w:fill="auto"/>
          </w:tcPr>
          <w:p w:rsidR="00A2770A" w:rsidRPr="007E42D2" w:rsidRDefault="00A2770A" w:rsidP="00285DAD">
            <w:pPr>
              <w:pStyle w:val="Texto"/>
              <w:spacing w:after="0" w:line="276" w:lineRule="auto"/>
              <w:ind w:firstLine="0"/>
              <w:jc w:val="left"/>
              <w:rPr>
                <w:szCs w:val="18"/>
                <w:lang w:val="es-MX"/>
              </w:rPr>
            </w:pPr>
            <w:r>
              <w:rPr>
                <w:szCs w:val="18"/>
                <w:lang w:val="es-MX"/>
              </w:rPr>
              <w:t>Deudores Diversos por Cobrar a Corto Plazo</w:t>
            </w:r>
          </w:p>
        </w:tc>
        <w:tc>
          <w:tcPr>
            <w:tcW w:w="2742" w:type="dxa"/>
            <w:shd w:val="clear" w:color="auto" w:fill="auto"/>
          </w:tcPr>
          <w:p w:rsidR="00A2770A" w:rsidRPr="00EF7F06" w:rsidRDefault="00A2770A" w:rsidP="00285DAD">
            <w:pPr>
              <w:jc w:val="right"/>
              <w:rPr>
                <w:rFonts w:ascii="Arial" w:hAnsi="Arial" w:cs="Arial"/>
                <w:sz w:val="18"/>
                <w:szCs w:val="16"/>
              </w:rPr>
            </w:pPr>
            <w:r>
              <w:rPr>
                <w:rFonts w:ascii="Arial" w:hAnsi="Arial" w:cs="Arial"/>
                <w:sz w:val="18"/>
                <w:szCs w:val="16"/>
              </w:rPr>
              <w:t>50.64</w:t>
            </w:r>
          </w:p>
        </w:tc>
      </w:tr>
      <w:tr w:rsidR="00A2770A" w:rsidRPr="00EF7F06" w:rsidTr="00285DAD">
        <w:trPr>
          <w:trHeight w:val="60"/>
          <w:jc w:val="center"/>
        </w:trPr>
        <w:tc>
          <w:tcPr>
            <w:tcW w:w="5435" w:type="dxa"/>
            <w:shd w:val="clear" w:color="auto" w:fill="auto"/>
          </w:tcPr>
          <w:p w:rsidR="00A2770A" w:rsidRDefault="00A2770A" w:rsidP="00285DAD">
            <w:pPr>
              <w:pStyle w:val="Texto"/>
              <w:spacing w:after="0" w:line="276" w:lineRule="auto"/>
              <w:ind w:firstLine="0"/>
              <w:jc w:val="left"/>
              <w:rPr>
                <w:szCs w:val="18"/>
                <w:lang w:val="es-MX"/>
              </w:rPr>
            </w:pPr>
            <w:r>
              <w:rPr>
                <w:szCs w:val="18"/>
                <w:lang w:val="es-MX"/>
              </w:rPr>
              <w:t>Otros Derechos a Recibir Efectivo o Equivalentes a Corto Plazo</w:t>
            </w:r>
          </w:p>
        </w:tc>
        <w:tc>
          <w:tcPr>
            <w:tcW w:w="2742" w:type="dxa"/>
            <w:shd w:val="clear" w:color="auto" w:fill="auto"/>
          </w:tcPr>
          <w:p w:rsidR="00A2770A" w:rsidRDefault="00A2770A" w:rsidP="00285DAD">
            <w:pPr>
              <w:jc w:val="right"/>
              <w:rPr>
                <w:rFonts w:ascii="Arial" w:hAnsi="Arial" w:cs="Arial"/>
                <w:sz w:val="18"/>
                <w:szCs w:val="16"/>
              </w:rPr>
            </w:pPr>
            <w:r>
              <w:rPr>
                <w:rFonts w:ascii="Arial" w:hAnsi="Arial" w:cs="Arial"/>
                <w:sz w:val="18"/>
                <w:szCs w:val="16"/>
              </w:rPr>
              <w:t>3,670.94</w:t>
            </w:r>
          </w:p>
        </w:tc>
      </w:tr>
      <w:tr w:rsidR="00A2770A" w:rsidRPr="00EF7F06" w:rsidTr="00285DAD">
        <w:trPr>
          <w:trHeight w:val="60"/>
          <w:jc w:val="center"/>
        </w:trPr>
        <w:tc>
          <w:tcPr>
            <w:tcW w:w="5435" w:type="dxa"/>
            <w:shd w:val="clear" w:color="auto" w:fill="auto"/>
          </w:tcPr>
          <w:p w:rsidR="00A2770A" w:rsidRDefault="00A2770A" w:rsidP="00285DAD">
            <w:pPr>
              <w:pStyle w:val="Texto"/>
              <w:spacing w:after="0" w:line="276" w:lineRule="auto"/>
              <w:ind w:firstLine="0"/>
              <w:jc w:val="right"/>
              <w:rPr>
                <w:szCs w:val="18"/>
                <w:lang w:val="es-MX"/>
              </w:rPr>
            </w:pPr>
            <w:r>
              <w:rPr>
                <w:szCs w:val="18"/>
                <w:lang w:val="es-MX"/>
              </w:rPr>
              <w:t>Suma:</w:t>
            </w:r>
          </w:p>
        </w:tc>
        <w:tc>
          <w:tcPr>
            <w:tcW w:w="2742" w:type="dxa"/>
            <w:shd w:val="clear" w:color="auto" w:fill="auto"/>
          </w:tcPr>
          <w:p w:rsidR="00A2770A" w:rsidRDefault="00A2770A" w:rsidP="00285DAD">
            <w:pPr>
              <w:jc w:val="right"/>
              <w:rPr>
                <w:rFonts w:ascii="Arial" w:hAnsi="Arial" w:cs="Arial"/>
                <w:sz w:val="18"/>
                <w:szCs w:val="16"/>
              </w:rPr>
            </w:pPr>
            <w:r>
              <w:rPr>
                <w:rFonts w:ascii="Arial" w:hAnsi="Arial" w:cs="Arial"/>
                <w:sz w:val="18"/>
                <w:szCs w:val="16"/>
              </w:rPr>
              <w:fldChar w:fldCharType="begin"/>
            </w:r>
            <w:r>
              <w:rPr>
                <w:rFonts w:ascii="Arial" w:hAnsi="Arial" w:cs="Arial"/>
                <w:sz w:val="18"/>
                <w:szCs w:val="16"/>
              </w:rPr>
              <w:instrText xml:space="preserve"> =SUM(ABOVE) \# "$#,##0.00;($#,##0.00)" </w:instrText>
            </w:r>
            <w:r>
              <w:rPr>
                <w:rFonts w:ascii="Arial" w:hAnsi="Arial" w:cs="Arial"/>
                <w:sz w:val="18"/>
                <w:szCs w:val="16"/>
              </w:rPr>
              <w:fldChar w:fldCharType="separate"/>
            </w:r>
            <w:r>
              <w:rPr>
                <w:rFonts w:ascii="Arial" w:hAnsi="Arial" w:cs="Arial"/>
                <w:noProof/>
                <w:sz w:val="18"/>
                <w:szCs w:val="16"/>
              </w:rPr>
              <w:t>$   142,607.60</w:t>
            </w:r>
            <w:r>
              <w:rPr>
                <w:rFonts w:ascii="Arial" w:hAnsi="Arial" w:cs="Arial"/>
                <w:sz w:val="18"/>
                <w:szCs w:val="16"/>
              </w:rPr>
              <w:fldChar w:fldCharType="end"/>
            </w:r>
          </w:p>
        </w:tc>
      </w:tr>
    </w:tbl>
    <w:p w:rsidR="00A2770A" w:rsidRPr="007E42D2" w:rsidRDefault="00A2770A" w:rsidP="00A2770A">
      <w:pPr>
        <w:pStyle w:val="ROMANOS"/>
        <w:spacing w:after="0" w:line="276" w:lineRule="auto"/>
        <w:rPr>
          <w:lang w:val="es-MX"/>
        </w:rPr>
      </w:pPr>
    </w:p>
    <w:p w:rsidR="00A2770A" w:rsidRDefault="00A2770A" w:rsidP="00A2770A">
      <w:pPr>
        <w:rPr>
          <w:rFonts w:ascii="Arial" w:eastAsia="Times New Roman" w:hAnsi="Arial" w:cs="Arial"/>
          <w:b/>
          <w:sz w:val="18"/>
          <w:szCs w:val="18"/>
          <w:lang w:eastAsia="es-ES"/>
        </w:rPr>
      </w:pPr>
      <w:r>
        <w:rPr>
          <w:b/>
          <w:szCs w:val="18"/>
        </w:rPr>
        <w:br w:type="page"/>
      </w:r>
    </w:p>
    <w:p w:rsidR="00A2770A" w:rsidRPr="007E42D2" w:rsidRDefault="00A2770A" w:rsidP="00A2770A">
      <w:pPr>
        <w:pStyle w:val="Texto"/>
        <w:numPr>
          <w:ilvl w:val="0"/>
          <w:numId w:val="5"/>
        </w:numPr>
        <w:spacing w:after="0" w:line="276" w:lineRule="auto"/>
        <w:rPr>
          <w:b/>
          <w:szCs w:val="18"/>
          <w:lang w:val="es-MX"/>
        </w:rPr>
      </w:pPr>
      <w:r w:rsidRPr="007E42D2">
        <w:rPr>
          <w:b/>
          <w:szCs w:val="18"/>
          <w:lang w:val="es-MX"/>
        </w:rPr>
        <w:lastRenderedPageBreak/>
        <w:t>Bienes Muebles</w:t>
      </w:r>
    </w:p>
    <w:p w:rsidR="00A2770A" w:rsidRDefault="00A2770A" w:rsidP="00A2770A">
      <w:pPr>
        <w:autoSpaceDE w:val="0"/>
        <w:autoSpaceDN w:val="0"/>
        <w:adjustRightInd w:val="0"/>
        <w:spacing w:before="80"/>
        <w:ind w:left="709"/>
        <w:jc w:val="both"/>
        <w:rPr>
          <w:rFonts w:ascii="Arial" w:hAnsi="Arial" w:cs="Arial"/>
          <w:sz w:val="18"/>
          <w:szCs w:val="18"/>
        </w:rPr>
      </w:pPr>
      <w:r>
        <w:rPr>
          <w:rFonts w:ascii="Arial" w:hAnsi="Arial" w:cs="Arial"/>
          <w:sz w:val="18"/>
          <w:szCs w:val="18"/>
        </w:rPr>
        <w:t>En este rubro se reestructuraron los registros contables de los bienes muebles,</w:t>
      </w:r>
      <w:r w:rsidRPr="00A97D2B">
        <w:rPr>
          <w:rFonts w:ascii="Arial" w:hAnsi="Arial" w:cs="Arial"/>
          <w:sz w:val="18"/>
          <w:szCs w:val="18"/>
        </w:rPr>
        <w:t xml:space="preserve"> </w:t>
      </w:r>
      <w:r>
        <w:rPr>
          <w:rFonts w:ascii="Arial" w:hAnsi="Arial" w:cs="Arial"/>
          <w:sz w:val="18"/>
          <w:szCs w:val="18"/>
        </w:rPr>
        <w:t>con base en la</w:t>
      </w:r>
      <w:r w:rsidRPr="00A97D2B">
        <w:rPr>
          <w:rFonts w:ascii="Arial" w:hAnsi="Arial" w:cs="Arial"/>
          <w:sz w:val="18"/>
          <w:szCs w:val="18"/>
        </w:rPr>
        <w:t xml:space="preserve"> </w:t>
      </w:r>
      <w:r>
        <w:rPr>
          <w:rFonts w:ascii="Arial" w:hAnsi="Arial" w:cs="Arial"/>
          <w:sz w:val="18"/>
          <w:szCs w:val="18"/>
        </w:rPr>
        <w:t xml:space="preserve">autorización en </w:t>
      </w:r>
      <w:r w:rsidRPr="00A97D2B">
        <w:rPr>
          <w:rFonts w:ascii="Arial" w:hAnsi="Arial" w:cs="Arial"/>
          <w:sz w:val="18"/>
          <w:szCs w:val="18"/>
        </w:rPr>
        <w:t>A</w:t>
      </w:r>
      <w:r>
        <w:rPr>
          <w:rFonts w:ascii="Arial" w:hAnsi="Arial" w:cs="Arial"/>
          <w:sz w:val="18"/>
          <w:szCs w:val="18"/>
        </w:rPr>
        <w:t>cta de la Vigésima Séptima Sesión Ordinaria</w:t>
      </w:r>
      <w:r w:rsidRPr="00A97D2B">
        <w:rPr>
          <w:rFonts w:ascii="Arial" w:hAnsi="Arial" w:cs="Arial"/>
          <w:sz w:val="18"/>
          <w:szCs w:val="18"/>
        </w:rPr>
        <w:t xml:space="preserve">, </w:t>
      </w:r>
      <w:r>
        <w:rPr>
          <w:rFonts w:ascii="Arial" w:hAnsi="Arial" w:cs="Arial"/>
          <w:sz w:val="18"/>
          <w:szCs w:val="18"/>
        </w:rPr>
        <w:t>Primera Sesión Ordinaria</w:t>
      </w:r>
      <w:r w:rsidRPr="00A97D2B">
        <w:rPr>
          <w:rFonts w:ascii="Arial" w:hAnsi="Arial" w:cs="Arial"/>
          <w:sz w:val="18"/>
          <w:szCs w:val="18"/>
        </w:rPr>
        <w:t xml:space="preserve"> 2015, </w:t>
      </w:r>
      <w:r>
        <w:rPr>
          <w:rFonts w:ascii="Arial" w:hAnsi="Arial" w:cs="Arial"/>
          <w:sz w:val="18"/>
          <w:szCs w:val="18"/>
        </w:rPr>
        <w:t xml:space="preserve">de la Junta de Gobierno del Instituto Tlaxcalteca para la Educación de los Adultos del </w:t>
      </w:r>
      <w:r w:rsidRPr="00A97D2B">
        <w:rPr>
          <w:rFonts w:ascii="Arial" w:hAnsi="Arial" w:cs="Arial"/>
          <w:sz w:val="18"/>
          <w:szCs w:val="18"/>
        </w:rPr>
        <w:t xml:space="preserve">19 </w:t>
      </w:r>
      <w:r>
        <w:rPr>
          <w:rFonts w:ascii="Arial" w:hAnsi="Arial" w:cs="Arial"/>
          <w:sz w:val="18"/>
          <w:szCs w:val="18"/>
        </w:rPr>
        <w:t>de febrero de</w:t>
      </w:r>
      <w:r w:rsidRPr="00A97D2B">
        <w:rPr>
          <w:rFonts w:ascii="Arial" w:hAnsi="Arial" w:cs="Arial"/>
          <w:sz w:val="18"/>
          <w:szCs w:val="18"/>
        </w:rPr>
        <w:t xml:space="preserve"> 2015; </w:t>
      </w:r>
      <w:r>
        <w:rPr>
          <w:rFonts w:ascii="Arial" w:hAnsi="Arial" w:cs="Arial"/>
          <w:sz w:val="18"/>
          <w:szCs w:val="18"/>
        </w:rPr>
        <w:t>por lo tanto</w:t>
      </w:r>
      <w:r w:rsidRPr="00A97D2B">
        <w:rPr>
          <w:rFonts w:ascii="Arial" w:hAnsi="Arial" w:cs="Arial"/>
          <w:sz w:val="18"/>
          <w:szCs w:val="18"/>
        </w:rPr>
        <w:t xml:space="preserve">, </w:t>
      </w:r>
      <w:r>
        <w:rPr>
          <w:rFonts w:ascii="Arial" w:hAnsi="Arial" w:cs="Arial"/>
          <w:sz w:val="18"/>
          <w:szCs w:val="18"/>
        </w:rPr>
        <w:t>se disminuye el activo no circulante</w:t>
      </w:r>
      <w:r w:rsidRPr="00A97D2B">
        <w:rPr>
          <w:rFonts w:ascii="Arial" w:hAnsi="Arial" w:cs="Arial"/>
          <w:sz w:val="18"/>
          <w:szCs w:val="18"/>
        </w:rPr>
        <w:t xml:space="preserve"> (</w:t>
      </w:r>
      <w:r>
        <w:rPr>
          <w:rFonts w:ascii="Arial" w:hAnsi="Arial" w:cs="Arial"/>
          <w:sz w:val="18"/>
          <w:szCs w:val="18"/>
        </w:rPr>
        <w:t>bienes muebles</w:t>
      </w:r>
      <w:r w:rsidRPr="00A97D2B">
        <w:rPr>
          <w:rFonts w:ascii="Arial" w:hAnsi="Arial" w:cs="Arial"/>
          <w:sz w:val="18"/>
          <w:szCs w:val="18"/>
        </w:rPr>
        <w:t xml:space="preserve">) </w:t>
      </w:r>
      <w:r>
        <w:rPr>
          <w:rFonts w:ascii="Arial" w:hAnsi="Arial" w:cs="Arial"/>
          <w:sz w:val="18"/>
          <w:szCs w:val="18"/>
        </w:rPr>
        <w:t>y</w:t>
      </w:r>
      <w:r w:rsidRPr="00A97D2B">
        <w:rPr>
          <w:rFonts w:ascii="Arial" w:hAnsi="Arial" w:cs="Arial"/>
          <w:sz w:val="18"/>
          <w:szCs w:val="18"/>
        </w:rPr>
        <w:t xml:space="preserve"> </w:t>
      </w:r>
      <w:r>
        <w:rPr>
          <w:rFonts w:ascii="Arial" w:hAnsi="Arial" w:cs="Arial"/>
          <w:sz w:val="18"/>
          <w:szCs w:val="18"/>
        </w:rPr>
        <w:t>patrimonio</w:t>
      </w:r>
      <w:r w:rsidRPr="00A97D2B">
        <w:rPr>
          <w:rFonts w:ascii="Arial" w:hAnsi="Arial" w:cs="Arial"/>
          <w:sz w:val="18"/>
          <w:szCs w:val="18"/>
        </w:rPr>
        <w:t xml:space="preserve"> </w:t>
      </w:r>
      <w:r>
        <w:rPr>
          <w:rFonts w:ascii="Arial" w:hAnsi="Arial" w:cs="Arial"/>
          <w:sz w:val="18"/>
          <w:szCs w:val="18"/>
        </w:rPr>
        <w:t xml:space="preserve">por un importe de </w:t>
      </w:r>
      <w:r w:rsidRPr="00A97D2B">
        <w:rPr>
          <w:rFonts w:ascii="Arial" w:hAnsi="Arial" w:cs="Arial"/>
          <w:sz w:val="18"/>
          <w:szCs w:val="18"/>
        </w:rPr>
        <w:t xml:space="preserve">$ 10'230,430.45 </w:t>
      </w:r>
      <w:r>
        <w:rPr>
          <w:rFonts w:ascii="Arial" w:hAnsi="Arial" w:cs="Arial"/>
          <w:sz w:val="18"/>
          <w:szCs w:val="18"/>
        </w:rPr>
        <w:t>debido a que dichos bienes de son propiedad de este Instituto</w:t>
      </w:r>
      <w:r w:rsidRPr="00A97D2B">
        <w:rPr>
          <w:rFonts w:ascii="Arial" w:hAnsi="Arial" w:cs="Arial"/>
          <w:sz w:val="18"/>
          <w:szCs w:val="18"/>
        </w:rPr>
        <w:t xml:space="preserve"> </w:t>
      </w:r>
      <w:r>
        <w:rPr>
          <w:rFonts w:ascii="Arial" w:hAnsi="Arial" w:cs="Arial"/>
          <w:sz w:val="18"/>
          <w:szCs w:val="18"/>
        </w:rPr>
        <w:t>y están bajo la modalidad de Contratos en Comodato</w:t>
      </w:r>
      <w:r w:rsidRPr="00A97D2B">
        <w:rPr>
          <w:rFonts w:ascii="Arial" w:hAnsi="Arial" w:cs="Arial"/>
          <w:sz w:val="18"/>
          <w:szCs w:val="18"/>
        </w:rPr>
        <w:t xml:space="preserve">, </w:t>
      </w:r>
      <w:r>
        <w:rPr>
          <w:rFonts w:ascii="Arial" w:hAnsi="Arial" w:cs="Arial"/>
          <w:sz w:val="18"/>
          <w:szCs w:val="18"/>
        </w:rPr>
        <w:t>es por ello que se reclasifican de cuentas de balance a cuentas de orden contable.</w:t>
      </w:r>
    </w:p>
    <w:p w:rsidR="00A2770A" w:rsidRPr="007E42D2" w:rsidRDefault="00A2770A" w:rsidP="00A2770A">
      <w:pPr>
        <w:autoSpaceDE w:val="0"/>
        <w:autoSpaceDN w:val="0"/>
        <w:adjustRightInd w:val="0"/>
        <w:spacing w:before="80"/>
        <w:ind w:left="709"/>
        <w:jc w:val="both"/>
        <w:rPr>
          <w:rFonts w:ascii="Arial" w:hAnsi="Arial" w:cs="Arial"/>
          <w:sz w:val="18"/>
          <w:szCs w:val="18"/>
        </w:rPr>
      </w:pPr>
      <w:r>
        <w:rPr>
          <w:rFonts w:ascii="Arial" w:hAnsi="Arial" w:cs="Arial"/>
          <w:sz w:val="18"/>
          <w:szCs w:val="18"/>
        </w:rPr>
        <w:t>Asimismo, se registran bienes que no estaban incluidos en cuentas de activo fijo y patrimonio por importes de $ 1’557,606.00 de acuerdo a Peritaje de Valuación, $ 1’740,307 por Donación y $ 1’405,660 por Traslado de Dominio, incrementando el valor del activo no circulante y por lo tanto del patrimonio del Instituto por un total de $ 4’703,573. Casi al finalizar el ejercicio se adquirió Equipo de Transporte por un importe de $ 1’062,000.13 con economías del ejercicio 2014 y previa autorización de la Junta de Gobierno.</w:t>
      </w:r>
      <w:r w:rsidRPr="007E42D2">
        <w:rPr>
          <w:rFonts w:ascii="Arial" w:hAnsi="Arial" w:cs="Arial"/>
          <w:sz w:val="18"/>
          <w:szCs w:val="18"/>
        </w:rPr>
        <w:t xml:space="preserve"> A continuación, se presenta la integración de los bienes muebles al 3</w:t>
      </w:r>
      <w:r>
        <w:rPr>
          <w:rFonts w:ascii="Arial" w:hAnsi="Arial" w:cs="Arial"/>
          <w:sz w:val="18"/>
          <w:szCs w:val="18"/>
        </w:rPr>
        <w:t>1</w:t>
      </w:r>
      <w:r w:rsidRPr="007E42D2">
        <w:rPr>
          <w:rFonts w:ascii="Arial" w:hAnsi="Arial" w:cs="Arial"/>
          <w:sz w:val="18"/>
          <w:szCs w:val="18"/>
        </w:rPr>
        <w:t xml:space="preserve"> de </w:t>
      </w:r>
      <w:r>
        <w:rPr>
          <w:rFonts w:ascii="Arial" w:hAnsi="Arial" w:cs="Arial"/>
          <w:sz w:val="18"/>
          <w:szCs w:val="18"/>
        </w:rPr>
        <w:t>Diciembre</w:t>
      </w:r>
      <w:r w:rsidRPr="007E42D2">
        <w:rPr>
          <w:rFonts w:ascii="Arial" w:hAnsi="Arial" w:cs="Arial"/>
          <w:sz w:val="18"/>
          <w:szCs w:val="18"/>
        </w:rPr>
        <w:t xml:space="preserve"> de 201</w:t>
      </w:r>
      <w:r>
        <w:rPr>
          <w:rFonts w:ascii="Arial" w:hAnsi="Arial" w:cs="Arial"/>
          <w:sz w:val="18"/>
          <w:szCs w:val="18"/>
        </w:rPr>
        <w:t>5</w:t>
      </w:r>
      <w:r w:rsidRPr="007E42D2">
        <w:rPr>
          <w:rFonts w:ascii="Arial" w:hAnsi="Arial" w:cs="Arial"/>
          <w:sz w:val="18"/>
          <w:szCs w:val="18"/>
        </w:rPr>
        <w:t>:</w:t>
      </w:r>
    </w:p>
    <w:p w:rsidR="00A2770A" w:rsidRPr="007E42D2" w:rsidRDefault="00A2770A" w:rsidP="00A2770A">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4374"/>
        <w:gridCol w:w="2742"/>
      </w:tblGrid>
      <w:tr w:rsidR="00A2770A" w:rsidRPr="007E42D2" w:rsidTr="00285DAD">
        <w:trPr>
          <w:trHeight w:val="60"/>
          <w:jc w:val="center"/>
        </w:trPr>
        <w:tc>
          <w:tcPr>
            <w:tcW w:w="4374"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2742"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31 Dic. </w:t>
            </w:r>
            <w:r w:rsidRPr="007E42D2">
              <w:rPr>
                <w:b/>
                <w:color w:val="FFFFFF" w:themeColor="background1"/>
                <w:szCs w:val="18"/>
                <w:lang w:val="es-MX"/>
              </w:rPr>
              <w:t>201</w:t>
            </w:r>
            <w:r>
              <w:rPr>
                <w:b/>
                <w:color w:val="FFFFFF" w:themeColor="background1"/>
                <w:szCs w:val="18"/>
                <w:lang w:val="es-MX"/>
              </w:rPr>
              <w:t>5</w:t>
            </w:r>
          </w:p>
        </w:tc>
      </w:tr>
      <w:tr w:rsidR="00A2770A" w:rsidRPr="007E42D2" w:rsidTr="00285DAD">
        <w:trPr>
          <w:trHeight w:val="60"/>
          <w:jc w:val="center"/>
        </w:trPr>
        <w:tc>
          <w:tcPr>
            <w:tcW w:w="4374" w:type="dxa"/>
            <w:shd w:val="clear" w:color="auto" w:fill="auto"/>
          </w:tcPr>
          <w:p w:rsidR="00A2770A" w:rsidRPr="007E42D2" w:rsidRDefault="00A2770A" w:rsidP="00285DAD">
            <w:pPr>
              <w:pStyle w:val="Texto"/>
              <w:spacing w:after="0" w:line="276" w:lineRule="auto"/>
              <w:ind w:firstLine="0"/>
              <w:jc w:val="left"/>
              <w:rPr>
                <w:szCs w:val="18"/>
                <w:lang w:val="es-MX"/>
              </w:rPr>
            </w:pPr>
            <w:r>
              <w:rPr>
                <w:szCs w:val="18"/>
                <w:lang w:val="es-MX"/>
              </w:rPr>
              <w:t>Mobiliario y Equipo de Administración</w:t>
            </w:r>
          </w:p>
        </w:tc>
        <w:tc>
          <w:tcPr>
            <w:tcW w:w="2742" w:type="dxa"/>
            <w:shd w:val="clear" w:color="auto" w:fill="auto"/>
          </w:tcPr>
          <w:p w:rsidR="00A2770A" w:rsidRPr="007E42D2" w:rsidRDefault="00A2770A" w:rsidP="00285DAD">
            <w:pPr>
              <w:pStyle w:val="Texto"/>
              <w:spacing w:after="0" w:line="276" w:lineRule="auto"/>
              <w:ind w:firstLine="0"/>
              <w:jc w:val="right"/>
              <w:rPr>
                <w:szCs w:val="18"/>
                <w:lang w:val="es-MX"/>
              </w:rPr>
            </w:pPr>
            <w:r w:rsidRPr="00A20210">
              <w:rPr>
                <w:szCs w:val="18"/>
                <w:lang w:val="es-MX"/>
              </w:rPr>
              <w:t>10,567,274.19</w:t>
            </w:r>
          </w:p>
        </w:tc>
      </w:tr>
      <w:tr w:rsidR="00A2770A" w:rsidRPr="007E42D2" w:rsidTr="00285DAD">
        <w:trPr>
          <w:trHeight w:val="60"/>
          <w:jc w:val="center"/>
        </w:trPr>
        <w:tc>
          <w:tcPr>
            <w:tcW w:w="4374" w:type="dxa"/>
            <w:shd w:val="clear" w:color="auto" w:fill="auto"/>
          </w:tcPr>
          <w:p w:rsidR="00A2770A" w:rsidRPr="007E42D2" w:rsidRDefault="00A2770A" w:rsidP="00285DAD">
            <w:pPr>
              <w:pStyle w:val="Texto"/>
              <w:spacing w:after="0" w:line="276" w:lineRule="auto"/>
              <w:ind w:firstLine="0"/>
              <w:jc w:val="left"/>
              <w:rPr>
                <w:szCs w:val="18"/>
                <w:lang w:val="es-MX"/>
              </w:rPr>
            </w:pPr>
            <w:r>
              <w:rPr>
                <w:szCs w:val="18"/>
                <w:lang w:val="es-MX"/>
              </w:rPr>
              <w:t>Equipo e Instrumental Médico y de Laboratorio</w:t>
            </w:r>
          </w:p>
        </w:tc>
        <w:tc>
          <w:tcPr>
            <w:tcW w:w="2742" w:type="dxa"/>
            <w:shd w:val="clear" w:color="auto" w:fill="auto"/>
          </w:tcPr>
          <w:p w:rsidR="00A2770A" w:rsidRPr="007E42D2" w:rsidRDefault="00A2770A" w:rsidP="00285DAD">
            <w:pPr>
              <w:pStyle w:val="Texto"/>
              <w:spacing w:after="0" w:line="276" w:lineRule="auto"/>
              <w:ind w:firstLine="0"/>
              <w:jc w:val="right"/>
              <w:rPr>
                <w:szCs w:val="18"/>
                <w:lang w:val="es-MX"/>
              </w:rPr>
            </w:pPr>
            <w:r w:rsidRPr="00A20210">
              <w:rPr>
                <w:szCs w:val="18"/>
                <w:lang w:val="es-MX"/>
              </w:rPr>
              <w:t>2,495.00</w:t>
            </w:r>
          </w:p>
        </w:tc>
      </w:tr>
      <w:tr w:rsidR="00A2770A" w:rsidRPr="007E42D2" w:rsidTr="00285DAD">
        <w:trPr>
          <w:trHeight w:val="60"/>
          <w:jc w:val="center"/>
        </w:trPr>
        <w:tc>
          <w:tcPr>
            <w:tcW w:w="4374" w:type="dxa"/>
            <w:shd w:val="clear" w:color="auto" w:fill="auto"/>
          </w:tcPr>
          <w:p w:rsidR="00A2770A" w:rsidRPr="007E42D2" w:rsidRDefault="00A2770A" w:rsidP="00285DAD">
            <w:pPr>
              <w:pStyle w:val="Texto"/>
              <w:spacing w:after="0" w:line="276" w:lineRule="auto"/>
              <w:ind w:firstLine="0"/>
              <w:jc w:val="left"/>
              <w:rPr>
                <w:szCs w:val="18"/>
                <w:lang w:val="es-MX"/>
              </w:rPr>
            </w:pPr>
            <w:r>
              <w:rPr>
                <w:szCs w:val="18"/>
                <w:lang w:val="es-MX"/>
              </w:rPr>
              <w:t>Vehículos y Equipo de Transporte</w:t>
            </w:r>
          </w:p>
        </w:tc>
        <w:tc>
          <w:tcPr>
            <w:tcW w:w="2742" w:type="dxa"/>
            <w:shd w:val="clear" w:color="auto" w:fill="auto"/>
          </w:tcPr>
          <w:p w:rsidR="00A2770A" w:rsidRPr="007E42D2" w:rsidRDefault="00A2770A" w:rsidP="00285DAD">
            <w:pPr>
              <w:pStyle w:val="Texto"/>
              <w:spacing w:after="0" w:line="276" w:lineRule="auto"/>
              <w:ind w:firstLine="0"/>
              <w:jc w:val="right"/>
              <w:rPr>
                <w:szCs w:val="18"/>
                <w:lang w:val="es-MX"/>
              </w:rPr>
            </w:pPr>
            <w:r w:rsidRPr="00A20210">
              <w:rPr>
                <w:szCs w:val="18"/>
                <w:lang w:val="es-MX"/>
              </w:rPr>
              <w:t>4,310,384.48</w:t>
            </w:r>
          </w:p>
        </w:tc>
      </w:tr>
      <w:tr w:rsidR="00A2770A" w:rsidRPr="007E42D2" w:rsidTr="00285DAD">
        <w:trPr>
          <w:trHeight w:val="60"/>
          <w:jc w:val="center"/>
        </w:trPr>
        <w:tc>
          <w:tcPr>
            <w:tcW w:w="4374" w:type="dxa"/>
            <w:shd w:val="clear" w:color="auto" w:fill="auto"/>
          </w:tcPr>
          <w:p w:rsidR="00A2770A" w:rsidRPr="007E42D2" w:rsidRDefault="00A2770A" w:rsidP="00285DAD">
            <w:pPr>
              <w:pStyle w:val="Texto"/>
              <w:spacing w:after="0" w:line="276" w:lineRule="auto"/>
              <w:ind w:firstLine="0"/>
              <w:jc w:val="left"/>
              <w:rPr>
                <w:szCs w:val="18"/>
                <w:lang w:val="es-MX"/>
              </w:rPr>
            </w:pPr>
            <w:r>
              <w:rPr>
                <w:szCs w:val="18"/>
                <w:lang w:val="es-MX"/>
              </w:rPr>
              <w:t>Maquinaria, Otros Equipos y Herramientas</w:t>
            </w:r>
          </w:p>
        </w:tc>
        <w:tc>
          <w:tcPr>
            <w:tcW w:w="2742" w:type="dxa"/>
            <w:shd w:val="clear" w:color="auto" w:fill="auto"/>
          </w:tcPr>
          <w:p w:rsidR="00A2770A" w:rsidRPr="007E42D2" w:rsidRDefault="00A2770A" w:rsidP="00285DAD">
            <w:pPr>
              <w:pStyle w:val="Texto"/>
              <w:spacing w:after="0" w:line="276" w:lineRule="auto"/>
              <w:ind w:firstLine="0"/>
              <w:jc w:val="right"/>
              <w:rPr>
                <w:szCs w:val="18"/>
                <w:lang w:val="es-MX"/>
              </w:rPr>
            </w:pPr>
            <w:r w:rsidRPr="00A20210">
              <w:rPr>
                <w:szCs w:val="18"/>
                <w:lang w:val="es-MX"/>
              </w:rPr>
              <w:t>883,741.59</w:t>
            </w:r>
          </w:p>
        </w:tc>
      </w:tr>
      <w:tr w:rsidR="00A2770A" w:rsidRPr="007E42D2" w:rsidTr="00285DAD">
        <w:trPr>
          <w:trHeight w:val="60"/>
          <w:jc w:val="center"/>
        </w:trPr>
        <w:tc>
          <w:tcPr>
            <w:tcW w:w="4374" w:type="dxa"/>
            <w:shd w:val="clear" w:color="auto" w:fill="auto"/>
          </w:tcPr>
          <w:p w:rsidR="00A2770A" w:rsidRPr="007E42D2" w:rsidRDefault="00A2770A" w:rsidP="00285DAD">
            <w:pPr>
              <w:pStyle w:val="Texto"/>
              <w:spacing w:after="0" w:line="276" w:lineRule="auto"/>
              <w:ind w:firstLine="0"/>
              <w:jc w:val="right"/>
              <w:rPr>
                <w:szCs w:val="18"/>
                <w:lang w:val="es-MX"/>
              </w:rPr>
            </w:pPr>
            <w:r>
              <w:rPr>
                <w:szCs w:val="18"/>
                <w:lang w:val="es-MX"/>
              </w:rPr>
              <w:t>S</w:t>
            </w:r>
            <w:r w:rsidRPr="007E42D2">
              <w:rPr>
                <w:szCs w:val="18"/>
                <w:lang w:val="es-MX"/>
              </w:rPr>
              <w:t>uma</w:t>
            </w:r>
            <w:r>
              <w:rPr>
                <w:szCs w:val="18"/>
                <w:lang w:val="es-MX"/>
              </w:rPr>
              <w:t>:</w:t>
            </w:r>
          </w:p>
        </w:tc>
        <w:tc>
          <w:tcPr>
            <w:tcW w:w="2742" w:type="dxa"/>
            <w:shd w:val="clear" w:color="auto" w:fill="auto"/>
          </w:tcPr>
          <w:p w:rsidR="00A2770A" w:rsidRPr="007E42D2" w:rsidRDefault="00A2770A" w:rsidP="00285DAD">
            <w:pPr>
              <w:pStyle w:val="Texto"/>
              <w:spacing w:after="0" w:line="276" w:lineRule="auto"/>
              <w:ind w:firstLine="0"/>
              <w:jc w:val="right"/>
              <w:rPr>
                <w:szCs w:val="18"/>
                <w:lang w:val="es-MX"/>
              </w:rPr>
            </w:pPr>
            <w:r>
              <w:rPr>
                <w:szCs w:val="18"/>
                <w:lang w:val="es-MX"/>
              </w:rPr>
              <w:fldChar w:fldCharType="begin"/>
            </w:r>
            <w:r>
              <w:rPr>
                <w:szCs w:val="18"/>
                <w:lang w:val="es-MX"/>
              </w:rPr>
              <w:instrText xml:space="preserve"> =SUM(ABOVE) \# "$#,##0.00;($#,##0.00)" </w:instrText>
            </w:r>
            <w:r>
              <w:rPr>
                <w:szCs w:val="18"/>
                <w:lang w:val="es-MX"/>
              </w:rPr>
              <w:fldChar w:fldCharType="separate"/>
            </w:r>
            <w:r>
              <w:rPr>
                <w:noProof/>
                <w:szCs w:val="18"/>
                <w:lang w:val="es-MX"/>
              </w:rPr>
              <w:t>$   15,763,895.26</w:t>
            </w:r>
            <w:r>
              <w:rPr>
                <w:szCs w:val="18"/>
                <w:lang w:val="es-MX"/>
              </w:rPr>
              <w:fldChar w:fldCharType="end"/>
            </w:r>
          </w:p>
        </w:tc>
      </w:tr>
    </w:tbl>
    <w:p w:rsidR="00A2770A" w:rsidRPr="007E42D2" w:rsidRDefault="00A2770A" w:rsidP="00A2770A">
      <w:pPr>
        <w:autoSpaceDE w:val="0"/>
        <w:autoSpaceDN w:val="0"/>
        <w:adjustRightInd w:val="0"/>
        <w:spacing w:before="80"/>
        <w:ind w:left="709"/>
        <w:jc w:val="both"/>
        <w:rPr>
          <w:rFonts w:ascii="Arial" w:hAnsi="Arial" w:cs="Arial"/>
          <w:sz w:val="18"/>
          <w:szCs w:val="18"/>
        </w:rPr>
      </w:pPr>
    </w:p>
    <w:p w:rsidR="00A2770A" w:rsidRPr="007E42D2" w:rsidRDefault="00A2770A" w:rsidP="00A2770A">
      <w:pPr>
        <w:pStyle w:val="Texto"/>
        <w:numPr>
          <w:ilvl w:val="0"/>
          <w:numId w:val="5"/>
        </w:numPr>
        <w:spacing w:after="0" w:line="276" w:lineRule="auto"/>
        <w:rPr>
          <w:b/>
          <w:szCs w:val="18"/>
          <w:lang w:val="es-MX"/>
        </w:rPr>
      </w:pPr>
      <w:r w:rsidRPr="007E42D2">
        <w:rPr>
          <w:b/>
          <w:szCs w:val="18"/>
          <w:lang w:val="es-MX"/>
        </w:rPr>
        <w:t>Activos Diferidos</w:t>
      </w:r>
    </w:p>
    <w:p w:rsidR="00A2770A" w:rsidRPr="007E42D2" w:rsidRDefault="00A2770A" w:rsidP="00A2770A">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En este rubro se integra el valor nominal de las cantidades dejadas en guarda para garantizar el servicio de arrendamiento de bienes inmuebles. A continuación se presenta la integración de este rubro:</w:t>
      </w:r>
    </w:p>
    <w:p w:rsidR="00A2770A" w:rsidRPr="007E42D2" w:rsidRDefault="00A2770A" w:rsidP="00A2770A">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A2770A" w:rsidRPr="007E42D2" w:rsidTr="00285DAD">
        <w:trPr>
          <w:trHeight w:val="60"/>
          <w:jc w:val="center"/>
        </w:trPr>
        <w:tc>
          <w:tcPr>
            <w:tcW w:w="2963"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Pr>
                <w:b/>
                <w:color w:val="FFFFFF" w:themeColor="background1"/>
                <w:szCs w:val="18"/>
                <w:lang w:val="es-MX"/>
              </w:rPr>
              <w:t xml:space="preserve">Al 31 Dic. </w:t>
            </w:r>
            <w:r w:rsidRPr="007E42D2">
              <w:rPr>
                <w:b/>
                <w:color w:val="FFFFFF" w:themeColor="background1"/>
                <w:szCs w:val="18"/>
                <w:lang w:val="es-MX"/>
              </w:rPr>
              <w:t>201</w:t>
            </w:r>
            <w:r>
              <w:rPr>
                <w:b/>
                <w:color w:val="FFFFFF" w:themeColor="background1"/>
                <w:szCs w:val="18"/>
                <w:lang w:val="es-MX"/>
              </w:rPr>
              <w:t>5</w:t>
            </w:r>
          </w:p>
        </w:tc>
      </w:tr>
      <w:tr w:rsidR="00A2770A" w:rsidRPr="007E42D2" w:rsidTr="00285DAD">
        <w:trPr>
          <w:trHeight w:val="60"/>
          <w:jc w:val="center"/>
        </w:trPr>
        <w:tc>
          <w:tcPr>
            <w:tcW w:w="2963" w:type="dxa"/>
            <w:shd w:val="clear" w:color="auto" w:fill="auto"/>
          </w:tcPr>
          <w:p w:rsidR="00A2770A" w:rsidRPr="007E42D2" w:rsidRDefault="00A2770A" w:rsidP="00285DAD">
            <w:pPr>
              <w:pStyle w:val="Texto"/>
              <w:spacing w:after="0" w:line="276" w:lineRule="auto"/>
              <w:ind w:firstLine="0"/>
              <w:jc w:val="left"/>
              <w:rPr>
                <w:szCs w:val="18"/>
                <w:lang w:val="es-MX"/>
              </w:rPr>
            </w:pPr>
            <w:r w:rsidRPr="007E42D2">
              <w:rPr>
                <w:szCs w:val="18"/>
                <w:lang w:val="es-MX"/>
              </w:rPr>
              <w:t>Depósitos en garantía</w:t>
            </w:r>
          </w:p>
        </w:tc>
        <w:tc>
          <w:tcPr>
            <w:tcW w:w="1715" w:type="dxa"/>
            <w:shd w:val="clear" w:color="auto" w:fill="auto"/>
          </w:tcPr>
          <w:p w:rsidR="00A2770A" w:rsidRPr="007E42D2" w:rsidRDefault="00A2770A" w:rsidP="00285DAD">
            <w:pPr>
              <w:pStyle w:val="Texto"/>
              <w:spacing w:after="0" w:line="276" w:lineRule="auto"/>
              <w:ind w:firstLine="0"/>
              <w:jc w:val="right"/>
              <w:rPr>
                <w:szCs w:val="18"/>
                <w:lang w:val="es-MX"/>
              </w:rPr>
            </w:pPr>
            <w:r w:rsidRPr="007E42D2">
              <w:rPr>
                <w:szCs w:val="18"/>
                <w:lang w:val="es-MX"/>
              </w:rPr>
              <w:t>$17,000</w:t>
            </w:r>
            <w:r>
              <w:rPr>
                <w:szCs w:val="18"/>
                <w:lang w:val="es-MX"/>
              </w:rPr>
              <w:t>.06</w:t>
            </w:r>
          </w:p>
        </w:tc>
      </w:tr>
    </w:tbl>
    <w:p w:rsidR="00A2770A" w:rsidRDefault="00A2770A" w:rsidP="00A2770A">
      <w:pPr>
        <w:rPr>
          <w:rFonts w:ascii="Arial" w:hAnsi="Arial" w:cs="Arial"/>
          <w:b/>
          <w:sz w:val="18"/>
          <w:szCs w:val="18"/>
        </w:rPr>
      </w:pPr>
      <w:r>
        <w:rPr>
          <w:rFonts w:ascii="Arial" w:hAnsi="Arial" w:cs="Arial"/>
          <w:b/>
          <w:sz w:val="18"/>
          <w:szCs w:val="18"/>
        </w:rPr>
        <w:br w:type="page"/>
      </w:r>
    </w:p>
    <w:p w:rsidR="00A2770A" w:rsidRPr="007E42D2" w:rsidRDefault="00A2770A" w:rsidP="00A2770A">
      <w:pPr>
        <w:autoSpaceDE w:val="0"/>
        <w:autoSpaceDN w:val="0"/>
        <w:adjustRightInd w:val="0"/>
        <w:spacing w:before="240" w:after="120"/>
        <w:jc w:val="both"/>
        <w:rPr>
          <w:rFonts w:ascii="Arial" w:hAnsi="Arial" w:cs="Arial"/>
          <w:b/>
          <w:sz w:val="18"/>
          <w:szCs w:val="18"/>
        </w:rPr>
      </w:pPr>
      <w:r w:rsidRPr="007E42D2">
        <w:rPr>
          <w:rFonts w:ascii="Arial" w:hAnsi="Arial" w:cs="Arial"/>
          <w:b/>
          <w:sz w:val="18"/>
          <w:szCs w:val="18"/>
        </w:rPr>
        <w:lastRenderedPageBreak/>
        <w:t>Pasivo</w:t>
      </w:r>
    </w:p>
    <w:p w:rsidR="00A2770A" w:rsidRPr="007E42D2" w:rsidRDefault="00A2770A" w:rsidP="00A2770A">
      <w:pPr>
        <w:pStyle w:val="Texto"/>
        <w:numPr>
          <w:ilvl w:val="0"/>
          <w:numId w:val="5"/>
        </w:numPr>
        <w:spacing w:after="0" w:line="276" w:lineRule="auto"/>
        <w:rPr>
          <w:b/>
          <w:szCs w:val="18"/>
          <w:lang w:val="es-MX"/>
        </w:rPr>
      </w:pPr>
      <w:r w:rsidRPr="007E42D2">
        <w:rPr>
          <w:b/>
          <w:szCs w:val="18"/>
          <w:lang w:val="es-MX"/>
        </w:rPr>
        <w:t>Cuentas por Pagar a Corto Plazo</w:t>
      </w:r>
    </w:p>
    <w:p w:rsidR="00A2770A" w:rsidRPr="007E42D2" w:rsidRDefault="00A2770A" w:rsidP="00A2770A">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Representa el valor nominal de los adeudos del ITEA, que deberá pagar en un plazo menor o igual a doce meses. En éstos inciden pasivos derivados de operaciones por servicios personales, pasivos por obligaciones laborales y acreedores diversos</w:t>
      </w:r>
      <w:r>
        <w:rPr>
          <w:rFonts w:ascii="Arial" w:hAnsi="Arial" w:cs="Arial"/>
          <w:sz w:val="18"/>
          <w:szCs w:val="18"/>
        </w:rPr>
        <w:t>. Además en Otras cuentas por pagar a corto plazo está integrado el saldo acreedor que corresponde a la regularización referida en el rubro de Derechos a recibir efectivo o equivalentes</w:t>
      </w:r>
      <w:r w:rsidRPr="007E42D2">
        <w:rPr>
          <w:rFonts w:ascii="Arial" w:hAnsi="Arial" w:cs="Arial"/>
          <w:sz w:val="18"/>
          <w:szCs w:val="18"/>
        </w:rPr>
        <w:t>. A continuación se presenta la integración de este rubro:</w:t>
      </w:r>
    </w:p>
    <w:p w:rsidR="00A2770A" w:rsidRPr="007E42D2" w:rsidRDefault="00A2770A" w:rsidP="00A2770A">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4622"/>
        <w:gridCol w:w="2209"/>
      </w:tblGrid>
      <w:tr w:rsidR="00A2770A" w:rsidRPr="007E42D2" w:rsidTr="00285DAD">
        <w:trPr>
          <w:trHeight w:val="60"/>
          <w:jc w:val="center"/>
        </w:trPr>
        <w:tc>
          <w:tcPr>
            <w:tcW w:w="4622"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2209"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31 Dic. </w:t>
            </w:r>
            <w:r w:rsidRPr="007E42D2">
              <w:rPr>
                <w:b/>
                <w:color w:val="FFFFFF" w:themeColor="background1"/>
                <w:szCs w:val="18"/>
                <w:lang w:val="es-MX"/>
              </w:rPr>
              <w:t>201</w:t>
            </w:r>
            <w:r>
              <w:rPr>
                <w:b/>
                <w:color w:val="FFFFFF" w:themeColor="background1"/>
                <w:szCs w:val="18"/>
                <w:lang w:val="es-MX"/>
              </w:rPr>
              <w:t>5</w:t>
            </w:r>
          </w:p>
        </w:tc>
      </w:tr>
      <w:tr w:rsidR="00A2770A" w:rsidRPr="007E42D2" w:rsidTr="00285DAD">
        <w:trPr>
          <w:trHeight w:val="60"/>
          <w:jc w:val="center"/>
        </w:trPr>
        <w:tc>
          <w:tcPr>
            <w:tcW w:w="4622"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Servicios personales por pagar</w:t>
            </w:r>
          </w:p>
        </w:tc>
        <w:tc>
          <w:tcPr>
            <w:tcW w:w="2209"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E101CB">
              <w:rPr>
                <w:rFonts w:ascii="Arial" w:hAnsi="Arial" w:cs="Arial"/>
                <w:sz w:val="18"/>
                <w:szCs w:val="18"/>
              </w:rPr>
              <w:t>3</w:t>
            </w:r>
            <w:r>
              <w:rPr>
                <w:rFonts w:ascii="Arial" w:hAnsi="Arial" w:cs="Arial"/>
                <w:sz w:val="18"/>
                <w:szCs w:val="18"/>
              </w:rPr>
              <w:t>8</w:t>
            </w:r>
            <w:r w:rsidRPr="00E101CB">
              <w:rPr>
                <w:rFonts w:ascii="Arial" w:hAnsi="Arial" w:cs="Arial"/>
                <w:sz w:val="18"/>
                <w:szCs w:val="18"/>
              </w:rPr>
              <w:t>1,</w:t>
            </w:r>
            <w:r>
              <w:rPr>
                <w:rFonts w:ascii="Arial" w:hAnsi="Arial" w:cs="Arial"/>
                <w:sz w:val="18"/>
                <w:szCs w:val="18"/>
              </w:rPr>
              <w:t>987</w:t>
            </w:r>
            <w:r w:rsidRPr="00E101CB">
              <w:rPr>
                <w:rFonts w:ascii="Arial" w:hAnsi="Arial" w:cs="Arial"/>
                <w:sz w:val="18"/>
                <w:szCs w:val="18"/>
              </w:rPr>
              <w:t>.</w:t>
            </w:r>
            <w:r>
              <w:rPr>
                <w:rFonts w:ascii="Arial" w:hAnsi="Arial" w:cs="Arial"/>
                <w:sz w:val="18"/>
                <w:szCs w:val="18"/>
              </w:rPr>
              <w:t>95</w:t>
            </w:r>
          </w:p>
        </w:tc>
      </w:tr>
      <w:tr w:rsidR="00A2770A" w:rsidRPr="007E42D2" w:rsidTr="00285DAD">
        <w:trPr>
          <w:trHeight w:val="60"/>
          <w:jc w:val="center"/>
        </w:trPr>
        <w:tc>
          <w:tcPr>
            <w:tcW w:w="4622"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Proveedores por pagar a corto plazo</w:t>
            </w:r>
          </w:p>
        </w:tc>
        <w:tc>
          <w:tcPr>
            <w:tcW w:w="2209"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E101CB">
              <w:rPr>
                <w:rFonts w:ascii="Arial" w:hAnsi="Arial" w:cs="Arial"/>
                <w:sz w:val="18"/>
                <w:szCs w:val="18"/>
              </w:rPr>
              <w:t>6,205.00</w:t>
            </w:r>
          </w:p>
        </w:tc>
      </w:tr>
      <w:tr w:rsidR="00A2770A" w:rsidRPr="007E42D2" w:rsidTr="00285DAD">
        <w:trPr>
          <w:trHeight w:val="60"/>
          <w:jc w:val="center"/>
        </w:trPr>
        <w:tc>
          <w:tcPr>
            <w:tcW w:w="4622"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Retenciones y Contribuciones por pagar a corto plazo</w:t>
            </w:r>
          </w:p>
        </w:tc>
        <w:tc>
          <w:tcPr>
            <w:tcW w:w="2209"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E101CB">
              <w:rPr>
                <w:rFonts w:ascii="Arial" w:hAnsi="Arial" w:cs="Arial"/>
                <w:sz w:val="18"/>
                <w:szCs w:val="18"/>
              </w:rPr>
              <w:t>1,</w:t>
            </w:r>
            <w:r>
              <w:rPr>
                <w:rFonts w:ascii="Arial" w:hAnsi="Arial" w:cs="Arial"/>
                <w:sz w:val="18"/>
                <w:szCs w:val="18"/>
              </w:rPr>
              <w:t>144</w:t>
            </w:r>
            <w:r w:rsidRPr="00E101CB">
              <w:rPr>
                <w:rFonts w:ascii="Arial" w:hAnsi="Arial" w:cs="Arial"/>
                <w:sz w:val="18"/>
                <w:szCs w:val="18"/>
              </w:rPr>
              <w:t>,</w:t>
            </w:r>
            <w:r>
              <w:rPr>
                <w:rFonts w:ascii="Arial" w:hAnsi="Arial" w:cs="Arial"/>
                <w:sz w:val="18"/>
                <w:szCs w:val="18"/>
              </w:rPr>
              <w:t>916</w:t>
            </w:r>
            <w:r w:rsidRPr="00E101CB">
              <w:rPr>
                <w:rFonts w:ascii="Arial" w:hAnsi="Arial" w:cs="Arial"/>
                <w:sz w:val="18"/>
                <w:szCs w:val="18"/>
              </w:rPr>
              <w:t>.</w:t>
            </w:r>
            <w:r>
              <w:rPr>
                <w:rFonts w:ascii="Arial" w:hAnsi="Arial" w:cs="Arial"/>
                <w:sz w:val="18"/>
                <w:szCs w:val="18"/>
              </w:rPr>
              <w:t>97</w:t>
            </w:r>
          </w:p>
        </w:tc>
      </w:tr>
      <w:tr w:rsidR="00A2770A" w:rsidRPr="007E42D2" w:rsidTr="00285DAD">
        <w:trPr>
          <w:trHeight w:val="60"/>
          <w:jc w:val="center"/>
        </w:trPr>
        <w:tc>
          <w:tcPr>
            <w:tcW w:w="4622"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Otras cuentas por pagar a corto plazo</w:t>
            </w:r>
          </w:p>
        </w:tc>
        <w:tc>
          <w:tcPr>
            <w:tcW w:w="2209"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E101CB">
              <w:rPr>
                <w:rFonts w:ascii="Arial" w:hAnsi="Arial" w:cs="Arial"/>
                <w:sz w:val="18"/>
                <w:szCs w:val="18"/>
              </w:rPr>
              <w:t>157,179.81</w:t>
            </w:r>
          </w:p>
        </w:tc>
      </w:tr>
      <w:tr w:rsidR="00A2770A" w:rsidRPr="007E42D2" w:rsidTr="00285DAD">
        <w:trPr>
          <w:trHeight w:val="60"/>
          <w:jc w:val="center"/>
        </w:trPr>
        <w:tc>
          <w:tcPr>
            <w:tcW w:w="4622" w:type="dxa"/>
            <w:shd w:val="clear" w:color="auto" w:fill="auto"/>
          </w:tcPr>
          <w:p w:rsidR="00A2770A" w:rsidRPr="007E42D2" w:rsidRDefault="00A2770A" w:rsidP="00285DAD">
            <w:pPr>
              <w:pStyle w:val="Texto"/>
              <w:spacing w:after="0" w:line="276" w:lineRule="auto"/>
              <w:ind w:firstLine="0"/>
              <w:jc w:val="right"/>
              <w:rPr>
                <w:rFonts w:eastAsiaTheme="minorHAnsi"/>
                <w:szCs w:val="18"/>
                <w:lang w:val="es-MX" w:eastAsia="en-US"/>
              </w:rPr>
            </w:pPr>
            <w:r>
              <w:rPr>
                <w:rFonts w:eastAsiaTheme="minorHAnsi"/>
                <w:szCs w:val="18"/>
                <w:lang w:val="es-MX" w:eastAsia="en-US"/>
              </w:rPr>
              <w:t>S</w:t>
            </w:r>
            <w:r w:rsidRPr="007E42D2">
              <w:rPr>
                <w:rFonts w:eastAsiaTheme="minorHAnsi"/>
                <w:szCs w:val="18"/>
                <w:lang w:val="es-MX" w:eastAsia="en-US"/>
              </w:rPr>
              <w:t>uma</w:t>
            </w:r>
            <w:r>
              <w:rPr>
                <w:rFonts w:eastAsiaTheme="minorHAnsi"/>
                <w:szCs w:val="18"/>
                <w:lang w:val="es-MX" w:eastAsia="en-US"/>
              </w:rPr>
              <w:t>:</w:t>
            </w:r>
          </w:p>
        </w:tc>
        <w:tc>
          <w:tcPr>
            <w:tcW w:w="2209" w:type="dxa"/>
            <w:shd w:val="clear" w:color="auto" w:fill="auto"/>
          </w:tcPr>
          <w:p w:rsidR="00A2770A" w:rsidRPr="007E42D2" w:rsidRDefault="00A2770A" w:rsidP="00285DAD">
            <w:pPr>
              <w:pStyle w:val="Texto"/>
              <w:spacing w:after="0" w:line="276" w:lineRule="auto"/>
              <w:ind w:firstLine="0"/>
              <w:jc w:val="right"/>
              <w:rPr>
                <w:szCs w:val="18"/>
                <w:lang w:val="es-MX"/>
              </w:rPr>
            </w:pPr>
            <w:r>
              <w:rPr>
                <w:szCs w:val="18"/>
                <w:lang w:val="es-MX"/>
              </w:rPr>
              <w:fldChar w:fldCharType="begin"/>
            </w:r>
            <w:r>
              <w:rPr>
                <w:szCs w:val="18"/>
                <w:lang w:val="es-MX"/>
              </w:rPr>
              <w:instrText xml:space="preserve"> =SUM(ABOVE) \# "$#,##0.00;($#,##0.00)" </w:instrText>
            </w:r>
            <w:r>
              <w:rPr>
                <w:szCs w:val="18"/>
                <w:lang w:val="es-MX"/>
              </w:rPr>
              <w:fldChar w:fldCharType="separate"/>
            </w:r>
            <w:r>
              <w:rPr>
                <w:noProof/>
                <w:szCs w:val="18"/>
                <w:lang w:val="es-MX"/>
              </w:rPr>
              <w:t>$   1,690,289.73</w:t>
            </w:r>
            <w:r>
              <w:rPr>
                <w:szCs w:val="18"/>
                <w:lang w:val="es-MX"/>
              </w:rPr>
              <w:fldChar w:fldCharType="end"/>
            </w:r>
          </w:p>
        </w:tc>
      </w:tr>
    </w:tbl>
    <w:p w:rsidR="00A2770A" w:rsidRPr="007E42D2" w:rsidRDefault="00A2770A" w:rsidP="00A2770A">
      <w:pPr>
        <w:autoSpaceDE w:val="0"/>
        <w:autoSpaceDN w:val="0"/>
        <w:adjustRightInd w:val="0"/>
        <w:spacing w:before="80"/>
        <w:ind w:left="709"/>
        <w:jc w:val="both"/>
        <w:rPr>
          <w:rFonts w:ascii="Arial" w:hAnsi="Arial" w:cs="Arial"/>
          <w:sz w:val="18"/>
          <w:szCs w:val="18"/>
        </w:rPr>
      </w:pPr>
    </w:p>
    <w:p w:rsidR="00A2770A" w:rsidRPr="007E42D2" w:rsidRDefault="00A2770A" w:rsidP="00A2770A">
      <w:pPr>
        <w:pStyle w:val="Texto"/>
        <w:numPr>
          <w:ilvl w:val="0"/>
          <w:numId w:val="5"/>
        </w:numPr>
        <w:spacing w:line="276" w:lineRule="auto"/>
        <w:rPr>
          <w:szCs w:val="18"/>
        </w:rPr>
      </w:pPr>
      <w:r w:rsidRPr="007E42D2">
        <w:rPr>
          <w:b/>
          <w:szCs w:val="18"/>
        </w:rPr>
        <w:t>Fondos en Garantía a Corto Plazo</w:t>
      </w:r>
    </w:p>
    <w:p w:rsidR="00A2770A" w:rsidRPr="007E42D2" w:rsidRDefault="00A2770A" w:rsidP="00A2770A">
      <w:pPr>
        <w:pStyle w:val="Texto"/>
        <w:spacing w:line="276" w:lineRule="auto"/>
        <w:ind w:left="709" w:firstLine="0"/>
        <w:rPr>
          <w:szCs w:val="18"/>
        </w:rPr>
      </w:pPr>
      <w:r w:rsidRPr="007E42D2">
        <w:rPr>
          <w:szCs w:val="18"/>
        </w:rPr>
        <w:t>Representa los fondos en garantía del cumplimiento de obligaciones contractuales o legales que, eventualmente, se tendrán que devolver a su titular en un plazo menor o igual a doce meses. A continuación se presenta la integración de este rubro:</w:t>
      </w:r>
    </w:p>
    <w:p w:rsidR="00A2770A" w:rsidRPr="007E42D2" w:rsidRDefault="00A2770A" w:rsidP="00A2770A">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A2770A" w:rsidRPr="007E42D2" w:rsidTr="00285DAD">
        <w:trPr>
          <w:trHeight w:val="60"/>
          <w:jc w:val="center"/>
        </w:trPr>
        <w:tc>
          <w:tcPr>
            <w:tcW w:w="2963"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31 Dic. </w:t>
            </w:r>
            <w:r w:rsidRPr="007E42D2">
              <w:rPr>
                <w:b/>
                <w:color w:val="FFFFFF" w:themeColor="background1"/>
                <w:szCs w:val="18"/>
                <w:lang w:val="es-MX"/>
              </w:rPr>
              <w:t>201</w:t>
            </w:r>
            <w:r>
              <w:rPr>
                <w:b/>
                <w:color w:val="FFFFFF" w:themeColor="background1"/>
                <w:szCs w:val="18"/>
                <w:lang w:val="es-MX"/>
              </w:rPr>
              <w:t>5</w:t>
            </w:r>
          </w:p>
        </w:tc>
      </w:tr>
      <w:tr w:rsidR="00A2770A" w:rsidRPr="007E42D2" w:rsidTr="00285DAD">
        <w:trPr>
          <w:trHeight w:val="60"/>
          <w:jc w:val="center"/>
        </w:trPr>
        <w:tc>
          <w:tcPr>
            <w:tcW w:w="2963"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Provisión para contingencias</w:t>
            </w:r>
          </w:p>
        </w:tc>
        <w:tc>
          <w:tcPr>
            <w:tcW w:w="1715"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DF45C5">
              <w:rPr>
                <w:rFonts w:ascii="Arial" w:hAnsi="Arial" w:cs="Arial"/>
                <w:sz w:val="18"/>
                <w:szCs w:val="18"/>
              </w:rPr>
              <w:t>177,681.85</w:t>
            </w:r>
          </w:p>
        </w:tc>
      </w:tr>
    </w:tbl>
    <w:p w:rsidR="00A2770A" w:rsidRPr="007E42D2" w:rsidRDefault="00A2770A" w:rsidP="00A2770A">
      <w:pPr>
        <w:autoSpaceDE w:val="0"/>
        <w:autoSpaceDN w:val="0"/>
        <w:adjustRightInd w:val="0"/>
        <w:spacing w:before="80"/>
        <w:ind w:left="709"/>
        <w:jc w:val="both"/>
        <w:rPr>
          <w:rFonts w:ascii="Arial" w:hAnsi="Arial" w:cs="Arial"/>
          <w:sz w:val="18"/>
          <w:szCs w:val="18"/>
          <w:lang w:val="es-ES"/>
        </w:rPr>
      </w:pPr>
    </w:p>
    <w:p w:rsidR="00A2770A" w:rsidRPr="007E42D2" w:rsidRDefault="00A2770A" w:rsidP="00A2770A">
      <w:pPr>
        <w:pStyle w:val="Texto"/>
        <w:numPr>
          <w:ilvl w:val="0"/>
          <w:numId w:val="5"/>
        </w:numPr>
        <w:spacing w:line="276" w:lineRule="auto"/>
        <w:rPr>
          <w:szCs w:val="18"/>
        </w:rPr>
      </w:pPr>
      <w:r w:rsidRPr="007E42D2">
        <w:rPr>
          <w:b/>
          <w:szCs w:val="18"/>
          <w:lang w:val="es-MX"/>
        </w:rPr>
        <w:t>Provisiones a Corto Plazo</w:t>
      </w:r>
    </w:p>
    <w:p w:rsidR="00A2770A" w:rsidRDefault="00A2770A" w:rsidP="00A2770A">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Representa el valor nominal de los adeudos del ITEA</w:t>
      </w:r>
      <w:r>
        <w:rPr>
          <w:rFonts w:ascii="Arial" w:hAnsi="Arial" w:cs="Arial"/>
          <w:sz w:val="18"/>
          <w:szCs w:val="18"/>
        </w:rPr>
        <w:t xml:space="preserve"> por servicios devengados y</w:t>
      </w:r>
      <w:r w:rsidRPr="007E42D2">
        <w:rPr>
          <w:rFonts w:ascii="Arial" w:hAnsi="Arial" w:cs="Arial"/>
          <w:sz w:val="18"/>
          <w:szCs w:val="18"/>
        </w:rPr>
        <w:t xml:space="preserve"> que deberá pagar en un plazo menor o igual a doce meses. En éstos inciden pasivos derivados de cuentas por pagar por operaciones presupuestarias y contabilizadas al 31 de diciembre del ejercicio correspondiente. A continuación se presenta la integración de este rubro:</w:t>
      </w:r>
    </w:p>
    <w:p w:rsidR="00A2770A" w:rsidRDefault="00A2770A" w:rsidP="00A2770A">
      <w:pPr>
        <w:rPr>
          <w:rFonts w:ascii="Arial" w:hAnsi="Arial" w:cs="Arial"/>
          <w:sz w:val="18"/>
          <w:szCs w:val="18"/>
        </w:rPr>
      </w:pPr>
      <w:r>
        <w:rPr>
          <w:rFonts w:ascii="Arial" w:hAnsi="Arial" w:cs="Arial"/>
          <w:sz w:val="18"/>
          <w:szCs w:val="18"/>
        </w:rPr>
        <w:br w:type="page"/>
      </w:r>
    </w:p>
    <w:p w:rsidR="00A2770A" w:rsidRPr="007E42D2" w:rsidRDefault="00A2770A" w:rsidP="00A2770A">
      <w:pPr>
        <w:autoSpaceDE w:val="0"/>
        <w:autoSpaceDN w:val="0"/>
        <w:adjustRightInd w:val="0"/>
        <w:spacing w:before="80"/>
        <w:ind w:left="709"/>
        <w:jc w:val="both"/>
        <w:rPr>
          <w:rFonts w:ascii="Arial" w:hAnsi="Arial" w:cs="Arial"/>
          <w:sz w:val="18"/>
          <w:szCs w:val="18"/>
        </w:rPr>
      </w:pPr>
    </w:p>
    <w:p w:rsidR="00A2770A" w:rsidRPr="007E42D2" w:rsidRDefault="00A2770A" w:rsidP="00A2770A">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A2770A" w:rsidRPr="007E42D2" w:rsidTr="00285DAD">
        <w:trPr>
          <w:trHeight w:val="60"/>
          <w:jc w:val="center"/>
        </w:trPr>
        <w:tc>
          <w:tcPr>
            <w:tcW w:w="2963"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31 Dic. </w:t>
            </w:r>
            <w:r w:rsidRPr="007E42D2">
              <w:rPr>
                <w:b/>
                <w:color w:val="FFFFFF" w:themeColor="background1"/>
                <w:szCs w:val="18"/>
                <w:lang w:val="es-MX"/>
              </w:rPr>
              <w:t>201</w:t>
            </w:r>
            <w:r>
              <w:rPr>
                <w:b/>
                <w:color w:val="FFFFFF" w:themeColor="background1"/>
                <w:szCs w:val="18"/>
                <w:lang w:val="es-MX"/>
              </w:rPr>
              <w:t>5</w:t>
            </w:r>
          </w:p>
        </w:tc>
      </w:tr>
      <w:tr w:rsidR="00A2770A" w:rsidRPr="007E42D2" w:rsidTr="00285DAD">
        <w:trPr>
          <w:trHeight w:val="60"/>
          <w:jc w:val="center"/>
        </w:trPr>
        <w:tc>
          <w:tcPr>
            <w:tcW w:w="2963"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Provisión Ramo 33 FAETA</w:t>
            </w:r>
          </w:p>
        </w:tc>
        <w:tc>
          <w:tcPr>
            <w:tcW w:w="1715"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DF45C5">
              <w:rPr>
                <w:rFonts w:ascii="Arial" w:hAnsi="Arial" w:cs="Arial"/>
                <w:sz w:val="18"/>
                <w:szCs w:val="18"/>
              </w:rPr>
              <w:t>243,157.53</w:t>
            </w:r>
          </w:p>
        </w:tc>
      </w:tr>
      <w:tr w:rsidR="00A2770A" w:rsidRPr="007E42D2" w:rsidTr="00285DAD">
        <w:trPr>
          <w:trHeight w:val="60"/>
          <w:jc w:val="center"/>
        </w:trPr>
        <w:tc>
          <w:tcPr>
            <w:tcW w:w="2963"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Provisión Ramo 11</w:t>
            </w:r>
          </w:p>
        </w:tc>
        <w:tc>
          <w:tcPr>
            <w:tcW w:w="1715" w:type="dxa"/>
            <w:shd w:val="clear" w:color="auto" w:fill="auto"/>
            <w:vAlign w:val="bottom"/>
          </w:tcPr>
          <w:p w:rsidR="00A2770A" w:rsidRPr="007E42D2" w:rsidRDefault="00A2770A" w:rsidP="00285DAD">
            <w:pPr>
              <w:spacing w:line="276" w:lineRule="auto"/>
              <w:jc w:val="right"/>
              <w:rPr>
                <w:rFonts w:ascii="Arial" w:hAnsi="Arial" w:cs="Arial"/>
                <w:sz w:val="18"/>
                <w:szCs w:val="18"/>
              </w:rPr>
            </w:pPr>
            <w:r>
              <w:rPr>
                <w:rFonts w:ascii="Arial" w:hAnsi="Arial" w:cs="Arial"/>
                <w:sz w:val="18"/>
                <w:szCs w:val="18"/>
              </w:rPr>
              <w:t>-0.01</w:t>
            </w:r>
          </w:p>
        </w:tc>
      </w:tr>
      <w:tr w:rsidR="00A2770A" w:rsidRPr="007E42D2" w:rsidTr="00285DAD">
        <w:trPr>
          <w:trHeight w:val="225"/>
          <w:jc w:val="center"/>
        </w:trPr>
        <w:tc>
          <w:tcPr>
            <w:tcW w:w="2963"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Provisión Gobierno del Estado</w:t>
            </w:r>
          </w:p>
        </w:tc>
        <w:tc>
          <w:tcPr>
            <w:tcW w:w="1715"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DF45C5">
              <w:rPr>
                <w:rFonts w:ascii="Arial" w:hAnsi="Arial" w:cs="Arial"/>
                <w:sz w:val="18"/>
                <w:szCs w:val="18"/>
              </w:rPr>
              <w:t>279,186.52</w:t>
            </w:r>
          </w:p>
        </w:tc>
      </w:tr>
      <w:tr w:rsidR="00A2770A" w:rsidRPr="007E42D2" w:rsidTr="00285DAD">
        <w:trPr>
          <w:trHeight w:val="60"/>
          <w:jc w:val="center"/>
        </w:trPr>
        <w:tc>
          <w:tcPr>
            <w:tcW w:w="2963" w:type="dxa"/>
            <w:shd w:val="clear" w:color="auto" w:fill="auto"/>
          </w:tcPr>
          <w:p w:rsidR="00A2770A" w:rsidRPr="007E42D2" w:rsidRDefault="00A2770A" w:rsidP="00285DAD">
            <w:pPr>
              <w:pStyle w:val="Texto"/>
              <w:spacing w:after="0" w:line="276" w:lineRule="auto"/>
              <w:ind w:firstLine="0"/>
              <w:jc w:val="right"/>
              <w:rPr>
                <w:rFonts w:eastAsiaTheme="minorHAnsi"/>
                <w:szCs w:val="18"/>
                <w:lang w:val="es-MX" w:eastAsia="en-US"/>
              </w:rPr>
            </w:pPr>
            <w:r w:rsidRPr="007E42D2">
              <w:rPr>
                <w:rFonts w:eastAsiaTheme="minorHAnsi"/>
                <w:szCs w:val="18"/>
                <w:lang w:val="es-MX" w:eastAsia="en-US"/>
              </w:rPr>
              <w:t>suma</w:t>
            </w:r>
          </w:p>
        </w:tc>
        <w:tc>
          <w:tcPr>
            <w:tcW w:w="1715" w:type="dxa"/>
            <w:shd w:val="clear" w:color="auto" w:fill="auto"/>
            <w:vAlign w:val="bottom"/>
          </w:tcPr>
          <w:p w:rsidR="00A2770A" w:rsidRPr="007E42D2" w:rsidRDefault="00A2770A" w:rsidP="00285DAD">
            <w:pPr>
              <w:spacing w:line="276" w:lineRule="auto"/>
              <w:jc w:val="right"/>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=SUM(ABOVE) \# "$#,##0.00;($#,##0.00)" </w:instrText>
            </w:r>
            <w:r>
              <w:rPr>
                <w:rFonts w:ascii="Arial" w:hAnsi="Arial" w:cs="Arial"/>
                <w:sz w:val="18"/>
                <w:szCs w:val="18"/>
              </w:rPr>
              <w:fldChar w:fldCharType="separate"/>
            </w:r>
            <w:r>
              <w:rPr>
                <w:rFonts w:ascii="Arial" w:hAnsi="Arial" w:cs="Arial"/>
                <w:noProof/>
                <w:sz w:val="18"/>
                <w:szCs w:val="18"/>
              </w:rPr>
              <w:t>$   522,344.04</w:t>
            </w:r>
            <w:r>
              <w:rPr>
                <w:rFonts w:ascii="Arial" w:hAnsi="Arial" w:cs="Arial"/>
                <w:sz w:val="18"/>
                <w:szCs w:val="18"/>
              </w:rPr>
              <w:fldChar w:fldCharType="end"/>
            </w:r>
          </w:p>
        </w:tc>
      </w:tr>
    </w:tbl>
    <w:p w:rsidR="00A2770A" w:rsidRPr="007E42D2" w:rsidRDefault="00A2770A" w:rsidP="00A2770A">
      <w:pPr>
        <w:autoSpaceDE w:val="0"/>
        <w:autoSpaceDN w:val="0"/>
        <w:adjustRightInd w:val="0"/>
        <w:spacing w:before="240" w:after="120"/>
        <w:jc w:val="both"/>
        <w:rPr>
          <w:rFonts w:ascii="Arial" w:eastAsia="Times New Roman" w:hAnsi="Arial" w:cs="Arial"/>
          <w:b/>
          <w:sz w:val="18"/>
          <w:szCs w:val="18"/>
          <w:lang w:val="es-ES" w:eastAsia="es-ES"/>
        </w:rPr>
      </w:pPr>
      <w:r w:rsidRPr="007E42D2">
        <w:rPr>
          <w:rFonts w:ascii="Arial" w:eastAsia="Times New Roman" w:hAnsi="Arial" w:cs="Arial"/>
          <w:b/>
          <w:sz w:val="18"/>
          <w:szCs w:val="18"/>
          <w:lang w:val="es-ES" w:eastAsia="es-ES"/>
        </w:rPr>
        <w:t>II)</w:t>
      </w:r>
      <w:r w:rsidRPr="007E42D2">
        <w:rPr>
          <w:rFonts w:ascii="Arial" w:eastAsia="Times New Roman" w:hAnsi="Arial" w:cs="Arial"/>
          <w:b/>
          <w:sz w:val="18"/>
          <w:szCs w:val="18"/>
          <w:lang w:val="es-ES" w:eastAsia="es-ES"/>
        </w:rPr>
        <w:tab/>
        <w:t>Notas al Estado de Actividades</w:t>
      </w:r>
    </w:p>
    <w:p w:rsidR="00A2770A" w:rsidRDefault="00A2770A" w:rsidP="00A2770A">
      <w:pPr>
        <w:pStyle w:val="Texto"/>
        <w:numPr>
          <w:ilvl w:val="0"/>
          <w:numId w:val="5"/>
        </w:numPr>
        <w:spacing w:line="276" w:lineRule="auto"/>
        <w:rPr>
          <w:szCs w:val="18"/>
        </w:rPr>
      </w:pPr>
      <w:r>
        <w:rPr>
          <w:b/>
          <w:szCs w:val="18"/>
        </w:rPr>
        <w:t>Ingresos de Gestión</w:t>
      </w:r>
      <w:r>
        <w:rPr>
          <w:szCs w:val="18"/>
        </w:rPr>
        <w:t>, los ingresos de los que se financian las actividades del Instituto son:</w:t>
      </w:r>
    </w:p>
    <w:p w:rsidR="00A2770A" w:rsidRPr="00FA11DA" w:rsidRDefault="00A2770A" w:rsidP="00A2770A">
      <w:pPr>
        <w:pStyle w:val="Prrafodelista"/>
        <w:autoSpaceDE w:val="0"/>
        <w:autoSpaceDN w:val="0"/>
        <w:adjustRightInd w:val="0"/>
        <w:spacing w:after="0"/>
        <w:ind w:left="1008"/>
        <w:jc w:val="center"/>
        <w:rPr>
          <w:rFonts w:ascii="Arial" w:hAnsi="Arial" w:cs="Arial"/>
          <w:sz w:val="18"/>
          <w:szCs w:val="18"/>
        </w:rPr>
      </w:pPr>
      <w:r w:rsidRPr="00FA11DA">
        <w:rPr>
          <w:rFonts w:ascii="Arial" w:hAnsi="Arial" w:cs="Arial"/>
          <w:sz w:val="18"/>
          <w:szCs w:val="18"/>
        </w:rPr>
        <w:t>(Pesos)</w:t>
      </w:r>
    </w:p>
    <w:tbl>
      <w:tblPr>
        <w:tblStyle w:val="Tablaconcuadrcula"/>
        <w:tblW w:w="0" w:type="auto"/>
        <w:jc w:val="center"/>
        <w:tblInd w:w="2719" w:type="dxa"/>
        <w:shd w:val="clear" w:color="auto" w:fill="00B050"/>
        <w:tblLook w:val="04A0"/>
      </w:tblPr>
      <w:tblGrid>
        <w:gridCol w:w="5365"/>
        <w:gridCol w:w="2209"/>
      </w:tblGrid>
      <w:tr w:rsidR="00A2770A" w:rsidRPr="007E42D2" w:rsidTr="00285DAD">
        <w:trPr>
          <w:trHeight w:val="60"/>
          <w:jc w:val="center"/>
        </w:trPr>
        <w:tc>
          <w:tcPr>
            <w:tcW w:w="5365"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Pr>
                <w:b/>
                <w:color w:val="FFFFFF" w:themeColor="background1"/>
                <w:szCs w:val="18"/>
                <w:lang w:val="es-MX"/>
              </w:rPr>
              <w:t>Participaciones y Aportaciones</w:t>
            </w:r>
          </w:p>
        </w:tc>
        <w:tc>
          <w:tcPr>
            <w:tcW w:w="2209"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31 Dic. </w:t>
            </w:r>
            <w:r w:rsidRPr="007E42D2">
              <w:rPr>
                <w:b/>
                <w:color w:val="FFFFFF" w:themeColor="background1"/>
                <w:szCs w:val="18"/>
                <w:lang w:val="es-MX"/>
              </w:rPr>
              <w:t>201</w:t>
            </w:r>
            <w:r>
              <w:rPr>
                <w:b/>
                <w:color w:val="FFFFFF" w:themeColor="background1"/>
                <w:szCs w:val="18"/>
                <w:lang w:val="es-MX"/>
              </w:rPr>
              <w:t>5</w:t>
            </w:r>
          </w:p>
        </w:tc>
      </w:tr>
      <w:tr w:rsidR="00A2770A" w:rsidRPr="007E42D2" w:rsidTr="00285DAD">
        <w:trPr>
          <w:trHeight w:val="60"/>
          <w:jc w:val="center"/>
        </w:trPr>
        <w:tc>
          <w:tcPr>
            <w:tcW w:w="5365"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Ramo 33 FAETA (Ingresos Federales)</w:t>
            </w:r>
          </w:p>
        </w:tc>
        <w:tc>
          <w:tcPr>
            <w:tcW w:w="2209"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8923E7">
              <w:rPr>
                <w:rFonts w:ascii="Arial" w:hAnsi="Arial" w:cs="Arial"/>
                <w:sz w:val="18"/>
                <w:szCs w:val="18"/>
              </w:rPr>
              <w:t>3</w:t>
            </w:r>
            <w:r>
              <w:rPr>
                <w:rFonts w:ascii="Arial" w:hAnsi="Arial" w:cs="Arial"/>
                <w:sz w:val="18"/>
                <w:szCs w:val="18"/>
              </w:rPr>
              <w:t>6</w:t>
            </w:r>
            <w:r w:rsidRPr="008923E7">
              <w:rPr>
                <w:rFonts w:ascii="Arial" w:hAnsi="Arial" w:cs="Arial"/>
                <w:sz w:val="18"/>
                <w:szCs w:val="18"/>
              </w:rPr>
              <w:t>,</w:t>
            </w:r>
            <w:r>
              <w:rPr>
                <w:rFonts w:ascii="Arial" w:hAnsi="Arial" w:cs="Arial"/>
                <w:sz w:val="18"/>
                <w:szCs w:val="18"/>
              </w:rPr>
              <w:t>153</w:t>
            </w:r>
            <w:r w:rsidRPr="008923E7">
              <w:rPr>
                <w:rFonts w:ascii="Arial" w:hAnsi="Arial" w:cs="Arial"/>
                <w:sz w:val="18"/>
                <w:szCs w:val="18"/>
              </w:rPr>
              <w:t>,</w:t>
            </w:r>
            <w:r>
              <w:rPr>
                <w:rFonts w:ascii="Arial" w:hAnsi="Arial" w:cs="Arial"/>
                <w:sz w:val="18"/>
                <w:szCs w:val="18"/>
              </w:rPr>
              <w:t>343</w:t>
            </w:r>
            <w:r w:rsidRPr="008923E7">
              <w:rPr>
                <w:rFonts w:ascii="Arial" w:hAnsi="Arial" w:cs="Arial"/>
                <w:sz w:val="18"/>
                <w:szCs w:val="18"/>
              </w:rPr>
              <w:t>.</w:t>
            </w:r>
            <w:r>
              <w:rPr>
                <w:rFonts w:ascii="Arial" w:hAnsi="Arial" w:cs="Arial"/>
                <w:sz w:val="18"/>
                <w:szCs w:val="18"/>
              </w:rPr>
              <w:t>73</w:t>
            </w:r>
          </w:p>
        </w:tc>
      </w:tr>
      <w:tr w:rsidR="00A2770A" w:rsidRPr="007E42D2" w:rsidTr="00285DAD">
        <w:trPr>
          <w:trHeight w:val="60"/>
          <w:jc w:val="center"/>
        </w:trPr>
        <w:tc>
          <w:tcPr>
            <w:tcW w:w="5365"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Ramo 11 Convenios de Colaboración (Ingresos Federales)</w:t>
            </w:r>
          </w:p>
        </w:tc>
        <w:tc>
          <w:tcPr>
            <w:tcW w:w="2209"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8923E7">
              <w:rPr>
                <w:rFonts w:ascii="Arial" w:hAnsi="Arial" w:cs="Arial"/>
                <w:sz w:val="18"/>
                <w:szCs w:val="18"/>
              </w:rPr>
              <w:t>10,632,589.86</w:t>
            </w:r>
          </w:p>
        </w:tc>
      </w:tr>
      <w:tr w:rsidR="00A2770A" w:rsidRPr="007E42D2" w:rsidTr="00285DAD">
        <w:trPr>
          <w:trHeight w:val="60"/>
          <w:jc w:val="center"/>
        </w:trPr>
        <w:tc>
          <w:tcPr>
            <w:tcW w:w="5365"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Aportación Estatal (Ingresos Fiscales)</w:t>
            </w:r>
          </w:p>
        </w:tc>
        <w:tc>
          <w:tcPr>
            <w:tcW w:w="2209"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8923E7">
              <w:rPr>
                <w:rFonts w:ascii="Arial" w:hAnsi="Arial" w:cs="Arial"/>
                <w:sz w:val="18"/>
                <w:szCs w:val="18"/>
              </w:rPr>
              <w:t>14,820,000.00</w:t>
            </w:r>
          </w:p>
        </w:tc>
      </w:tr>
      <w:tr w:rsidR="00A2770A" w:rsidRPr="007E42D2" w:rsidTr="00285DAD">
        <w:trPr>
          <w:trHeight w:val="60"/>
          <w:jc w:val="center"/>
        </w:trPr>
        <w:tc>
          <w:tcPr>
            <w:tcW w:w="5365" w:type="dxa"/>
            <w:shd w:val="clear" w:color="auto" w:fill="auto"/>
          </w:tcPr>
          <w:p w:rsidR="00A2770A"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Ingresos Financieros (Ingresos Propios)</w:t>
            </w:r>
          </w:p>
        </w:tc>
        <w:tc>
          <w:tcPr>
            <w:tcW w:w="2209" w:type="dxa"/>
            <w:shd w:val="clear" w:color="auto" w:fill="auto"/>
          </w:tcPr>
          <w:p w:rsidR="00A2770A" w:rsidRDefault="00A2770A" w:rsidP="00285DAD">
            <w:pPr>
              <w:pStyle w:val="Texto"/>
              <w:spacing w:after="0" w:line="276" w:lineRule="auto"/>
              <w:ind w:firstLine="0"/>
              <w:jc w:val="right"/>
              <w:rPr>
                <w:szCs w:val="18"/>
                <w:lang w:val="es-MX"/>
              </w:rPr>
            </w:pPr>
            <w:r>
              <w:rPr>
                <w:szCs w:val="18"/>
                <w:lang w:val="es-MX"/>
              </w:rPr>
              <w:t>18,791.38</w:t>
            </w:r>
          </w:p>
        </w:tc>
      </w:tr>
      <w:tr w:rsidR="00A2770A" w:rsidRPr="007E42D2" w:rsidTr="00285DAD">
        <w:trPr>
          <w:trHeight w:val="60"/>
          <w:jc w:val="center"/>
        </w:trPr>
        <w:tc>
          <w:tcPr>
            <w:tcW w:w="5365" w:type="dxa"/>
            <w:shd w:val="clear" w:color="auto" w:fill="auto"/>
          </w:tcPr>
          <w:p w:rsidR="00A2770A" w:rsidRPr="007E42D2" w:rsidRDefault="00A2770A" w:rsidP="00285DAD">
            <w:pPr>
              <w:pStyle w:val="Texto"/>
              <w:spacing w:after="0" w:line="276" w:lineRule="auto"/>
              <w:ind w:firstLine="0"/>
              <w:jc w:val="right"/>
              <w:rPr>
                <w:rFonts w:eastAsiaTheme="minorHAnsi"/>
                <w:szCs w:val="18"/>
                <w:lang w:val="es-MX" w:eastAsia="en-US"/>
              </w:rPr>
            </w:pPr>
            <w:r>
              <w:rPr>
                <w:rFonts w:eastAsiaTheme="minorHAnsi"/>
                <w:szCs w:val="18"/>
                <w:lang w:val="es-MX" w:eastAsia="en-US"/>
              </w:rPr>
              <w:t>S</w:t>
            </w:r>
            <w:r w:rsidRPr="007E42D2">
              <w:rPr>
                <w:rFonts w:eastAsiaTheme="minorHAnsi"/>
                <w:szCs w:val="18"/>
                <w:lang w:val="es-MX" w:eastAsia="en-US"/>
              </w:rPr>
              <w:t>uma</w:t>
            </w:r>
            <w:r>
              <w:rPr>
                <w:rFonts w:eastAsiaTheme="minorHAnsi"/>
                <w:szCs w:val="18"/>
                <w:lang w:val="es-MX" w:eastAsia="en-US"/>
              </w:rPr>
              <w:t>:</w:t>
            </w:r>
          </w:p>
        </w:tc>
        <w:tc>
          <w:tcPr>
            <w:tcW w:w="2209" w:type="dxa"/>
            <w:shd w:val="clear" w:color="auto" w:fill="auto"/>
          </w:tcPr>
          <w:p w:rsidR="00A2770A" w:rsidRPr="007E42D2" w:rsidRDefault="00A2770A" w:rsidP="00285DAD">
            <w:pPr>
              <w:pStyle w:val="Texto"/>
              <w:spacing w:after="0" w:line="276" w:lineRule="auto"/>
              <w:ind w:firstLine="0"/>
              <w:jc w:val="right"/>
              <w:rPr>
                <w:szCs w:val="18"/>
                <w:lang w:val="es-MX"/>
              </w:rPr>
            </w:pPr>
            <w:r>
              <w:rPr>
                <w:szCs w:val="18"/>
                <w:lang w:val="es-MX"/>
              </w:rPr>
              <w:fldChar w:fldCharType="begin"/>
            </w:r>
            <w:r>
              <w:rPr>
                <w:szCs w:val="18"/>
                <w:lang w:val="es-MX"/>
              </w:rPr>
              <w:instrText xml:space="preserve"> =SUM(ABOVE) \# "$#,##0.00;($#,##0.00)" </w:instrText>
            </w:r>
            <w:r>
              <w:rPr>
                <w:szCs w:val="18"/>
                <w:lang w:val="es-MX"/>
              </w:rPr>
              <w:fldChar w:fldCharType="separate"/>
            </w:r>
            <w:r>
              <w:rPr>
                <w:noProof/>
                <w:szCs w:val="18"/>
                <w:lang w:val="es-MX"/>
              </w:rPr>
              <w:t>$   61,624,724.97</w:t>
            </w:r>
            <w:r>
              <w:rPr>
                <w:szCs w:val="18"/>
                <w:lang w:val="es-MX"/>
              </w:rPr>
              <w:fldChar w:fldCharType="end"/>
            </w:r>
          </w:p>
        </w:tc>
      </w:tr>
    </w:tbl>
    <w:p w:rsidR="00A2770A" w:rsidRPr="00FA11DA" w:rsidRDefault="00A2770A" w:rsidP="00A2770A">
      <w:pPr>
        <w:pStyle w:val="Texto"/>
        <w:spacing w:line="276" w:lineRule="auto"/>
        <w:rPr>
          <w:szCs w:val="18"/>
        </w:rPr>
      </w:pPr>
    </w:p>
    <w:p w:rsidR="00A2770A" w:rsidRPr="007E42D2" w:rsidRDefault="00A2770A" w:rsidP="00A2770A">
      <w:pPr>
        <w:pStyle w:val="Texto"/>
        <w:numPr>
          <w:ilvl w:val="0"/>
          <w:numId w:val="5"/>
        </w:numPr>
        <w:spacing w:line="276" w:lineRule="auto"/>
        <w:rPr>
          <w:szCs w:val="18"/>
        </w:rPr>
      </w:pPr>
      <w:r>
        <w:rPr>
          <w:b/>
          <w:szCs w:val="18"/>
        </w:rPr>
        <w:t>Gastos y Otras Pérdidas</w:t>
      </w:r>
      <w:r>
        <w:rPr>
          <w:szCs w:val="18"/>
        </w:rPr>
        <w:t>, los gastos de este ejercicio ascendieron a:</w:t>
      </w:r>
    </w:p>
    <w:p w:rsidR="00A2770A" w:rsidRPr="00FA11DA" w:rsidRDefault="00A2770A" w:rsidP="00A2770A">
      <w:pPr>
        <w:pStyle w:val="Prrafodelista"/>
        <w:autoSpaceDE w:val="0"/>
        <w:autoSpaceDN w:val="0"/>
        <w:adjustRightInd w:val="0"/>
        <w:spacing w:after="0"/>
        <w:ind w:left="1008"/>
        <w:jc w:val="center"/>
        <w:rPr>
          <w:rFonts w:ascii="Arial" w:hAnsi="Arial" w:cs="Arial"/>
          <w:sz w:val="18"/>
          <w:szCs w:val="18"/>
        </w:rPr>
      </w:pPr>
      <w:r w:rsidRPr="00FA11DA">
        <w:rPr>
          <w:rFonts w:ascii="Arial" w:hAnsi="Arial" w:cs="Arial"/>
          <w:sz w:val="18"/>
          <w:szCs w:val="18"/>
        </w:rPr>
        <w:t>(Pesos)</w:t>
      </w:r>
    </w:p>
    <w:tbl>
      <w:tblPr>
        <w:tblStyle w:val="Tablaconcuadrcula"/>
        <w:tblW w:w="0" w:type="auto"/>
        <w:jc w:val="center"/>
        <w:tblInd w:w="2719" w:type="dxa"/>
        <w:shd w:val="clear" w:color="auto" w:fill="00B050"/>
        <w:tblLook w:val="04A0"/>
      </w:tblPr>
      <w:tblGrid>
        <w:gridCol w:w="5365"/>
        <w:gridCol w:w="2209"/>
      </w:tblGrid>
      <w:tr w:rsidR="00A2770A" w:rsidRPr="007E42D2" w:rsidTr="00285DAD">
        <w:trPr>
          <w:trHeight w:val="60"/>
          <w:jc w:val="center"/>
        </w:trPr>
        <w:tc>
          <w:tcPr>
            <w:tcW w:w="5365"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Pr>
                <w:b/>
                <w:color w:val="FFFFFF" w:themeColor="background1"/>
                <w:szCs w:val="18"/>
                <w:lang w:val="es-MX"/>
              </w:rPr>
              <w:t>Gastos y Otras Pérdidas</w:t>
            </w:r>
          </w:p>
        </w:tc>
        <w:tc>
          <w:tcPr>
            <w:tcW w:w="2209"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proofErr w:type="gramStart"/>
            <w:r>
              <w:rPr>
                <w:b/>
                <w:color w:val="FFFFFF" w:themeColor="background1"/>
                <w:szCs w:val="18"/>
                <w:lang w:val="es-MX"/>
              </w:rPr>
              <w:t>al</w:t>
            </w:r>
            <w:proofErr w:type="gramEnd"/>
            <w:r>
              <w:rPr>
                <w:b/>
                <w:color w:val="FFFFFF" w:themeColor="background1"/>
                <w:szCs w:val="18"/>
                <w:lang w:val="es-MX"/>
              </w:rPr>
              <w:t xml:space="preserve"> 31 Dic. </w:t>
            </w:r>
            <w:r w:rsidRPr="007E42D2">
              <w:rPr>
                <w:b/>
                <w:color w:val="FFFFFF" w:themeColor="background1"/>
                <w:szCs w:val="18"/>
                <w:lang w:val="es-MX"/>
              </w:rPr>
              <w:t>201</w:t>
            </w:r>
            <w:r>
              <w:rPr>
                <w:b/>
                <w:color w:val="FFFFFF" w:themeColor="background1"/>
                <w:szCs w:val="18"/>
                <w:lang w:val="es-MX"/>
              </w:rPr>
              <w:t>5</w:t>
            </w:r>
          </w:p>
        </w:tc>
      </w:tr>
      <w:tr w:rsidR="00A2770A" w:rsidRPr="007E42D2" w:rsidTr="00285DAD">
        <w:trPr>
          <w:trHeight w:val="60"/>
          <w:jc w:val="center"/>
        </w:trPr>
        <w:tc>
          <w:tcPr>
            <w:tcW w:w="5365"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Gastos de Funcionamiento</w:t>
            </w:r>
          </w:p>
        </w:tc>
        <w:tc>
          <w:tcPr>
            <w:tcW w:w="2209" w:type="dxa"/>
            <w:shd w:val="clear" w:color="auto" w:fill="auto"/>
            <w:vAlign w:val="bottom"/>
          </w:tcPr>
          <w:p w:rsidR="00A2770A" w:rsidRPr="007E42D2" w:rsidRDefault="00A2770A" w:rsidP="00285DAD">
            <w:pPr>
              <w:spacing w:line="276" w:lineRule="auto"/>
              <w:jc w:val="right"/>
              <w:rPr>
                <w:rFonts w:ascii="Arial" w:hAnsi="Arial" w:cs="Arial"/>
                <w:sz w:val="18"/>
                <w:szCs w:val="18"/>
              </w:rPr>
            </w:pPr>
            <w:r>
              <w:rPr>
                <w:rFonts w:ascii="Arial" w:hAnsi="Arial" w:cs="Arial"/>
                <w:sz w:val="18"/>
                <w:szCs w:val="18"/>
              </w:rPr>
              <w:t xml:space="preserve">$   </w:t>
            </w:r>
            <w:r w:rsidRPr="00261730">
              <w:rPr>
                <w:rFonts w:ascii="Arial" w:hAnsi="Arial" w:cs="Arial"/>
                <w:sz w:val="18"/>
                <w:szCs w:val="18"/>
              </w:rPr>
              <w:t>34,</w:t>
            </w:r>
            <w:r>
              <w:rPr>
                <w:rFonts w:ascii="Arial" w:hAnsi="Arial" w:cs="Arial"/>
                <w:sz w:val="18"/>
                <w:szCs w:val="18"/>
              </w:rPr>
              <w:t>699</w:t>
            </w:r>
            <w:r w:rsidRPr="00261730">
              <w:rPr>
                <w:rFonts w:ascii="Arial" w:hAnsi="Arial" w:cs="Arial"/>
                <w:sz w:val="18"/>
                <w:szCs w:val="18"/>
              </w:rPr>
              <w:t>,</w:t>
            </w:r>
            <w:r>
              <w:rPr>
                <w:rFonts w:ascii="Arial" w:hAnsi="Arial" w:cs="Arial"/>
                <w:sz w:val="18"/>
                <w:szCs w:val="18"/>
              </w:rPr>
              <w:t>154</w:t>
            </w:r>
            <w:r w:rsidRPr="00261730">
              <w:rPr>
                <w:rFonts w:ascii="Arial" w:hAnsi="Arial" w:cs="Arial"/>
                <w:sz w:val="18"/>
                <w:szCs w:val="18"/>
              </w:rPr>
              <w:t>.2</w:t>
            </w:r>
            <w:r>
              <w:rPr>
                <w:rFonts w:ascii="Arial" w:hAnsi="Arial" w:cs="Arial"/>
                <w:sz w:val="18"/>
                <w:szCs w:val="18"/>
              </w:rPr>
              <w:t>8</w:t>
            </w:r>
          </w:p>
        </w:tc>
      </w:tr>
      <w:tr w:rsidR="00A2770A" w:rsidRPr="007E42D2" w:rsidTr="00285DAD">
        <w:trPr>
          <w:trHeight w:val="60"/>
          <w:jc w:val="center"/>
        </w:trPr>
        <w:tc>
          <w:tcPr>
            <w:tcW w:w="5365" w:type="dxa"/>
            <w:shd w:val="clear" w:color="auto" w:fill="auto"/>
          </w:tcPr>
          <w:p w:rsidR="00A2770A" w:rsidRPr="007E42D2" w:rsidRDefault="00A2770A" w:rsidP="00285DAD">
            <w:pPr>
              <w:pStyle w:val="Texto"/>
              <w:spacing w:after="0" w:line="276" w:lineRule="auto"/>
              <w:ind w:left="241" w:firstLine="0"/>
              <w:jc w:val="left"/>
              <w:rPr>
                <w:rFonts w:eastAsiaTheme="minorHAnsi"/>
                <w:szCs w:val="18"/>
                <w:lang w:val="es-MX" w:eastAsia="en-US"/>
              </w:rPr>
            </w:pPr>
            <w:r>
              <w:rPr>
                <w:rFonts w:eastAsiaTheme="minorHAnsi"/>
                <w:szCs w:val="18"/>
                <w:lang w:val="es-MX" w:eastAsia="en-US"/>
              </w:rPr>
              <w:t>Servicios Personales</w:t>
            </w:r>
          </w:p>
        </w:tc>
        <w:tc>
          <w:tcPr>
            <w:tcW w:w="2209"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271F23">
              <w:rPr>
                <w:rFonts w:ascii="Arial" w:hAnsi="Arial" w:cs="Arial"/>
                <w:sz w:val="18"/>
                <w:szCs w:val="18"/>
              </w:rPr>
              <w:t>25,</w:t>
            </w:r>
            <w:r>
              <w:rPr>
                <w:rFonts w:ascii="Arial" w:hAnsi="Arial" w:cs="Arial"/>
                <w:sz w:val="18"/>
                <w:szCs w:val="18"/>
              </w:rPr>
              <w:t>808</w:t>
            </w:r>
            <w:r w:rsidRPr="00271F23">
              <w:rPr>
                <w:rFonts w:ascii="Arial" w:hAnsi="Arial" w:cs="Arial"/>
                <w:sz w:val="18"/>
                <w:szCs w:val="18"/>
              </w:rPr>
              <w:t>,</w:t>
            </w:r>
            <w:r>
              <w:rPr>
                <w:rFonts w:ascii="Arial" w:hAnsi="Arial" w:cs="Arial"/>
                <w:sz w:val="18"/>
                <w:szCs w:val="18"/>
              </w:rPr>
              <w:t>988</w:t>
            </w:r>
            <w:r w:rsidRPr="00271F23">
              <w:rPr>
                <w:rFonts w:ascii="Arial" w:hAnsi="Arial" w:cs="Arial"/>
                <w:sz w:val="18"/>
                <w:szCs w:val="18"/>
              </w:rPr>
              <w:t>.1</w:t>
            </w:r>
            <w:r>
              <w:rPr>
                <w:rFonts w:ascii="Arial" w:hAnsi="Arial" w:cs="Arial"/>
                <w:sz w:val="18"/>
                <w:szCs w:val="18"/>
              </w:rPr>
              <w:t>8</w:t>
            </w:r>
          </w:p>
        </w:tc>
      </w:tr>
      <w:tr w:rsidR="00A2770A" w:rsidRPr="007E42D2" w:rsidTr="00285DAD">
        <w:trPr>
          <w:trHeight w:val="60"/>
          <w:jc w:val="center"/>
        </w:trPr>
        <w:tc>
          <w:tcPr>
            <w:tcW w:w="5365" w:type="dxa"/>
            <w:shd w:val="clear" w:color="auto" w:fill="auto"/>
          </w:tcPr>
          <w:p w:rsidR="00A2770A" w:rsidRPr="007E42D2" w:rsidRDefault="00A2770A" w:rsidP="00285DAD">
            <w:pPr>
              <w:pStyle w:val="Texto"/>
              <w:spacing w:after="0" w:line="276" w:lineRule="auto"/>
              <w:ind w:left="241" w:firstLine="0"/>
              <w:jc w:val="left"/>
              <w:rPr>
                <w:rFonts w:eastAsiaTheme="minorHAnsi"/>
                <w:szCs w:val="18"/>
                <w:lang w:val="es-MX" w:eastAsia="en-US"/>
              </w:rPr>
            </w:pPr>
            <w:r>
              <w:rPr>
                <w:rFonts w:eastAsiaTheme="minorHAnsi"/>
                <w:szCs w:val="18"/>
                <w:lang w:val="es-MX" w:eastAsia="en-US"/>
              </w:rPr>
              <w:t>Materiales y Suministros</w:t>
            </w:r>
          </w:p>
        </w:tc>
        <w:tc>
          <w:tcPr>
            <w:tcW w:w="2209" w:type="dxa"/>
            <w:shd w:val="clear" w:color="auto" w:fill="auto"/>
            <w:vAlign w:val="bottom"/>
          </w:tcPr>
          <w:p w:rsidR="00A2770A" w:rsidRPr="007E42D2" w:rsidRDefault="00A2770A" w:rsidP="00285DAD">
            <w:pPr>
              <w:spacing w:line="276" w:lineRule="auto"/>
              <w:jc w:val="right"/>
              <w:rPr>
                <w:rFonts w:ascii="Arial" w:hAnsi="Arial" w:cs="Arial"/>
                <w:sz w:val="18"/>
                <w:szCs w:val="18"/>
              </w:rPr>
            </w:pPr>
            <w:r w:rsidRPr="00261730">
              <w:rPr>
                <w:rFonts w:ascii="Arial" w:hAnsi="Arial" w:cs="Arial"/>
                <w:sz w:val="18"/>
                <w:szCs w:val="18"/>
              </w:rPr>
              <w:t>2,564,833.52</w:t>
            </w:r>
          </w:p>
        </w:tc>
      </w:tr>
      <w:tr w:rsidR="00A2770A" w:rsidRPr="007E42D2" w:rsidTr="00285DAD">
        <w:trPr>
          <w:trHeight w:val="60"/>
          <w:jc w:val="center"/>
        </w:trPr>
        <w:tc>
          <w:tcPr>
            <w:tcW w:w="5365" w:type="dxa"/>
            <w:shd w:val="clear" w:color="auto" w:fill="auto"/>
          </w:tcPr>
          <w:p w:rsidR="00A2770A" w:rsidRPr="007E42D2" w:rsidRDefault="00A2770A" w:rsidP="00285DAD">
            <w:pPr>
              <w:pStyle w:val="Texto"/>
              <w:spacing w:after="0" w:line="276" w:lineRule="auto"/>
              <w:ind w:left="241" w:firstLine="0"/>
              <w:jc w:val="left"/>
              <w:rPr>
                <w:rFonts w:eastAsiaTheme="minorHAnsi"/>
                <w:szCs w:val="18"/>
                <w:lang w:val="es-MX" w:eastAsia="en-US"/>
              </w:rPr>
            </w:pPr>
            <w:r>
              <w:rPr>
                <w:rFonts w:eastAsiaTheme="minorHAnsi"/>
                <w:szCs w:val="18"/>
                <w:lang w:val="es-MX" w:eastAsia="en-US"/>
              </w:rPr>
              <w:t>Servicios Generales</w:t>
            </w:r>
          </w:p>
        </w:tc>
        <w:tc>
          <w:tcPr>
            <w:tcW w:w="2209" w:type="dxa"/>
            <w:shd w:val="clear" w:color="auto" w:fill="auto"/>
          </w:tcPr>
          <w:p w:rsidR="00A2770A" w:rsidRDefault="00A2770A" w:rsidP="00285DAD">
            <w:pPr>
              <w:pStyle w:val="Texto"/>
              <w:spacing w:after="0" w:line="276" w:lineRule="auto"/>
              <w:ind w:firstLine="0"/>
              <w:jc w:val="right"/>
              <w:rPr>
                <w:szCs w:val="18"/>
                <w:lang w:val="es-MX"/>
              </w:rPr>
            </w:pPr>
            <w:r w:rsidRPr="00261730">
              <w:rPr>
                <w:szCs w:val="18"/>
                <w:lang w:val="es-MX"/>
              </w:rPr>
              <w:t>6,325,332.58</w:t>
            </w:r>
          </w:p>
        </w:tc>
      </w:tr>
      <w:tr w:rsidR="00A2770A" w:rsidRPr="007E42D2" w:rsidTr="00285DAD">
        <w:trPr>
          <w:trHeight w:val="60"/>
          <w:jc w:val="center"/>
        </w:trPr>
        <w:tc>
          <w:tcPr>
            <w:tcW w:w="5365" w:type="dxa"/>
            <w:shd w:val="clear" w:color="auto" w:fill="auto"/>
          </w:tcPr>
          <w:p w:rsidR="00A2770A"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Transferencias, Asignaciones, Subsidios y Otras Ayudas</w:t>
            </w:r>
          </w:p>
        </w:tc>
        <w:tc>
          <w:tcPr>
            <w:tcW w:w="2209" w:type="dxa"/>
            <w:shd w:val="clear" w:color="auto" w:fill="auto"/>
          </w:tcPr>
          <w:p w:rsidR="00A2770A" w:rsidRPr="00261730" w:rsidRDefault="00A2770A" w:rsidP="00285DAD">
            <w:pPr>
              <w:pStyle w:val="Texto"/>
              <w:spacing w:after="0" w:line="276" w:lineRule="auto"/>
              <w:ind w:firstLine="0"/>
              <w:jc w:val="right"/>
              <w:rPr>
                <w:szCs w:val="18"/>
                <w:lang w:val="es-MX"/>
              </w:rPr>
            </w:pPr>
            <w:r>
              <w:rPr>
                <w:szCs w:val="18"/>
                <w:lang w:val="es-MX"/>
              </w:rPr>
              <w:t xml:space="preserve">$   </w:t>
            </w:r>
            <w:r w:rsidRPr="00261730">
              <w:rPr>
                <w:szCs w:val="18"/>
                <w:lang w:val="es-MX"/>
              </w:rPr>
              <w:t>26,906,779.31</w:t>
            </w:r>
          </w:p>
        </w:tc>
      </w:tr>
      <w:tr w:rsidR="00A2770A" w:rsidRPr="007E42D2" w:rsidTr="00285DAD">
        <w:trPr>
          <w:trHeight w:val="60"/>
          <w:jc w:val="center"/>
        </w:trPr>
        <w:tc>
          <w:tcPr>
            <w:tcW w:w="5365" w:type="dxa"/>
            <w:shd w:val="clear" w:color="auto" w:fill="auto"/>
          </w:tcPr>
          <w:p w:rsidR="00A2770A" w:rsidRDefault="00A2770A" w:rsidP="00285DAD">
            <w:pPr>
              <w:pStyle w:val="Texto"/>
              <w:spacing w:after="0" w:line="276" w:lineRule="auto"/>
              <w:ind w:firstLine="0"/>
              <w:jc w:val="right"/>
              <w:rPr>
                <w:rFonts w:eastAsiaTheme="minorHAnsi"/>
                <w:szCs w:val="18"/>
                <w:lang w:val="es-MX" w:eastAsia="en-US"/>
              </w:rPr>
            </w:pPr>
            <w:r>
              <w:rPr>
                <w:rFonts w:eastAsiaTheme="minorHAnsi"/>
                <w:szCs w:val="18"/>
                <w:lang w:val="es-MX" w:eastAsia="en-US"/>
              </w:rPr>
              <w:t>Suma:</w:t>
            </w:r>
          </w:p>
        </w:tc>
        <w:tc>
          <w:tcPr>
            <w:tcW w:w="2209" w:type="dxa"/>
            <w:shd w:val="clear" w:color="auto" w:fill="auto"/>
          </w:tcPr>
          <w:p w:rsidR="00A2770A" w:rsidRDefault="00A2770A" w:rsidP="00285DAD">
            <w:pPr>
              <w:pStyle w:val="Texto"/>
              <w:spacing w:after="0" w:line="276" w:lineRule="auto"/>
              <w:ind w:firstLine="0"/>
              <w:jc w:val="right"/>
              <w:rPr>
                <w:szCs w:val="18"/>
                <w:lang w:val="es-MX"/>
              </w:rPr>
            </w:pPr>
            <w:r>
              <w:rPr>
                <w:szCs w:val="18"/>
                <w:lang w:val="es-MX"/>
              </w:rPr>
              <w:t xml:space="preserve">$   </w:t>
            </w:r>
            <w:r w:rsidRPr="00EA1523">
              <w:rPr>
                <w:szCs w:val="18"/>
                <w:lang w:val="es-MX"/>
              </w:rPr>
              <w:t>61,</w:t>
            </w:r>
            <w:r>
              <w:rPr>
                <w:szCs w:val="18"/>
                <w:lang w:val="es-MX"/>
              </w:rPr>
              <w:t>605</w:t>
            </w:r>
            <w:r w:rsidRPr="00EA1523">
              <w:rPr>
                <w:szCs w:val="18"/>
                <w:lang w:val="es-MX"/>
              </w:rPr>
              <w:t>,</w:t>
            </w:r>
            <w:r>
              <w:rPr>
                <w:szCs w:val="18"/>
                <w:lang w:val="es-MX"/>
              </w:rPr>
              <w:t>933</w:t>
            </w:r>
            <w:r w:rsidRPr="00EA1523">
              <w:rPr>
                <w:szCs w:val="18"/>
                <w:lang w:val="es-MX"/>
              </w:rPr>
              <w:t>.</w:t>
            </w:r>
            <w:r>
              <w:rPr>
                <w:szCs w:val="18"/>
                <w:lang w:val="es-MX"/>
              </w:rPr>
              <w:t>59</w:t>
            </w:r>
          </w:p>
        </w:tc>
      </w:tr>
    </w:tbl>
    <w:p w:rsidR="00A2770A" w:rsidRPr="007E42D2" w:rsidRDefault="00A2770A" w:rsidP="00A2770A">
      <w:pPr>
        <w:autoSpaceDE w:val="0"/>
        <w:autoSpaceDN w:val="0"/>
        <w:adjustRightInd w:val="0"/>
        <w:spacing w:before="80"/>
        <w:ind w:left="709"/>
        <w:jc w:val="center"/>
        <w:rPr>
          <w:rFonts w:ascii="Arial" w:eastAsia="Times New Roman" w:hAnsi="Arial" w:cs="Arial"/>
          <w:sz w:val="18"/>
          <w:szCs w:val="18"/>
          <w:lang w:val="es-ES" w:eastAsia="es-ES"/>
        </w:rPr>
      </w:pPr>
    </w:p>
    <w:p w:rsidR="00A2770A" w:rsidRPr="007E42D2" w:rsidRDefault="00A2770A" w:rsidP="00A2770A">
      <w:pPr>
        <w:pStyle w:val="INCISO"/>
        <w:spacing w:after="0" w:line="276" w:lineRule="auto"/>
        <w:ind w:left="360"/>
        <w:rPr>
          <w:b/>
        </w:rPr>
      </w:pPr>
      <w:r w:rsidRPr="007E42D2">
        <w:rPr>
          <w:b/>
          <w:smallCaps/>
        </w:rPr>
        <w:t>III)</w:t>
      </w:r>
      <w:r w:rsidRPr="007E42D2">
        <w:rPr>
          <w:b/>
          <w:smallCaps/>
        </w:rPr>
        <w:tab/>
      </w:r>
      <w:r w:rsidRPr="007E42D2">
        <w:rPr>
          <w:b/>
          <w:smallCaps/>
        </w:rPr>
        <w:tab/>
      </w:r>
      <w:r w:rsidRPr="007E42D2">
        <w:rPr>
          <w:b/>
        </w:rPr>
        <w:t>Notas al Estado de Variación en la Hacienda Pública</w:t>
      </w:r>
    </w:p>
    <w:p w:rsidR="00A2770A" w:rsidRPr="007E42D2" w:rsidRDefault="00A2770A" w:rsidP="00A2770A">
      <w:pPr>
        <w:pStyle w:val="Texto"/>
        <w:numPr>
          <w:ilvl w:val="0"/>
          <w:numId w:val="5"/>
        </w:numPr>
        <w:spacing w:after="80" w:line="276" w:lineRule="auto"/>
        <w:rPr>
          <w:b/>
          <w:szCs w:val="18"/>
        </w:rPr>
      </w:pPr>
      <w:r w:rsidRPr="007E42D2">
        <w:rPr>
          <w:b/>
          <w:szCs w:val="18"/>
        </w:rPr>
        <w:t>Modificaciones al patrimonio contribuido</w:t>
      </w:r>
    </w:p>
    <w:p w:rsidR="00A2770A" w:rsidRPr="007E42D2" w:rsidRDefault="00A2770A" w:rsidP="00A2770A">
      <w:pPr>
        <w:pStyle w:val="Texto"/>
        <w:spacing w:after="80" w:line="276" w:lineRule="auto"/>
        <w:ind w:left="709" w:firstLine="0"/>
        <w:rPr>
          <w:szCs w:val="18"/>
        </w:rPr>
      </w:pPr>
      <w:r w:rsidRPr="007E42D2">
        <w:rPr>
          <w:szCs w:val="18"/>
        </w:rPr>
        <w:t xml:space="preserve">En el periodo presentado el valor nominal que se presenta tiene un </w:t>
      </w:r>
      <w:r>
        <w:rPr>
          <w:szCs w:val="18"/>
        </w:rPr>
        <w:t>incremento</w:t>
      </w:r>
      <w:r w:rsidRPr="007E42D2">
        <w:rPr>
          <w:szCs w:val="18"/>
        </w:rPr>
        <w:t xml:space="preserve"> por un importe de $</w:t>
      </w:r>
      <w:r>
        <w:rPr>
          <w:szCs w:val="18"/>
        </w:rPr>
        <w:t xml:space="preserve"> 1’738,900.75</w:t>
      </w:r>
      <w:r w:rsidRPr="007E42D2">
        <w:rPr>
          <w:szCs w:val="18"/>
        </w:rPr>
        <w:t xml:space="preserve"> derivado de</w:t>
      </w:r>
      <w:r>
        <w:rPr>
          <w:szCs w:val="18"/>
        </w:rPr>
        <w:t xml:space="preserve"> </w:t>
      </w:r>
      <w:r w:rsidRPr="007E42D2">
        <w:rPr>
          <w:szCs w:val="18"/>
        </w:rPr>
        <w:t>l</w:t>
      </w:r>
      <w:r>
        <w:rPr>
          <w:szCs w:val="18"/>
        </w:rPr>
        <w:t>a regularización de bienes muebles que fueron donados al Instituto y que aún no estaban registrados en el patrimonio</w:t>
      </w:r>
      <w:r w:rsidRPr="007E42D2">
        <w:rPr>
          <w:szCs w:val="18"/>
        </w:rPr>
        <w:t>.</w:t>
      </w:r>
    </w:p>
    <w:p w:rsidR="00A2770A" w:rsidRPr="007E42D2" w:rsidRDefault="00A2770A" w:rsidP="00A2770A">
      <w:pPr>
        <w:pStyle w:val="Texto"/>
        <w:numPr>
          <w:ilvl w:val="0"/>
          <w:numId w:val="5"/>
        </w:numPr>
        <w:spacing w:after="80" w:line="276" w:lineRule="auto"/>
        <w:rPr>
          <w:b/>
          <w:szCs w:val="18"/>
        </w:rPr>
      </w:pPr>
      <w:r w:rsidRPr="007E42D2">
        <w:rPr>
          <w:b/>
          <w:szCs w:val="18"/>
        </w:rPr>
        <w:t>Modificaciones al patrimonio generado</w:t>
      </w:r>
    </w:p>
    <w:p w:rsidR="00A2770A" w:rsidRPr="007E42D2" w:rsidRDefault="00A2770A" w:rsidP="00A2770A">
      <w:pPr>
        <w:pStyle w:val="Texto"/>
        <w:spacing w:after="80" w:line="276" w:lineRule="auto"/>
        <w:ind w:left="709" w:firstLine="0"/>
        <w:rPr>
          <w:szCs w:val="18"/>
        </w:rPr>
      </w:pPr>
      <w:r w:rsidRPr="007E42D2">
        <w:rPr>
          <w:szCs w:val="18"/>
        </w:rPr>
        <w:lastRenderedPageBreak/>
        <w:t>En el periodo presentado el valor nominal que se presenta tiene un</w:t>
      </w:r>
      <w:r>
        <w:rPr>
          <w:szCs w:val="18"/>
        </w:rPr>
        <w:t>a</w:t>
      </w:r>
      <w:r w:rsidRPr="007E42D2">
        <w:rPr>
          <w:szCs w:val="18"/>
        </w:rPr>
        <w:t xml:space="preserve"> </w:t>
      </w:r>
      <w:r>
        <w:rPr>
          <w:szCs w:val="18"/>
        </w:rPr>
        <w:t>disminución</w:t>
      </w:r>
      <w:r w:rsidRPr="007E42D2">
        <w:rPr>
          <w:szCs w:val="18"/>
        </w:rPr>
        <w:t xml:space="preserve"> por un importe de $</w:t>
      </w:r>
      <w:r>
        <w:rPr>
          <w:szCs w:val="18"/>
        </w:rPr>
        <w:t xml:space="preserve"> 4’162,902.23</w:t>
      </w:r>
      <w:r w:rsidRPr="007E42D2">
        <w:rPr>
          <w:szCs w:val="18"/>
        </w:rPr>
        <w:t xml:space="preserve"> d</w:t>
      </w:r>
      <w:r>
        <w:rPr>
          <w:szCs w:val="18"/>
        </w:rPr>
        <w:t>ebido al gasto de remanentes de ejercicios anteriores autorizados por la Junta de Gobierno</w:t>
      </w:r>
      <w:r w:rsidRPr="007E42D2">
        <w:rPr>
          <w:szCs w:val="18"/>
        </w:rPr>
        <w:t>.</w:t>
      </w:r>
    </w:p>
    <w:p w:rsidR="00A2770A" w:rsidRPr="007E42D2" w:rsidRDefault="00A2770A" w:rsidP="00A2770A">
      <w:pPr>
        <w:pStyle w:val="INCISO"/>
        <w:spacing w:after="0" w:line="276" w:lineRule="auto"/>
        <w:ind w:left="360"/>
        <w:rPr>
          <w:b/>
        </w:rPr>
      </w:pPr>
      <w:r w:rsidRPr="007E42D2">
        <w:rPr>
          <w:b/>
          <w:smallCaps/>
        </w:rPr>
        <w:t>IV)</w:t>
      </w:r>
      <w:r w:rsidRPr="007E42D2">
        <w:rPr>
          <w:b/>
          <w:smallCaps/>
        </w:rPr>
        <w:tab/>
      </w:r>
      <w:r w:rsidRPr="007E42D2">
        <w:rPr>
          <w:b/>
          <w:smallCaps/>
        </w:rPr>
        <w:tab/>
      </w:r>
      <w:r w:rsidRPr="007E42D2">
        <w:rPr>
          <w:b/>
        </w:rPr>
        <w:t>Notas al Estado de Flujos de Efectivo</w:t>
      </w:r>
    </w:p>
    <w:p w:rsidR="00A2770A" w:rsidRPr="00F7672A" w:rsidRDefault="00A2770A" w:rsidP="00A2770A">
      <w:pPr>
        <w:pStyle w:val="Texto"/>
        <w:numPr>
          <w:ilvl w:val="0"/>
          <w:numId w:val="5"/>
        </w:numPr>
        <w:spacing w:after="80" w:line="276" w:lineRule="auto"/>
        <w:rPr>
          <w:b/>
          <w:szCs w:val="18"/>
        </w:rPr>
      </w:pPr>
      <w:r w:rsidRPr="007E42D2">
        <w:rPr>
          <w:b/>
          <w:lang w:val="es-MX"/>
        </w:rPr>
        <w:t>Análisis de los saldos inicial y final</w:t>
      </w:r>
    </w:p>
    <w:p w:rsidR="00A2770A" w:rsidRDefault="00A2770A" w:rsidP="00A2770A">
      <w:pPr>
        <w:pStyle w:val="ROMANOS"/>
        <w:spacing w:after="0" w:line="276" w:lineRule="auto"/>
        <w:ind w:left="648" w:firstLine="0"/>
        <w:rPr>
          <w:lang w:val="es-MX"/>
        </w:rPr>
      </w:pPr>
      <w:r w:rsidRPr="007E42D2">
        <w:rPr>
          <w:lang w:val="es-MX"/>
        </w:rPr>
        <w:t>En relación al efectivo se muestra un cuadro expresado en pesos, en el cual se observa la integración del efectivo y equivalentes del ITEA al inicio y al final del periodo.</w:t>
      </w:r>
    </w:p>
    <w:p w:rsidR="00A2770A" w:rsidRPr="00FA11DA" w:rsidRDefault="00A2770A" w:rsidP="00A2770A">
      <w:pPr>
        <w:pStyle w:val="Prrafodelista"/>
        <w:autoSpaceDE w:val="0"/>
        <w:autoSpaceDN w:val="0"/>
        <w:adjustRightInd w:val="0"/>
        <w:spacing w:after="0"/>
        <w:ind w:left="1008"/>
        <w:jc w:val="center"/>
        <w:rPr>
          <w:rFonts w:ascii="Arial" w:hAnsi="Arial" w:cs="Arial"/>
          <w:sz w:val="18"/>
          <w:szCs w:val="18"/>
        </w:rPr>
      </w:pPr>
      <w:r w:rsidRPr="00FA11DA">
        <w:rPr>
          <w:rFonts w:ascii="Arial" w:hAnsi="Arial" w:cs="Arial"/>
          <w:sz w:val="18"/>
          <w:szCs w:val="18"/>
        </w:rPr>
        <w:t>(Pesos)</w:t>
      </w:r>
    </w:p>
    <w:tbl>
      <w:tblPr>
        <w:tblStyle w:val="Tablaconcuadrcula"/>
        <w:tblW w:w="0" w:type="auto"/>
        <w:jc w:val="center"/>
        <w:tblInd w:w="2719" w:type="dxa"/>
        <w:shd w:val="clear" w:color="auto" w:fill="00B050"/>
        <w:tblLook w:val="04A0"/>
      </w:tblPr>
      <w:tblGrid>
        <w:gridCol w:w="5365"/>
        <w:gridCol w:w="2209"/>
        <w:gridCol w:w="2209"/>
      </w:tblGrid>
      <w:tr w:rsidR="00A2770A" w:rsidRPr="007E42D2" w:rsidTr="00285DAD">
        <w:trPr>
          <w:trHeight w:val="60"/>
          <w:jc w:val="center"/>
        </w:trPr>
        <w:tc>
          <w:tcPr>
            <w:tcW w:w="5365"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p>
        </w:tc>
        <w:tc>
          <w:tcPr>
            <w:tcW w:w="2209" w:type="dxa"/>
            <w:shd w:val="clear" w:color="auto" w:fill="00B050"/>
          </w:tcPr>
          <w:p w:rsidR="00A2770A" w:rsidRDefault="00A2770A" w:rsidP="00285DAD">
            <w:pPr>
              <w:pStyle w:val="Texto"/>
              <w:spacing w:after="0" w:line="276" w:lineRule="auto"/>
              <w:ind w:firstLine="0"/>
              <w:jc w:val="center"/>
              <w:rPr>
                <w:b/>
                <w:color w:val="FFFFFF" w:themeColor="background1"/>
                <w:szCs w:val="18"/>
                <w:lang w:val="es-MX"/>
              </w:rPr>
            </w:pPr>
            <w:r>
              <w:rPr>
                <w:b/>
                <w:color w:val="FFFFFF" w:themeColor="background1"/>
                <w:szCs w:val="18"/>
                <w:lang w:val="es-MX"/>
              </w:rPr>
              <w:t>2015</w:t>
            </w:r>
          </w:p>
        </w:tc>
        <w:tc>
          <w:tcPr>
            <w:tcW w:w="2209" w:type="dxa"/>
            <w:shd w:val="clear" w:color="auto" w:fill="00B050"/>
          </w:tcPr>
          <w:p w:rsidR="00A2770A" w:rsidRPr="007E42D2" w:rsidRDefault="00A2770A" w:rsidP="00285DAD">
            <w:pPr>
              <w:pStyle w:val="Texto"/>
              <w:spacing w:after="0" w:line="276" w:lineRule="auto"/>
              <w:ind w:firstLine="0"/>
              <w:jc w:val="center"/>
              <w:rPr>
                <w:b/>
                <w:color w:val="FFFFFF" w:themeColor="background1"/>
                <w:szCs w:val="18"/>
                <w:lang w:val="es-MX"/>
              </w:rPr>
            </w:pPr>
            <w:r>
              <w:rPr>
                <w:b/>
                <w:color w:val="FFFFFF" w:themeColor="background1"/>
                <w:szCs w:val="18"/>
                <w:lang w:val="es-MX"/>
              </w:rPr>
              <w:t>2014</w:t>
            </w:r>
          </w:p>
        </w:tc>
      </w:tr>
      <w:tr w:rsidR="00A2770A" w:rsidRPr="007E42D2" w:rsidTr="00285DAD">
        <w:trPr>
          <w:trHeight w:val="60"/>
          <w:jc w:val="center"/>
        </w:trPr>
        <w:tc>
          <w:tcPr>
            <w:tcW w:w="5365" w:type="dxa"/>
            <w:shd w:val="clear" w:color="auto" w:fill="auto"/>
          </w:tcPr>
          <w:p w:rsidR="00A2770A" w:rsidRPr="007E42D2"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Efectivo en Bancos-Tesorería</w:t>
            </w:r>
          </w:p>
        </w:tc>
        <w:tc>
          <w:tcPr>
            <w:tcW w:w="2209" w:type="dxa"/>
          </w:tcPr>
          <w:p w:rsidR="00A2770A" w:rsidRDefault="00A2770A" w:rsidP="00285DAD">
            <w:pPr>
              <w:jc w:val="right"/>
              <w:rPr>
                <w:rFonts w:ascii="Arial" w:hAnsi="Arial" w:cs="Arial"/>
                <w:sz w:val="18"/>
                <w:szCs w:val="18"/>
              </w:rPr>
            </w:pPr>
            <w:r>
              <w:rPr>
                <w:rFonts w:ascii="Arial" w:hAnsi="Arial" w:cs="Arial"/>
                <w:sz w:val="18"/>
                <w:szCs w:val="18"/>
              </w:rPr>
              <w:t>3,738,237.04</w:t>
            </w:r>
          </w:p>
        </w:tc>
        <w:tc>
          <w:tcPr>
            <w:tcW w:w="2209" w:type="dxa"/>
            <w:shd w:val="clear" w:color="auto" w:fill="auto"/>
            <w:vAlign w:val="bottom"/>
          </w:tcPr>
          <w:p w:rsidR="00A2770A" w:rsidRPr="007E42D2" w:rsidRDefault="00A2770A" w:rsidP="00285DAD">
            <w:pPr>
              <w:spacing w:line="276" w:lineRule="auto"/>
              <w:jc w:val="right"/>
              <w:rPr>
                <w:rFonts w:ascii="Arial" w:hAnsi="Arial" w:cs="Arial"/>
                <w:sz w:val="18"/>
                <w:szCs w:val="18"/>
              </w:rPr>
            </w:pPr>
            <w:r>
              <w:rPr>
                <w:rFonts w:ascii="Arial" w:hAnsi="Arial" w:cs="Arial"/>
                <w:sz w:val="18"/>
                <w:szCs w:val="18"/>
              </w:rPr>
              <w:t>9,056,320.80</w:t>
            </w:r>
          </w:p>
        </w:tc>
      </w:tr>
      <w:tr w:rsidR="00A2770A" w:rsidRPr="007E42D2" w:rsidTr="00285DAD">
        <w:trPr>
          <w:trHeight w:val="60"/>
          <w:jc w:val="center"/>
        </w:trPr>
        <w:tc>
          <w:tcPr>
            <w:tcW w:w="5365" w:type="dxa"/>
            <w:shd w:val="clear" w:color="auto" w:fill="auto"/>
          </w:tcPr>
          <w:p w:rsidR="00A2770A"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Efectivo en Bancos – Dependencias</w:t>
            </w:r>
          </w:p>
        </w:tc>
        <w:tc>
          <w:tcPr>
            <w:tcW w:w="2209" w:type="dxa"/>
          </w:tcPr>
          <w:p w:rsidR="00A2770A" w:rsidRDefault="00A2770A" w:rsidP="00285DAD">
            <w:pPr>
              <w:jc w:val="right"/>
              <w:rPr>
                <w:rFonts w:ascii="Arial" w:hAnsi="Arial" w:cs="Arial"/>
                <w:sz w:val="18"/>
                <w:szCs w:val="18"/>
              </w:rPr>
            </w:pPr>
            <w:r>
              <w:rPr>
                <w:rFonts w:ascii="Arial" w:hAnsi="Arial" w:cs="Arial"/>
                <w:sz w:val="18"/>
                <w:szCs w:val="18"/>
              </w:rPr>
              <w:t>0</w:t>
            </w:r>
          </w:p>
        </w:tc>
        <w:tc>
          <w:tcPr>
            <w:tcW w:w="2209" w:type="dxa"/>
            <w:shd w:val="clear" w:color="auto" w:fill="auto"/>
            <w:vAlign w:val="bottom"/>
          </w:tcPr>
          <w:p w:rsidR="00A2770A" w:rsidRDefault="00A2770A" w:rsidP="00285DAD">
            <w:pPr>
              <w:jc w:val="right"/>
              <w:rPr>
                <w:rFonts w:ascii="Arial" w:hAnsi="Arial" w:cs="Arial"/>
                <w:sz w:val="18"/>
                <w:szCs w:val="18"/>
              </w:rPr>
            </w:pPr>
            <w:r>
              <w:rPr>
                <w:rFonts w:ascii="Arial" w:hAnsi="Arial" w:cs="Arial"/>
                <w:sz w:val="18"/>
                <w:szCs w:val="18"/>
              </w:rPr>
              <w:t>0</w:t>
            </w:r>
          </w:p>
        </w:tc>
      </w:tr>
      <w:tr w:rsidR="00A2770A" w:rsidRPr="007E42D2" w:rsidTr="00285DAD">
        <w:trPr>
          <w:trHeight w:val="60"/>
          <w:jc w:val="center"/>
        </w:trPr>
        <w:tc>
          <w:tcPr>
            <w:tcW w:w="5365" w:type="dxa"/>
            <w:shd w:val="clear" w:color="auto" w:fill="auto"/>
          </w:tcPr>
          <w:p w:rsidR="00A2770A"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Inversiones Temporales (hasta 3 meses)</w:t>
            </w:r>
          </w:p>
        </w:tc>
        <w:tc>
          <w:tcPr>
            <w:tcW w:w="2209" w:type="dxa"/>
          </w:tcPr>
          <w:p w:rsidR="00A2770A" w:rsidRDefault="00A2770A" w:rsidP="00285DAD">
            <w:pPr>
              <w:jc w:val="right"/>
              <w:rPr>
                <w:rFonts w:ascii="Arial" w:hAnsi="Arial" w:cs="Arial"/>
                <w:sz w:val="18"/>
                <w:szCs w:val="18"/>
              </w:rPr>
            </w:pPr>
            <w:r>
              <w:rPr>
                <w:rFonts w:ascii="Arial" w:hAnsi="Arial" w:cs="Arial"/>
                <w:sz w:val="18"/>
                <w:szCs w:val="18"/>
              </w:rPr>
              <w:t>0</w:t>
            </w:r>
          </w:p>
        </w:tc>
        <w:tc>
          <w:tcPr>
            <w:tcW w:w="2209" w:type="dxa"/>
            <w:shd w:val="clear" w:color="auto" w:fill="auto"/>
            <w:vAlign w:val="bottom"/>
          </w:tcPr>
          <w:p w:rsidR="00A2770A" w:rsidRDefault="00A2770A" w:rsidP="00285DAD">
            <w:pPr>
              <w:jc w:val="right"/>
              <w:rPr>
                <w:rFonts w:ascii="Arial" w:hAnsi="Arial" w:cs="Arial"/>
                <w:sz w:val="18"/>
                <w:szCs w:val="18"/>
              </w:rPr>
            </w:pPr>
            <w:r>
              <w:rPr>
                <w:rFonts w:ascii="Arial" w:hAnsi="Arial" w:cs="Arial"/>
                <w:sz w:val="18"/>
                <w:szCs w:val="18"/>
              </w:rPr>
              <w:t>0</w:t>
            </w:r>
          </w:p>
        </w:tc>
      </w:tr>
      <w:tr w:rsidR="00A2770A" w:rsidRPr="007E42D2" w:rsidTr="00285DAD">
        <w:trPr>
          <w:trHeight w:val="60"/>
          <w:jc w:val="center"/>
        </w:trPr>
        <w:tc>
          <w:tcPr>
            <w:tcW w:w="5365" w:type="dxa"/>
            <w:shd w:val="clear" w:color="auto" w:fill="auto"/>
          </w:tcPr>
          <w:p w:rsidR="00A2770A"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Fondos con Afectación Específica</w:t>
            </w:r>
          </w:p>
        </w:tc>
        <w:tc>
          <w:tcPr>
            <w:tcW w:w="2209" w:type="dxa"/>
          </w:tcPr>
          <w:p w:rsidR="00A2770A" w:rsidRDefault="00A2770A" w:rsidP="00285DAD">
            <w:pPr>
              <w:jc w:val="right"/>
              <w:rPr>
                <w:rFonts w:ascii="Arial" w:hAnsi="Arial" w:cs="Arial"/>
                <w:sz w:val="18"/>
                <w:szCs w:val="18"/>
              </w:rPr>
            </w:pPr>
            <w:r>
              <w:rPr>
                <w:rFonts w:ascii="Arial" w:hAnsi="Arial" w:cs="Arial"/>
                <w:sz w:val="18"/>
                <w:szCs w:val="18"/>
              </w:rPr>
              <w:t>0</w:t>
            </w:r>
          </w:p>
        </w:tc>
        <w:tc>
          <w:tcPr>
            <w:tcW w:w="2209" w:type="dxa"/>
            <w:shd w:val="clear" w:color="auto" w:fill="auto"/>
            <w:vAlign w:val="bottom"/>
          </w:tcPr>
          <w:p w:rsidR="00A2770A" w:rsidRDefault="00A2770A" w:rsidP="00285DAD">
            <w:pPr>
              <w:jc w:val="right"/>
              <w:rPr>
                <w:rFonts w:ascii="Arial" w:hAnsi="Arial" w:cs="Arial"/>
                <w:sz w:val="18"/>
                <w:szCs w:val="18"/>
              </w:rPr>
            </w:pPr>
            <w:r>
              <w:rPr>
                <w:rFonts w:ascii="Arial" w:hAnsi="Arial" w:cs="Arial"/>
                <w:sz w:val="18"/>
                <w:szCs w:val="18"/>
              </w:rPr>
              <w:t>0</w:t>
            </w:r>
          </w:p>
        </w:tc>
      </w:tr>
      <w:tr w:rsidR="00A2770A" w:rsidRPr="007E42D2" w:rsidTr="00285DAD">
        <w:trPr>
          <w:trHeight w:val="60"/>
          <w:jc w:val="center"/>
        </w:trPr>
        <w:tc>
          <w:tcPr>
            <w:tcW w:w="5365" w:type="dxa"/>
            <w:shd w:val="clear" w:color="auto" w:fill="auto"/>
          </w:tcPr>
          <w:p w:rsidR="00A2770A"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Depósitos de Fondos de Terceros y Otros</w:t>
            </w:r>
          </w:p>
        </w:tc>
        <w:tc>
          <w:tcPr>
            <w:tcW w:w="2209" w:type="dxa"/>
          </w:tcPr>
          <w:p w:rsidR="00A2770A" w:rsidRDefault="00A2770A" w:rsidP="00285DAD">
            <w:pPr>
              <w:jc w:val="right"/>
              <w:rPr>
                <w:rFonts w:ascii="Arial" w:hAnsi="Arial" w:cs="Arial"/>
                <w:sz w:val="18"/>
                <w:szCs w:val="18"/>
              </w:rPr>
            </w:pPr>
            <w:r>
              <w:rPr>
                <w:rFonts w:ascii="Arial" w:hAnsi="Arial" w:cs="Arial"/>
                <w:sz w:val="18"/>
                <w:szCs w:val="18"/>
              </w:rPr>
              <w:t>0</w:t>
            </w:r>
          </w:p>
        </w:tc>
        <w:tc>
          <w:tcPr>
            <w:tcW w:w="2209" w:type="dxa"/>
            <w:shd w:val="clear" w:color="auto" w:fill="auto"/>
            <w:vAlign w:val="bottom"/>
          </w:tcPr>
          <w:p w:rsidR="00A2770A" w:rsidRDefault="00A2770A" w:rsidP="00285DAD">
            <w:pPr>
              <w:jc w:val="right"/>
              <w:rPr>
                <w:rFonts w:ascii="Arial" w:hAnsi="Arial" w:cs="Arial"/>
                <w:sz w:val="18"/>
                <w:szCs w:val="18"/>
              </w:rPr>
            </w:pPr>
            <w:r>
              <w:rPr>
                <w:rFonts w:ascii="Arial" w:hAnsi="Arial" w:cs="Arial"/>
                <w:sz w:val="18"/>
                <w:szCs w:val="18"/>
              </w:rPr>
              <w:t>0</w:t>
            </w:r>
          </w:p>
        </w:tc>
      </w:tr>
      <w:tr w:rsidR="00A2770A" w:rsidRPr="007E42D2" w:rsidTr="00285DAD">
        <w:trPr>
          <w:trHeight w:val="60"/>
          <w:jc w:val="center"/>
        </w:trPr>
        <w:tc>
          <w:tcPr>
            <w:tcW w:w="5365" w:type="dxa"/>
            <w:shd w:val="clear" w:color="auto" w:fill="auto"/>
          </w:tcPr>
          <w:p w:rsidR="00A2770A" w:rsidRDefault="00A2770A" w:rsidP="00285DAD">
            <w:pPr>
              <w:pStyle w:val="Texto"/>
              <w:spacing w:after="0" w:line="276" w:lineRule="auto"/>
              <w:ind w:firstLine="0"/>
              <w:jc w:val="left"/>
              <w:rPr>
                <w:rFonts w:eastAsiaTheme="minorHAnsi"/>
                <w:szCs w:val="18"/>
                <w:lang w:val="es-MX" w:eastAsia="en-US"/>
              </w:rPr>
            </w:pPr>
            <w:r>
              <w:rPr>
                <w:rFonts w:eastAsiaTheme="minorHAnsi"/>
                <w:szCs w:val="18"/>
                <w:lang w:val="es-MX" w:eastAsia="en-US"/>
              </w:rPr>
              <w:t>Total de Efectivos y Equivalentes</w:t>
            </w:r>
          </w:p>
        </w:tc>
        <w:tc>
          <w:tcPr>
            <w:tcW w:w="2209" w:type="dxa"/>
          </w:tcPr>
          <w:p w:rsidR="00A2770A" w:rsidRDefault="00A2770A" w:rsidP="00285DAD">
            <w:pPr>
              <w:jc w:val="right"/>
              <w:rPr>
                <w:rFonts w:ascii="Arial" w:hAnsi="Arial" w:cs="Arial"/>
                <w:sz w:val="18"/>
                <w:szCs w:val="18"/>
              </w:rPr>
            </w:pPr>
            <w:r>
              <w:rPr>
                <w:rFonts w:ascii="Arial" w:hAnsi="Arial" w:cs="Arial"/>
                <w:sz w:val="18"/>
                <w:szCs w:val="18"/>
              </w:rPr>
              <w:t>$   3,738,237.04</w:t>
            </w:r>
          </w:p>
        </w:tc>
        <w:tc>
          <w:tcPr>
            <w:tcW w:w="2209" w:type="dxa"/>
            <w:shd w:val="clear" w:color="auto" w:fill="auto"/>
            <w:vAlign w:val="bottom"/>
          </w:tcPr>
          <w:p w:rsidR="00A2770A" w:rsidRDefault="00A2770A" w:rsidP="00285DAD">
            <w:pPr>
              <w:jc w:val="right"/>
              <w:rPr>
                <w:rFonts w:ascii="Arial" w:hAnsi="Arial" w:cs="Arial"/>
                <w:sz w:val="18"/>
                <w:szCs w:val="18"/>
              </w:rPr>
            </w:pPr>
            <w:r>
              <w:rPr>
                <w:rFonts w:ascii="Arial" w:hAnsi="Arial" w:cs="Arial"/>
                <w:sz w:val="18"/>
                <w:szCs w:val="18"/>
              </w:rPr>
              <w:t>$   9,056,320.80</w:t>
            </w:r>
          </w:p>
        </w:tc>
      </w:tr>
    </w:tbl>
    <w:p w:rsidR="00A2770A" w:rsidRDefault="00A2770A" w:rsidP="00A2770A">
      <w:pPr>
        <w:pStyle w:val="ROMANOS"/>
        <w:spacing w:after="0" w:line="276" w:lineRule="auto"/>
        <w:ind w:left="648" w:firstLine="0"/>
        <w:rPr>
          <w:lang w:val="es-MX"/>
        </w:rPr>
      </w:pPr>
    </w:p>
    <w:p w:rsidR="00A2770A" w:rsidRDefault="00A2770A" w:rsidP="00A2770A">
      <w:pPr>
        <w:pStyle w:val="ROMANOS"/>
        <w:spacing w:after="0" w:line="276" w:lineRule="auto"/>
        <w:ind w:left="648" w:firstLine="0"/>
        <w:rPr>
          <w:lang w:val="es-MX"/>
        </w:rPr>
      </w:pPr>
      <w:r>
        <w:rPr>
          <w:lang w:val="es-MX"/>
        </w:rPr>
        <w:t>Se reestructuran los registros contables de los Bienes Muebles, según autorización en Acta de la XXVII Sesión Ordinaria, Primera Sesión Ordinaria 2015 de la Junta de Gobierno de este Instituto, del 19 de Febrero de 2015, por lo tanto, se disminuye el Activo Fijo (Bienes Muebles) y patrimonio por un importe de $ 10,230,430.45 debido a que dichos bienes no son propiedad del ITEA y están bajo la modalidad de Contratos en Comodato, es por ello que se reclasifican de cuentas de balance a cuentas de orden contable.</w:t>
      </w:r>
    </w:p>
    <w:p w:rsidR="00A2770A" w:rsidRDefault="00A2770A" w:rsidP="00A2770A">
      <w:pPr>
        <w:pStyle w:val="ROMANOS"/>
        <w:spacing w:after="0" w:line="276" w:lineRule="auto"/>
        <w:ind w:left="648" w:firstLine="0"/>
        <w:rPr>
          <w:lang w:val="es-MX"/>
        </w:rPr>
      </w:pPr>
      <w:r>
        <w:rPr>
          <w:lang w:val="es-MX"/>
        </w:rPr>
        <w:t>Así mismo, se registran bienes que no estaban incluidos en cuentas de activo fijo y patrimonio por importe de $ 1,557,606.00 de acuerdo a Peritaje de Valuación, $ 1,740,306.59 por donación y $ 1,405,660.00 por Traslado de Dominio incrementando el valor del activo fijo y por lo tanto del patrimonio de este Instituto por un total de $ 4,703,572.59</w:t>
      </w:r>
    </w:p>
    <w:p w:rsidR="00A2770A" w:rsidRDefault="00A2770A" w:rsidP="00A2770A">
      <w:pPr>
        <w:pStyle w:val="ROMANOS"/>
        <w:spacing w:after="0" w:line="276" w:lineRule="auto"/>
        <w:ind w:left="648" w:firstLine="0"/>
        <w:rPr>
          <w:lang w:val="es-MX"/>
        </w:rPr>
      </w:pPr>
    </w:p>
    <w:p w:rsidR="00A2770A" w:rsidRDefault="00A2770A" w:rsidP="00A2770A">
      <w:pPr>
        <w:rPr>
          <w:rFonts w:ascii="Arial" w:eastAsia="Times New Roman" w:hAnsi="Arial" w:cs="Arial"/>
          <w:sz w:val="18"/>
          <w:szCs w:val="18"/>
          <w:lang w:eastAsia="es-ES"/>
        </w:rPr>
      </w:pPr>
      <w:r>
        <w:br w:type="page"/>
      </w:r>
    </w:p>
    <w:p w:rsidR="00A2770A" w:rsidRPr="007E42D2" w:rsidRDefault="00A2770A" w:rsidP="00A2770A">
      <w:pPr>
        <w:pStyle w:val="INCISO"/>
        <w:spacing w:after="0" w:line="276" w:lineRule="auto"/>
        <w:ind w:left="360"/>
        <w:rPr>
          <w:b/>
        </w:rPr>
      </w:pPr>
      <w:r w:rsidRPr="007E42D2">
        <w:rPr>
          <w:b/>
          <w:smallCaps/>
        </w:rPr>
        <w:lastRenderedPageBreak/>
        <w:t xml:space="preserve">V) </w:t>
      </w:r>
      <w:r w:rsidRPr="007E42D2">
        <w:rPr>
          <w:b/>
          <w:smallCaps/>
        </w:rPr>
        <w:tab/>
      </w:r>
      <w:r w:rsidRPr="007E42D2">
        <w:rPr>
          <w:b/>
          <w:smallCaps/>
        </w:rPr>
        <w:tab/>
      </w:r>
      <w:r w:rsidRPr="007E42D2">
        <w:rPr>
          <w:b/>
        </w:rPr>
        <w:t xml:space="preserve">Conciliación entre los ingresos presupuestarios y contables, así como, entre los egresos </w:t>
      </w:r>
      <w:r w:rsidRPr="007E42D2">
        <w:rPr>
          <w:b/>
        </w:rPr>
        <w:tab/>
        <w:t>presupuestarios y los gastos contables</w:t>
      </w:r>
    </w:p>
    <w:p w:rsidR="00A2770A" w:rsidRPr="007E42D2" w:rsidRDefault="00A2770A" w:rsidP="00A2770A">
      <w:pPr>
        <w:pStyle w:val="Texto"/>
        <w:spacing w:after="0" w:line="276" w:lineRule="auto"/>
        <w:jc w:val="left"/>
        <w:rPr>
          <w:b/>
          <w:smallCaps/>
          <w:szCs w:val="18"/>
          <w:lang w:val="es-MX"/>
        </w:rPr>
      </w:pPr>
    </w:p>
    <w:tbl>
      <w:tblPr>
        <w:tblW w:w="8093" w:type="dxa"/>
        <w:jc w:val="center"/>
        <w:tblInd w:w="374" w:type="dxa"/>
        <w:tblCellMar>
          <w:left w:w="70" w:type="dxa"/>
          <w:right w:w="70" w:type="dxa"/>
        </w:tblCellMar>
        <w:tblLook w:val="04A0"/>
      </w:tblPr>
      <w:tblGrid>
        <w:gridCol w:w="542"/>
        <w:gridCol w:w="5425"/>
        <w:gridCol w:w="1022"/>
        <w:gridCol w:w="1292"/>
      </w:tblGrid>
      <w:tr w:rsidR="00A2770A" w:rsidRPr="007E42D2" w:rsidTr="00285DAD">
        <w:trPr>
          <w:trHeight w:val="240"/>
          <w:jc w:val="center"/>
        </w:trPr>
        <w:tc>
          <w:tcPr>
            <w:tcW w:w="8093" w:type="dxa"/>
            <w:gridSpan w:val="4"/>
            <w:tcBorders>
              <w:top w:val="single" w:sz="4" w:space="0" w:color="auto"/>
              <w:left w:val="single" w:sz="4" w:space="0" w:color="auto"/>
              <w:bottom w:val="nil"/>
              <w:right w:val="single" w:sz="4" w:space="0" w:color="000000"/>
            </w:tcBorders>
            <w:shd w:val="clear" w:color="000000" w:fill="00B050"/>
            <w:noWrap/>
            <w:vAlign w:val="center"/>
            <w:hideMark/>
          </w:tcPr>
          <w:p w:rsidR="00A2770A" w:rsidRPr="007E42D2" w:rsidRDefault="00A2770A" w:rsidP="00285DAD">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 xml:space="preserve">Instituto Tlaxcalteca para la Educación de los Adultos </w:t>
            </w:r>
          </w:p>
        </w:tc>
      </w:tr>
      <w:tr w:rsidR="00A2770A" w:rsidRPr="007E42D2" w:rsidTr="00285DAD">
        <w:trPr>
          <w:trHeight w:val="240"/>
          <w:jc w:val="center"/>
        </w:trPr>
        <w:tc>
          <w:tcPr>
            <w:tcW w:w="8093" w:type="dxa"/>
            <w:gridSpan w:val="4"/>
            <w:tcBorders>
              <w:top w:val="nil"/>
              <w:left w:val="single" w:sz="4" w:space="0" w:color="auto"/>
              <w:bottom w:val="nil"/>
              <w:right w:val="single" w:sz="4" w:space="0" w:color="000000"/>
            </w:tcBorders>
            <w:shd w:val="clear" w:color="000000" w:fill="00B050"/>
            <w:vAlign w:val="center"/>
            <w:hideMark/>
          </w:tcPr>
          <w:p w:rsidR="00A2770A" w:rsidRPr="007E42D2" w:rsidRDefault="00A2770A" w:rsidP="00285DAD">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Conciliación entre los Ingresos Presupuestarios y Contables</w:t>
            </w:r>
          </w:p>
        </w:tc>
      </w:tr>
      <w:tr w:rsidR="00A2770A" w:rsidRPr="007E42D2" w:rsidTr="00285DAD">
        <w:trPr>
          <w:trHeight w:val="240"/>
          <w:jc w:val="center"/>
        </w:trPr>
        <w:tc>
          <w:tcPr>
            <w:tcW w:w="8093" w:type="dxa"/>
            <w:gridSpan w:val="4"/>
            <w:tcBorders>
              <w:top w:val="nil"/>
              <w:left w:val="single" w:sz="4" w:space="0" w:color="auto"/>
              <w:bottom w:val="nil"/>
              <w:right w:val="single" w:sz="4" w:space="0" w:color="000000"/>
            </w:tcBorders>
            <w:shd w:val="clear" w:color="000000" w:fill="00B050"/>
            <w:noWrap/>
            <w:vAlign w:val="center"/>
            <w:hideMark/>
          </w:tcPr>
          <w:p w:rsidR="00A2770A" w:rsidRPr="007E42D2" w:rsidRDefault="00A2770A" w:rsidP="00285DAD">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Correspondiente del 01 de enero al 3</w:t>
            </w:r>
            <w:r>
              <w:rPr>
                <w:rFonts w:ascii="Arial" w:eastAsia="Times New Roman" w:hAnsi="Arial" w:cs="Arial"/>
                <w:b/>
                <w:bCs/>
                <w:color w:val="000000"/>
                <w:sz w:val="18"/>
                <w:szCs w:val="18"/>
                <w:lang w:eastAsia="es-MX"/>
              </w:rPr>
              <w:t>1</w:t>
            </w:r>
            <w:r w:rsidRPr="007E42D2">
              <w:rPr>
                <w:rFonts w:ascii="Arial" w:eastAsia="Times New Roman" w:hAnsi="Arial" w:cs="Arial"/>
                <w:b/>
                <w:bCs/>
                <w:color w:val="000000"/>
                <w:sz w:val="18"/>
                <w:szCs w:val="18"/>
                <w:lang w:eastAsia="es-MX"/>
              </w:rPr>
              <w:t xml:space="preserve"> de </w:t>
            </w:r>
            <w:r>
              <w:rPr>
                <w:rFonts w:ascii="Arial" w:eastAsia="Times New Roman" w:hAnsi="Arial" w:cs="Arial"/>
                <w:b/>
                <w:bCs/>
                <w:color w:val="000000"/>
                <w:sz w:val="18"/>
                <w:szCs w:val="18"/>
                <w:lang w:eastAsia="es-MX"/>
              </w:rPr>
              <w:t>Diciembre</w:t>
            </w:r>
            <w:r w:rsidRPr="007E42D2">
              <w:rPr>
                <w:rFonts w:ascii="Arial" w:eastAsia="Times New Roman" w:hAnsi="Arial" w:cs="Arial"/>
                <w:b/>
                <w:bCs/>
                <w:color w:val="000000"/>
                <w:sz w:val="18"/>
                <w:szCs w:val="18"/>
                <w:lang w:eastAsia="es-MX"/>
              </w:rPr>
              <w:t xml:space="preserve"> de 201</w:t>
            </w:r>
            <w:r>
              <w:rPr>
                <w:rFonts w:ascii="Arial" w:eastAsia="Times New Roman" w:hAnsi="Arial" w:cs="Arial"/>
                <w:b/>
                <w:bCs/>
                <w:color w:val="000000"/>
                <w:sz w:val="18"/>
                <w:szCs w:val="18"/>
                <w:lang w:eastAsia="es-MX"/>
              </w:rPr>
              <w:t>5</w:t>
            </w:r>
          </w:p>
        </w:tc>
      </w:tr>
      <w:tr w:rsidR="00A2770A" w:rsidRPr="007E42D2" w:rsidTr="00285DAD">
        <w:trPr>
          <w:trHeight w:val="240"/>
          <w:jc w:val="center"/>
        </w:trPr>
        <w:tc>
          <w:tcPr>
            <w:tcW w:w="8093" w:type="dxa"/>
            <w:gridSpan w:val="4"/>
            <w:tcBorders>
              <w:top w:val="nil"/>
              <w:left w:val="single" w:sz="4" w:space="0" w:color="auto"/>
              <w:bottom w:val="single" w:sz="4" w:space="0" w:color="auto"/>
              <w:right w:val="single" w:sz="4" w:space="0" w:color="000000"/>
            </w:tcBorders>
            <w:shd w:val="clear" w:color="000000" w:fill="00B050"/>
            <w:noWrap/>
            <w:vAlign w:val="center"/>
            <w:hideMark/>
          </w:tcPr>
          <w:p w:rsidR="00A2770A" w:rsidRPr="007E42D2" w:rsidRDefault="00A2770A" w:rsidP="00285DAD">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(Cifras en pesos)</w:t>
            </w: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A2770A" w:rsidRPr="007E42D2" w:rsidRDefault="00A2770A" w:rsidP="00285DAD">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1. Ingresos Presupuestarios</w:t>
            </w:r>
          </w:p>
        </w:tc>
        <w:tc>
          <w:tcPr>
            <w:tcW w:w="102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c>
          <w:tcPr>
            <w:tcW w:w="1104" w:type="dxa"/>
            <w:tcBorders>
              <w:top w:val="nil"/>
              <w:left w:val="single" w:sz="4" w:space="0" w:color="auto"/>
              <w:bottom w:val="single" w:sz="4" w:space="0" w:color="auto"/>
              <w:right w:val="single" w:sz="4" w:space="0" w:color="auto"/>
            </w:tcBorders>
            <w:shd w:val="clear" w:color="000000" w:fill="00B050"/>
            <w:noWrap/>
            <w:vAlign w:val="center"/>
            <w:hideMark/>
          </w:tcPr>
          <w:p w:rsidR="00A2770A" w:rsidRPr="007E42D2" w:rsidRDefault="00A2770A" w:rsidP="00285DAD">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61,605,933.59</w:t>
            </w:r>
          </w:p>
        </w:tc>
      </w:tr>
      <w:tr w:rsidR="00A2770A" w:rsidRPr="007E42D2" w:rsidTr="00285DAD">
        <w:trPr>
          <w:trHeight w:val="240"/>
          <w:jc w:val="center"/>
        </w:trPr>
        <w:tc>
          <w:tcPr>
            <w:tcW w:w="5967" w:type="dxa"/>
            <w:gridSpan w:val="2"/>
            <w:tcBorders>
              <w:top w:val="nil"/>
              <w:left w:val="nil"/>
              <w:bottom w:val="nil"/>
              <w:right w:val="nil"/>
            </w:tcBorders>
            <w:shd w:val="clear" w:color="auto" w:fill="auto"/>
            <w:noWrap/>
            <w:vAlign w:val="bottom"/>
            <w:hideMark/>
          </w:tcPr>
          <w:p w:rsidR="00A2770A" w:rsidRPr="007E42D2" w:rsidRDefault="00A2770A" w:rsidP="00285DAD">
            <w:pPr>
              <w:spacing w:after="0"/>
              <w:rPr>
                <w:rFonts w:ascii="Arial" w:eastAsia="Times New Roman" w:hAnsi="Arial" w:cs="Arial"/>
                <w:color w:val="000000"/>
                <w:sz w:val="18"/>
                <w:szCs w:val="18"/>
                <w:lang w:eastAsia="es-MX"/>
              </w:rPr>
            </w:pPr>
          </w:p>
        </w:tc>
        <w:tc>
          <w:tcPr>
            <w:tcW w:w="102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c>
          <w:tcPr>
            <w:tcW w:w="1104"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0A" w:rsidRPr="007E42D2" w:rsidRDefault="00A2770A" w:rsidP="00285DAD">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2. Más ingresos contables no presupuestarios</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r>
      <w:tr w:rsidR="00A2770A" w:rsidRPr="007E42D2" w:rsidTr="00285DAD">
        <w:trPr>
          <w:trHeight w:val="240"/>
          <w:jc w:val="center"/>
        </w:trPr>
        <w:tc>
          <w:tcPr>
            <w:tcW w:w="542" w:type="dxa"/>
            <w:tcBorders>
              <w:top w:val="nil"/>
              <w:left w:val="single" w:sz="4" w:space="0" w:color="auto"/>
              <w:bottom w:val="single" w:sz="4" w:space="0" w:color="auto"/>
              <w:right w:val="nil"/>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Incremento por variación de inventarios</w:t>
            </w:r>
          </w:p>
        </w:tc>
        <w:tc>
          <w:tcPr>
            <w:tcW w:w="102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96"/>
          <w:jc w:val="center"/>
        </w:trPr>
        <w:tc>
          <w:tcPr>
            <w:tcW w:w="542" w:type="dxa"/>
            <w:tcBorders>
              <w:top w:val="nil"/>
              <w:left w:val="single" w:sz="4" w:space="0" w:color="auto"/>
              <w:bottom w:val="single" w:sz="4" w:space="0" w:color="auto"/>
              <w:right w:val="nil"/>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Disminución del exceso de estimaciones por pérdida o deterioro u obsolescencia</w:t>
            </w:r>
          </w:p>
        </w:tc>
        <w:tc>
          <w:tcPr>
            <w:tcW w:w="102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42" w:type="dxa"/>
            <w:tcBorders>
              <w:top w:val="nil"/>
              <w:left w:val="single" w:sz="4" w:space="0" w:color="auto"/>
              <w:bottom w:val="single" w:sz="4" w:space="0" w:color="auto"/>
              <w:right w:val="nil"/>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Disminución del exceso de provisiones</w:t>
            </w:r>
          </w:p>
        </w:tc>
        <w:tc>
          <w:tcPr>
            <w:tcW w:w="102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42" w:type="dxa"/>
            <w:tcBorders>
              <w:top w:val="nil"/>
              <w:left w:val="single" w:sz="4" w:space="0" w:color="auto"/>
              <w:bottom w:val="single" w:sz="4" w:space="0" w:color="auto"/>
              <w:right w:val="nil"/>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ingresos y beneficios varios</w:t>
            </w:r>
          </w:p>
        </w:tc>
        <w:tc>
          <w:tcPr>
            <w:tcW w:w="102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18,791.38</w:t>
            </w: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ingresos contables no presupuestarios</w:t>
            </w:r>
          </w:p>
        </w:tc>
        <w:tc>
          <w:tcPr>
            <w:tcW w:w="102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nil"/>
              <w:left w:val="nil"/>
              <w:bottom w:val="nil"/>
              <w:right w:val="nil"/>
            </w:tcBorders>
            <w:shd w:val="clear" w:color="auto" w:fill="auto"/>
            <w:noWrap/>
            <w:vAlign w:val="bottom"/>
            <w:hideMark/>
          </w:tcPr>
          <w:p w:rsidR="00A2770A" w:rsidRPr="007E42D2" w:rsidRDefault="00A2770A" w:rsidP="00285DAD">
            <w:pPr>
              <w:spacing w:after="0"/>
              <w:rPr>
                <w:rFonts w:ascii="Arial" w:eastAsia="Times New Roman" w:hAnsi="Arial" w:cs="Arial"/>
                <w:color w:val="000000"/>
                <w:sz w:val="18"/>
                <w:szCs w:val="18"/>
                <w:lang w:eastAsia="es-MX"/>
              </w:rPr>
            </w:pPr>
          </w:p>
        </w:tc>
        <w:tc>
          <w:tcPr>
            <w:tcW w:w="102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c>
          <w:tcPr>
            <w:tcW w:w="1104"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70A" w:rsidRPr="007E42D2" w:rsidRDefault="00A2770A" w:rsidP="00285DAD">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3. Menos ingresos presupuestarios no contables</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r>
      <w:tr w:rsidR="00A2770A" w:rsidRPr="007E42D2" w:rsidTr="00285DAD">
        <w:trPr>
          <w:trHeight w:val="240"/>
          <w:jc w:val="center"/>
        </w:trPr>
        <w:tc>
          <w:tcPr>
            <w:tcW w:w="542"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Productos de capital</w:t>
            </w:r>
          </w:p>
        </w:tc>
        <w:tc>
          <w:tcPr>
            <w:tcW w:w="102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42"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Aprovechamientos capital</w:t>
            </w:r>
          </w:p>
        </w:tc>
        <w:tc>
          <w:tcPr>
            <w:tcW w:w="102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42"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Ingresos derivados de financiamientos</w:t>
            </w:r>
          </w:p>
        </w:tc>
        <w:tc>
          <w:tcPr>
            <w:tcW w:w="102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Ingresos presupuestarios no contables</w:t>
            </w:r>
          </w:p>
        </w:tc>
        <w:tc>
          <w:tcPr>
            <w:tcW w:w="102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nil"/>
              <w:left w:val="nil"/>
              <w:bottom w:val="nil"/>
              <w:right w:val="nil"/>
            </w:tcBorders>
            <w:shd w:val="clear" w:color="auto" w:fill="auto"/>
            <w:noWrap/>
            <w:vAlign w:val="bottom"/>
            <w:hideMark/>
          </w:tcPr>
          <w:p w:rsidR="00A2770A" w:rsidRPr="007E42D2" w:rsidRDefault="00A2770A" w:rsidP="00285DAD">
            <w:pPr>
              <w:spacing w:after="0"/>
              <w:rPr>
                <w:rFonts w:ascii="Arial" w:eastAsia="Times New Roman" w:hAnsi="Arial" w:cs="Arial"/>
                <w:color w:val="000000"/>
                <w:sz w:val="18"/>
                <w:szCs w:val="18"/>
                <w:lang w:eastAsia="es-MX"/>
              </w:rPr>
            </w:pPr>
          </w:p>
        </w:tc>
        <w:tc>
          <w:tcPr>
            <w:tcW w:w="102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c>
          <w:tcPr>
            <w:tcW w:w="1104"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A2770A" w:rsidRPr="007E42D2" w:rsidRDefault="00A2770A" w:rsidP="00285DAD">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4. Ingresos Contables (4 = 1 + 2 - 3)</w:t>
            </w:r>
          </w:p>
        </w:tc>
        <w:tc>
          <w:tcPr>
            <w:tcW w:w="102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c>
          <w:tcPr>
            <w:tcW w:w="110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A2770A" w:rsidRPr="007E42D2" w:rsidRDefault="00A2770A" w:rsidP="00285DAD">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61,624,724.97</w:t>
            </w:r>
          </w:p>
        </w:tc>
      </w:tr>
    </w:tbl>
    <w:p w:rsidR="00A2770A" w:rsidRPr="007E42D2" w:rsidRDefault="00A2770A" w:rsidP="00A2770A">
      <w:pPr>
        <w:pStyle w:val="Texto"/>
        <w:spacing w:after="0" w:line="276" w:lineRule="auto"/>
        <w:jc w:val="left"/>
        <w:rPr>
          <w:b/>
          <w:smallCaps/>
          <w:szCs w:val="18"/>
          <w:lang w:val="es-MX"/>
        </w:rPr>
      </w:pPr>
    </w:p>
    <w:p w:rsidR="00A2770A" w:rsidRDefault="00A2770A" w:rsidP="00A2770A">
      <w:pPr>
        <w:rPr>
          <w:rFonts w:ascii="Arial" w:eastAsia="Times New Roman" w:hAnsi="Arial" w:cs="Arial"/>
          <w:b/>
          <w:smallCaps/>
          <w:sz w:val="18"/>
          <w:szCs w:val="18"/>
          <w:lang w:eastAsia="es-ES"/>
        </w:rPr>
      </w:pPr>
      <w:r>
        <w:rPr>
          <w:b/>
          <w:smallCaps/>
          <w:szCs w:val="18"/>
        </w:rPr>
        <w:br w:type="page"/>
      </w:r>
    </w:p>
    <w:p w:rsidR="00A2770A" w:rsidRPr="007E42D2" w:rsidRDefault="00A2770A" w:rsidP="00A2770A">
      <w:pPr>
        <w:pStyle w:val="Texto"/>
        <w:spacing w:after="0" w:line="276" w:lineRule="auto"/>
        <w:jc w:val="left"/>
        <w:rPr>
          <w:b/>
          <w:smallCaps/>
          <w:szCs w:val="18"/>
          <w:lang w:val="es-MX"/>
        </w:rPr>
      </w:pPr>
    </w:p>
    <w:tbl>
      <w:tblPr>
        <w:tblW w:w="8831" w:type="dxa"/>
        <w:jc w:val="center"/>
        <w:tblInd w:w="57" w:type="dxa"/>
        <w:tblLayout w:type="fixed"/>
        <w:tblCellMar>
          <w:left w:w="70" w:type="dxa"/>
          <w:right w:w="70" w:type="dxa"/>
        </w:tblCellMar>
        <w:tblLook w:val="04A0"/>
      </w:tblPr>
      <w:tblGrid>
        <w:gridCol w:w="307"/>
        <w:gridCol w:w="5660"/>
        <w:gridCol w:w="992"/>
        <w:gridCol w:w="1872"/>
      </w:tblGrid>
      <w:tr w:rsidR="00A2770A" w:rsidRPr="007E42D2" w:rsidTr="00285DAD">
        <w:trPr>
          <w:trHeight w:val="240"/>
          <w:jc w:val="center"/>
        </w:trPr>
        <w:tc>
          <w:tcPr>
            <w:tcW w:w="8831" w:type="dxa"/>
            <w:gridSpan w:val="4"/>
            <w:tcBorders>
              <w:top w:val="single" w:sz="4" w:space="0" w:color="auto"/>
              <w:left w:val="single" w:sz="4" w:space="0" w:color="auto"/>
              <w:bottom w:val="nil"/>
              <w:right w:val="single" w:sz="4" w:space="0" w:color="000000"/>
            </w:tcBorders>
            <w:shd w:val="clear" w:color="000000" w:fill="00B050"/>
            <w:noWrap/>
            <w:vAlign w:val="center"/>
            <w:hideMark/>
          </w:tcPr>
          <w:p w:rsidR="00A2770A" w:rsidRPr="007E42D2" w:rsidRDefault="00A2770A" w:rsidP="00285DAD">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 xml:space="preserve">Instituto Tlaxcalteca para la Educación de los Adultos </w:t>
            </w:r>
          </w:p>
        </w:tc>
      </w:tr>
      <w:tr w:rsidR="00A2770A" w:rsidRPr="007E42D2" w:rsidTr="00285DAD">
        <w:trPr>
          <w:trHeight w:val="240"/>
          <w:jc w:val="center"/>
        </w:trPr>
        <w:tc>
          <w:tcPr>
            <w:tcW w:w="8831" w:type="dxa"/>
            <w:gridSpan w:val="4"/>
            <w:tcBorders>
              <w:top w:val="nil"/>
              <w:left w:val="single" w:sz="4" w:space="0" w:color="auto"/>
              <w:bottom w:val="nil"/>
              <w:right w:val="single" w:sz="4" w:space="0" w:color="000000"/>
            </w:tcBorders>
            <w:shd w:val="clear" w:color="000000" w:fill="00B050"/>
            <w:vAlign w:val="center"/>
            <w:hideMark/>
          </w:tcPr>
          <w:p w:rsidR="00A2770A" w:rsidRPr="007E42D2" w:rsidRDefault="00A2770A" w:rsidP="00285DAD">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Conciliación entre los Egresos Presupuestarios y los Gastos Contables</w:t>
            </w:r>
          </w:p>
        </w:tc>
      </w:tr>
      <w:tr w:rsidR="00A2770A" w:rsidRPr="007E42D2" w:rsidTr="00285DAD">
        <w:trPr>
          <w:trHeight w:val="240"/>
          <w:jc w:val="center"/>
        </w:trPr>
        <w:tc>
          <w:tcPr>
            <w:tcW w:w="8831" w:type="dxa"/>
            <w:gridSpan w:val="4"/>
            <w:tcBorders>
              <w:top w:val="nil"/>
              <w:left w:val="single" w:sz="4" w:space="0" w:color="auto"/>
              <w:bottom w:val="single" w:sz="4" w:space="0" w:color="auto"/>
              <w:right w:val="single" w:sz="4" w:space="0" w:color="000000"/>
            </w:tcBorders>
            <w:shd w:val="clear" w:color="000000" w:fill="00B050"/>
            <w:noWrap/>
            <w:vAlign w:val="center"/>
            <w:hideMark/>
          </w:tcPr>
          <w:p w:rsidR="00A2770A" w:rsidRPr="007E42D2" w:rsidRDefault="00A2770A" w:rsidP="00285DAD">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Correspondiente del 01 de enero al 3</w:t>
            </w:r>
            <w:r>
              <w:rPr>
                <w:rFonts w:ascii="Arial" w:eastAsia="Times New Roman" w:hAnsi="Arial" w:cs="Arial"/>
                <w:b/>
                <w:bCs/>
                <w:color w:val="000000"/>
                <w:sz w:val="18"/>
                <w:szCs w:val="18"/>
                <w:lang w:eastAsia="es-MX"/>
              </w:rPr>
              <w:t>1</w:t>
            </w:r>
            <w:r w:rsidRPr="007E42D2">
              <w:rPr>
                <w:rFonts w:ascii="Arial" w:eastAsia="Times New Roman" w:hAnsi="Arial" w:cs="Arial"/>
                <w:b/>
                <w:bCs/>
                <w:color w:val="000000"/>
                <w:sz w:val="18"/>
                <w:szCs w:val="18"/>
                <w:lang w:eastAsia="es-MX"/>
              </w:rPr>
              <w:t xml:space="preserve"> de </w:t>
            </w:r>
            <w:r>
              <w:rPr>
                <w:rFonts w:ascii="Arial" w:eastAsia="Times New Roman" w:hAnsi="Arial" w:cs="Arial"/>
                <w:b/>
                <w:bCs/>
                <w:color w:val="000000"/>
                <w:sz w:val="18"/>
                <w:szCs w:val="18"/>
                <w:lang w:eastAsia="es-MX"/>
              </w:rPr>
              <w:t>Diciembre</w:t>
            </w:r>
            <w:r w:rsidRPr="007E42D2">
              <w:rPr>
                <w:rFonts w:ascii="Arial" w:eastAsia="Times New Roman" w:hAnsi="Arial" w:cs="Arial"/>
                <w:b/>
                <w:bCs/>
                <w:color w:val="000000"/>
                <w:sz w:val="18"/>
                <w:szCs w:val="18"/>
                <w:lang w:eastAsia="es-MX"/>
              </w:rPr>
              <w:t xml:space="preserve"> de 201</w:t>
            </w:r>
            <w:r>
              <w:rPr>
                <w:rFonts w:ascii="Arial" w:eastAsia="Times New Roman" w:hAnsi="Arial" w:cs="Arial"/>
                <w:b/>
                <w:bCs/>
                <w:color w:val="000000"/>
                <w:sz w:val="18"/>
                <w:szCs w:val="18"/>
                <w:lang w:eastAsia="es-MX"/>
              </w:rPr>
              <w:t>5</w:t>
            </w: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A2770A" w:rsidRPr="007E42D2" w:rsidRDefault="00A2770A" w:rsidP="00285DAD">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1. Total de egresos (presupuestarios)</w:t>
            </w:r>
          </w:p>
        </w:tc>
        <w:tc>
          <w:tcPr>
            <w:tcW w:w="99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c>
          <w:tcPr>
            <w:tcW w:w="1872" w:type="dxa"/>
            <w:tcBorders>
              <w:top w:val="nil"/>
              <w:left w:val="single" w:sz="4" w:space="0" w:color="auto"/>
              <w:bottom w:val="single" w:sz="4" w:space="0" w:color="auto"/>
              <w:right w:val="single" w:sz="4" w:space="0" w:color="auto"/>
            </w:tcBorders>
            <w:shd w:val="clear" w:color="000000" w:fill="00B050"/>
            <w:noWrap/>
            <w:vAlign w:val="center"/>
            <w:hideMark/>
          </w:tcPr>
          <w:p w:rsidR="00A2770A" w:rsidRPr="007E42D2" w:rsidRDefault="00A2770A" w:rsidP="00285DAD">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61,605,933.59</w:t>
            </w:r>
          </w:p>
        </w:tc>
      </w:tr>
      <w:tr w:rsidR="00A2770A" w:rsidRPr="007E42D2" w:rsidTr="00285DAD">
        <w:trPr>
          <w:trHeight w:val="240"/>
          <w:jc w:val="center"/>
        </w:trPr>
        <w:tc>
          <w:tcPr>
            <w:tcW w:w="5967" w:type="dxa"/>
            <w:gridSpan w:val="2"/>
            <w:tcBorders>
              <w:top w:val="nil"/>
              <w:left w:val="nil"/>
              <w:bottom w:val="nil"/>
              <w:right w:val="nil"/>
            </w:tcBorders>
            <w:shd w:val="clear" w:color="auto" w:fill="auto"/>
            <w:noWrap/>
            <w:vAlign w:val="bottom"/>
            <w:hideMark/>
          </w:tcPr>
          <w:p w:rsidR="00A2770A" w:rsidRPr="007E42D2" w:rsidRDefault="00A2770A" w:rsidP="00285DAD">
            <w:pPr>
              <w:spacing w:after="0"/>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c>
          <w:tcPr>
            <w:tcW w:w="187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0A" w:rsidRPr="007E42D2" w:rsidRDefault="00A2770A" w:rsidP="00285DAD">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2. Menos egresos presupuestarios no contables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0</w:t>
            </w: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Mobiliario y equipo de administración</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Mobiliario y equipo educacional y recreativo</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Equipo e instrumental médico y de laboratorio</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Vehículos y equipo de transporte</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Equipo de defensa y seguridad</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Maquinaria, otros equipos y herramientas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Activos biológicos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Bienes inmuebles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Activos intangibles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Obra pública en bienes propios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Acciones y participaciones de capital</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Compra de títulos y valores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Inversiones en fideicomisos, mandatos y otros análogos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Provisiones para contingencias y otras erogaciones especiales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Amortización de la deuda publica</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Adeudos de ejercicios fiscales anteriores (ADEFAS)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Egresos Presupuestales No Contables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nil"/>
              <w:left w:val="nil"/>
              <w:bottom w:val="nil"/>
              <w:right w:val="nil"/>
            </w:tcBorders>
            <w:shd w:val="clear" w:color="auto" w:fill="auto"/>
            <w:noWrap/>
            <w:vAlign w:val="bottom"/>
            <w:hideMark/>
          </w:tcPr>
          <w:p w:rsidR="00A2770A" w:rsidRPr="007E42D2" w:rsidRDefault="00A2770A" w:rsidP="00285DAD">
            <w:pPr>
              <w:spacing w:after="0"/>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c>
          <w:tcPr>
            <w:tcW w:w="187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0A" w:rsidRPr="007E42D2" w:rsidRDefault="00A2770A" w:rsidP="00285DAD">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3. Más Gasto Contables No Presupuestales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0</w:t>
            </w: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Estimaciones, depreciaciones, deterioros, obsolescencia y amortizaciones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Provisiones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2,047,409.05</w:t>
            </w: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Disminución de inventarios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55"/>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Aumento por insuficiencia de estimaciones por pérdida o deterioro u obsolescencia</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Aumento por insuficiencia de provisiones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Gastos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70A" w:rsidRPr="007E42D2" w:rsidRDefault="00A2770A" w:rsidP="00285DAD">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Gastos Contables No Presupuestales</w:t>
            </w:r>
          </w:p>
        </w:tc>
        <w:tc>
          <w:tcPr>
            <w:tcW w:w="992" w:type="dxa"/>
            <w:tcBorders>
              <w:top w:val="nil"/>
              <w:left w:val="nil"/>
              <w:bottom w:val="single" w:sz="4" w:space="0" w:color="auto"/>
              <w:right w:val="single" w:sz="4" w:space="0" w:color="auto"/>
            </w:tcBorders>
            <w:shd w:val="clear" w:color="auto" w:fill="auto"/>
            <w:noWrap/>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872" w:type="dxa"/>
            <w:tcBorders>
              <w:top w:val="nil"/>
              <w:left w:val="nil"/>
              <w:bottom w:val="nil"/>
              <w:right w:val="nil"/>
            </w:tcBorders>
            <w:shd w:val="clear" w:color="auto" w:fill="auto"/>
            <w:vAlign w:val="center"/>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nil"/>
              <w:left w:val="nil"/>
              <w:bottom w:val="nil"/>
              <w:right w:val="nil"/>
            </w:tcBorders>
            <w:shd w:val="clear" w:color="auto" w:fill="auto"/>
            <w:noWrap/>
            <w:vAlign w:val="bottom"/>
            <w:hideMark/>
          </w:tcPr>
          <w:p w:rsidR="00A2770A" w:rsidRPr="007E42D2" w:rsidRDefault="00A2770A" w:rsidP="00285DAD">
            <w:pPr>
              <w:spacing w:after="0"/>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c>
          <w:tcPr>
            <w:tcW w:w="187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r>
      <w:tr w:rsidR="00A2770A" w:rsidRPr="007E42D2" w:rsidTr="00285DAD">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A2770A" w:rsidRPr="007E42D2" w:rsidRDefault="00A2770A" w:rsidP="00285DAD">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4. Total de Gasto Contable (4 = 1 - 2 + 3)</w:t>
            </w:r>
          </w:p>
        </w:tc>
        <w:tc>
          <w:tcPr>
            <w:tcW w:w="992" w:type="dxa"/>
            <w:tcBorders>
              <w:top w:val="nil"/>
              <w:left w:val="nil"/>
              <w:bottom w:val="nil"/>
              <w:right w:val="nil"/>
            </w:tcBorders>
            <w:shd w:val="clear" w:color="auto" w:fill="auto"/>
            <w:noWrap/>
            <w:vAlign w:val="bottom"/>
            <w:hideMark/>
          </w:tcPr>
          <w:p w:rsidR="00A2770A" w:rsidRPr="007E42D2" w:rsidRDefault="00A2770A" w:rsidP="00285DAD">
            <w:pPr>
              <w:spacing w:after="0"/>
              <w:jc w:val="right"/>
              <w:rPr>
                <w:rFonts w:ascii="Arial" w:eastAsia="Times New Roman" w:hAnsi="Arial" w:cs="Arial"/>
                <w:color w:val="000000"/>
                <w:sz w:val="18"/>
                <w:szCs w:val="18"/>
                <w:lang w:eastAsia="es-MX"/>
              </w:rPr>
            </w:pPr>
          </w:p>
        </w:tc>
        <w:tc>
          <w:tcPr>
            <w:tcW w:w="1872"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A2770A" w:rsidRPr="007E42D2" w:rsidRDefault="00A2770A" w:rsidP="00285DAD">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63,653,342.64</w:t>
            </w:r>
          </w:p>
        </w:tc>
      </w:tr>
    </w:tbl>
    <w:p w:rsidR="00A2770A" w:rsidRPr="00A77C83" w:rsidRDefault="00A2770A" w:rsidP="00A2770A">
      <w:pPr>
        <w:pStyle w:val="Texto"/>
        <w:spacing w:after="0" w:line="276" w:lineRule="auto"/>
        <w:ind w:firstLine="0"/>
        <w:jc w:val="center"/>
        <w:rPr>
          <w:rFonts w:ascii="Soberana Sans Light" w:hAnsi="Soberana Sans Light"/>
          <w:b/>
          <w:sz w:val="10"/>
          <w:szCs w:val="10"/>
        </w:rPr>
      </w:pPr>
    </w:p>
    <w:p w:rsidR="00A2770A" w:rsidRDefault="00A2770A" w:rsidP="00A2770A">
      <w:pPr>
        <w:pStyle w:val="Texto"/>
        <w:spacing w:after="0" w:line="276" w:lineRule="auto"/>
        <w:ind w:firstLine="0"/>
        <w:jc w:val="center"/>
        <w:rPr>
          <w:b/>
          <w:szCs w:val="18"/>
          <w:lang w:val="es-MX"/>
        </w:rPr>
      </w:pPr>
      <w:r w:rsidRPr="00540418">
        <w:rPr>
          <w:rFonts w:ascii="Soberana Sans Light" w:hAnsi="Soberana Sans Light"/>
          <w:b/>
          <w:sz w:val="22"/>
          <w:szCs w:val="22"/>
        </w:rPr>
        <w:lastRenderedPageBreak/>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r w:rsidRPr="00F522C0">
        <w:rPr>
          <w:b/>
          <w:szCs w:val="18"/>
          <w:lang w:val="es-MX"/>
        </w:rPr>
        <w:t>.</w:t>
      </w:r>
    </w:p>
    <w:p w:rsidR="00A2770A" w:rsidRDefault="00A2770A" w:rsidP="00A2770A">
      <w:pPr>
        <w:pStyle w:val="Texto"/>
        <w:spacing w:after="0" w:line="276" w:lineRule="auto"/>
        <w:ind w:firstLine="0"/>
        <w:rPr>
          <w:rFonts w:eastAsiaTheme="minorHAnsi"/>
          <w:color w:val="000000"/>
          <w:szCs w:val="18"/>
          <w:lang w:val="es-MX" w:eastAsia="en-US"/>
        </w:rPr>
      </w:pPr>
    </w:p>
    <w:p w:rsidR="00A2770A" w:rsidRPr="0061609B" w:rsidRDefault="00A2770A" w:rsidP="00A2770A">
      <w:pPr>
        <w:pStyle w:val="Texto"/>
        <w:spacing w:after="0" w:line="276" w:lineRule="auto"/>
        <w:ind w:firstLine="0"/>
        <w:rPr>
          <w:rFonts w:eastAsiaTheme="minorHAnsi"/>
          <w:color w:val="000000"/>
          <w:szCs w:val="18"/>
          <w:lang w:val="es-MX" w:eastAsia="en-US"/>
        </w:rPr>
      </w:pPr>
      <w:r>
        <w:rPr>
          <w:rFonts w:eastAsiaTheme="minorHAnsi"/>
          <w:color w:val="000000"/>
          <w:szCs w:val="18"/>
          <w:lang w:val="es-MX" w:eastAsia="en-US"/>
        </w:rPr>
        <w:t>En este ejercicio se registran en cuentas de orden contable los Bienes Muebles que el Instituto tiene bajo Contratos de Comodato por un importe de $ 10’230,430.</w:t>
      </w:r>
    </w:p>
    <w:p w:rsidR="00A2770A" w:rsidRDefault="00A2770A" w:rsidP="00A2770A">
      <w:pPr>
        <w:pStyle w:val="Texto"/>
        <w:spacing w:after="0" w:line="276" w:lineRule="auto"/>
        <w:ind w:firstLine="0"/>
        <w:jc w:val="center"/>
        <w:rPr>
          <w:rFonts w:ascii="Soberana Sans Light" w:hAnsi="Soberana Sans Light"/>
          <w:b/>
          <w:sz w:val="22"/>
          <w:szCs w:val="22"/>
          <w:lang w:val="es-MX"/>
        </w:rPr>
      </w:pPr>
    </w:p>
    <w:p w:rsidR="00A2770A" w:rsidRPr="00540418" w:rsidRDefault="00A2770A" w:rsidP="00A2770A">
      <w:pPr>
        <w:pStyle w:val="Texto"/>
        <w:spacing w:after="0" w:line="276" w:lineRule="auto"/>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A2770A" w:rsidRPr="00540418" w:rsidRDefault="00A2770A" w:rsidP="00A2770A">
      <w:pPr>
        <w:pStyle w:val="Texto"/>
        <w:spacing w:after="0" w:line="276" w:lineRule="auto"/>
        <w:ind w:firstLine="0"/>
        <w:jc w:val="left"/>
        <w:rPr>
          <w:rFonts w:ascii="Soberana Sans Light" w:hAnsi="Soberana Sans Light"/>
          <w:b/>
          <w:sz w:val="22"/>
          <w:szCs w:val="22"/>
          <w:lang w:val="es-MX"/>
        </w:rPr>
      </w:pPr>
    </w:p>
    <w:p w:rsidR="00A2770A" w:rsidRPr="007E42D2" w:rsidRDefault="00A2770A" w:rsidP="00A2770A">
      <w:pPr>
        <w:pStyle w:val="Default"/>
        <w:numPr>
          <w:ilvl w:val="0"/>
          <w:numId w:val="6"/>
        </w:numPr>
        <w:spacing w:line="276" w:lineRule="auto"/>
        <w:ind w:right="-235" w:firstLine="0"/>
        <w:jc w:val="both"/>
        <w:rPr>
          <w:rFonts w:ascii="Arial" w:hAnsi="Arial" w:cs="Arial"/>
          <w:b/>
          <w:bCs/>
          <w:sz w:val="18"/>
          <w:szCs w:val="18"/>
        </w:rPr>
      </w:pPr>
      <w:r w:rsidRPr="007E42D2">
        <w:rPr>
          <w:rFonts w:ascii="Arial" w:hAnsi="Arial" w:cs="Arial"/>
          <w:b/>
          <w:bCs/>
          <w:sz w:val="18"/>
          <w:szCs w:val="18"/>
        </w:rPr>
        <w:t xml:space="preserve">Introducción: </w:t>
      </w:r>
    </w:p>
    <w:p w:rsidR="00A2770A" w:rsidRPr="007E42D2" w:rsidRDefault="00A2770A" w:rsidP="00A2770A">
      <w:pPr>
        <w:pStyle w:val="Default"/>
        <w:spacing w:line="276" w:lineRule="auto"/>
        <w:ind w:left="720" w:right="-235" w:firstLine="708"/>
        <w:jc w:val="both"/>
        <w:rPr>
          <w:rFonts w:ascii="Arial" w:hAnsi="Arial" w:cs="Arial"/>
          <w:sz w:val="18"/>
          <w:szCs w:val="18"/>
        </w:rPr>
      </w:pPr>
    </w:p>
    <w:p w:rsidR="00A2770A" w:rsidRPr="00595EF7" w:rsidRDefault="00A2770A" w:rsidP="00A2770A">
      <w:pPr>
        <w:ind w:right="-235"/>
        <w:rPr>
          <w:rFonts w:ascii="Arial" w:hAnsi="Arial" w:cs="Arial"/>
          <w:color w:val="000000"/>
          <w:sz w:val="18"/>
          <w:szCs w:val="18"/>
        </w:rPr>
      </w:pPr>
      <w:r w:rsidRPr="00595EF7">
        <w:rPr>
          <w:rFonts w:ascii="Arial" w:hAnsi="Arial" w:cs="Arial"/>
          <w:color w:val="000000"/>
          <w:sz w:val="18"/>
          <w:szCs w:val="18"/>
        </w:rPr>
        <w:t xml:space="preserve">El Instituto Tlaxcalteca para la Educación de los Adultos, es un organismo público descentralizado de la Administración Pública del Estado de Tlaxcala, con personalidad jurídica propia y patrimonio propios, sujeto a la normatividad del Poder Ejecutivo del Estado de Tlaxcala, de conformidad con lo establecido en la de Educación del Estado de Tlaxcala, Ley </w:t>
      </w:r>
      <w:r>
        <w:rPr>
          <w:rFonts w:ascii="Arial" w:hAnsi="Arial" w:cs="Arial"/>
          <w:color w:val="000000"/>
          <w:sz w:val="18"/>
          <w:szCs w:val="18"/>
        </w:rPr>
        <w:t>Orgánica de la Administración Pú</w:t>
      </w:r>
      <w:r w:rsidRPr="00595EF7">
        <w:rPr>
          <w:rFonts w:ascii="Arial" w:hAnsi="Arial" w:cs="Arial"/>
          <w:color w:val="000000"/>
          <w:sz w:val="18"/>
          <w:szCs w:val="18"/>
        </w:rPr>
        <w:t xml:space="preserve">blica del Estado de Tlaxcala, y la Ley de Entidades Paraestatales. </w:t>
      </w:r>
    </w:p>
    <w:p w:rsidR="00A2770A" w:rsidRPr="00595EF7" w:rsidRDefault="00A2770A" w:rsidP="00A2770A">
      <w:pPr>
        <w:ind w:right="-235"/>
        <w:rPr>
          <w:rFonts w:ascii="Arial" w:hAnsi="Arial" w:cs="Arial"/>
          <w:color w:val="000000"/>
          <w:sz w:val="18"/>
          <w:szCs w:val="18"/>
        </w:rPr>
      </w:pPr>
    </w:p>
    <w:p w:rsidR="00A2770A" w:rsidRPr="00595EF7" w:rsidRDefault="00A2770A" w:rsidP="00A2770A">
      <w:pPr>
        <w:ind w:right="-235"/>
        <w:rPr>
          <w:rFonts w:ascii="Arial" w:hAnsi="Arial" w:cs="Arial"/>
          <w:color w:val="000000"/>
          <w:sz w:val="18"/>
          <w:szCs w:val="18"/>
        </w:rPr>
      </w:pPr>
      <w:r w:rsidRPr="00595EF7">
        <w:rPr>
          <w:rFonts w:ascii="Arial" w:hAnsi="Arial" w:cs="Arial"/>
          <w:color w:val="000000"/>
          <w:sz w:val="18"/>
          <w:szCs w:val="18"/>
        </w:rPr>
        <w:t xml:space="preserve">El Instituto Tlaxcalteca para la Educación de los Adultos tiene como objetivo el de prestar los servicios de Educación Básica para adultos mayores de 15 años, la cual comprende la Alfabetización, la Educación primaria y la secundaria, así como la Formación para el Trabajo. </w:t>
      </w:r>
    </w:p>
    <w:p w:rsidR="00A2770A" w:rsidRPr="00595EF7" w:rsidRDefault="00A2770A" w:rsidP="00A2770A">
      <w:pPr>
        <w:ind w:right="-235"/>
        <w:rPr>
          <w:rFonts w:ascii="Arial" w:hAnsi="Arial" w:cs="Arial"/>
          <w:color w:val="000000"/>
          <w:sz w:val="18"/>
          <w:szCs w:val="18"/>
        </w:rPr>
      </w:pPr>
    </w:p>
    <w:p w:rsidR="00A2770A" w:rsidRPr="00595EF7" w:rsidRDefault="00A2770A" w:rsidP="00A2770A">
      <w:pPr>
        <w:ind w:right="-235"/>
        <w:rPr>
          <w:rFonts w:ascii="Arial" w:hAnsi="Arial" w:cs="Arial"/>
          <w:color w:val="000000"/>
          <w:sz w:val="18"/>
          <w:szCs w:val="18"/>
        </w:rPr>
      </w:pPr>
      <w:r w:rsidRPr="00595EF7">
        <w:rPr>
          <w:rFonts w:ascii="Arial" w:hAnsi="Arial" w:cs="Arial"/>
          <w:color w:val="000000"/>
          <w:sz w:val="18"/>
          <w:szCs w:val="18"/>
        </w:rPr>
        <w:t>•</w:t>
      </w:r>
      <w:r w:rsidRPr="00595EF7">
        <w:rPr>
          <w:rFonts w:ascii="Arial" w:hAnsi="Arial" w:cs="Arial"/>
          <w:color w:val="000000"/>
          <w:sz w:val="18"/>
          <w:szCs w:val="18"/>
        </w:rPr>
        <w:tab/>
        <w:t xml:space="preserve">Misión: Somos una institución encargada de ofrecer, servicios educativos de calidad a los jóvenes y adultos que presentan rezago educativo, en materia de educación básica, proporcionándoles herramientas para su crecimiento y desarrollo personal. </w:t>
      </w:r>
    </w:p>
    <w:p w:rsidR="00A2770A" w:rsidRPr="00595EF7" w:rsidRDefault="00A2770A" w:rsidP="00A2770A">
      <w:pPr>
        <w:ind w:right="-235"/>
        <w:rPr>
          <w:rFonts w:ascii="Arial" w:hAnsi="Arial" w:cs="Arial"/>
          <w:color w:val="000000"/>
          <w:sz w:val="18"/>
          <w:szCs w:val="18"/>
        </w:rPr>
      </w:pPr>
    </w:p>
    <w:p w:rsidR="00A2770A" w:rsidRPr="00595EF7" w:rsidRDefault="00A2770A" w:rsidP="00A2770A">
      <w:pPr>
        <w:ind w:right="-235"/>
        <w:rPr>
          <w:rFonts w:ascii="Arial" w:hAnsi="Arial" w:cs="Arial"/>
          <w:color w:val="000000"/>
          <w:sz w:val="18"/>
          <w:szCs w:val="18"/>
        </w:rPr>
      </w:pPr>
      <w:r w:rsidRPr="00595EF7">
        <w:rPr>
          <w:rFonts w:ascii="Arial" w:hAnsi="Arial" w:cs="Arial"/>
          <w:color w:val="000000"/>
          <w:sz w:val="18"/>
          <w:szCs w:val="18"/>
        </w:rPr>
        <w:t>•</w:t>
      </w:r>
      <w:r w:rsidRPr="00595EF7">
        <w:rPr>
          <w:rFonts w:ascii="Arial" w:hAnsi="Arial" w:cs="Arial"/>
          <w:color w:val="000000"/>
          <w:sz w:val="18"/>
          <w:szCs w:val="18"/>
        </w:rPr>
        <w:tab/>
        <w:t>Visión: Ser una institución de educación básica para los jóvenes y adultos de reconocido prestigio, a través de los diferente programas institucionales, agilizando los procesos educativos, con el apoyo de tecnología que brinde un servicio de calidad y que reduzca el rezago educativo en el estado.</w:t>
      </w:r>
    </w:p>
    <w:p w:rsidR="00A2770A" w:rsidRPr="00595EF7" w:rsidRDefault="00A2770A" w:rsidP="00A2770A">
      <w:pPr>
        <w:ind w:right="-235"/>
        <w:rPr>
          <w:rFonts w:ascii="Arial" w:hAnsi="Arial" w:cs="Arial"/>
          <w:color w:val="000000"/>
          <w:sz w:val="18"/>
          <w:szCs w:val="18"/>
        </w:rPr>
      </w:pPr>
    </w:p>
    <w:p w:rsidR="00A2770A" w:rsidRPr="007E42D2" w:rsidRDefault="00A2770A" w:rsidP="00A2770A">
      <w:pPr>
        <w:ind w:right="-235"/>
        <w:rPr>
          <w:rFonts w:ascii="Arial" w:hAnsi="Arial" w:cs="Arial"/>
          <w:sz w:val="18"/>
          <w:szCs w:val="18"/>
        </w:rPr>
      </w:pPr>
      <w:r w:rsidRPr="00595EF7">
        <w:rPr>
          <w:rFonts w:ascii="Arial" w:hAnsi="Arial" w:cs="Arial"/>
          <w:color w:val="000000"/>
          <w:sz w:val="18"/>
          <w:szCs w:val="18"/>
        </w:rPr>
        <w:t>•</w:t>
      </w:r>
      <w:r w:rsidRPr="00595EF7">
        <w:rPr>
          <w:rFonts w:ascii="Arial" w:hAnsi="Arial" w:cs="Arial"/>
          <w:color w:val="000000"/>
          <w:sz w:val="18"/>
          <w:szCs w:val="18"/>
        </w:rPr>
        <w:tab/>
        <w:t>Valores: Respeto, Honestidad, Solidaridad, Trabajo en Equipo, Subsidiaridad, Pro-actividad y Actitud de Servicio, Perseverancia, Lealtad, Responsabilidad.</w:t>
      </w:r>
    </w:p>
    <w:p w:rsidR="00A2770A" w:rsidRPr="007E42D2" w:rsidRDefault="00A2770A" w:rsidP="00A2770A">
      <w:pPr>
        <w:pStyle w:val="Default"/>
        <w:pageBreakBefore/>
        <w:spacing w:line="276" w:lineRule="auto"/>
        <w:ind w:right="-235"/>
        <w:jc w:val="both"/>
        <w:rPr>
          <w:rFonts w:ascii="Arial" w:hAnsi="Arial" w:cs="Arial"/>
          <w:b/>
          <w:bCs/>
          <w:sz w:val="18"/>
          <w:szCs w:val="18"/>
        </w:rPr>
      </w:pPr>
      <w:r w:rsidRPr="007E42D2">
        <w:rPr>
          <w:rFonts w:ascii="Arial" w:hAnsi="Arial" w:cs="Arial"/>
          <w:b/>
          <w:bCs/>
          <w:sz w:val="18"/>
          <w:szCs w:val="18"/>
        </w:rPr>
        <w:lastRenderedPageBreak/>
        <w:t xml:space="preserve">2. Descripción del panorama Económico y Financiero: </w:t>
      </w:r>
    </w:p>
    <w:p w:rsidR="00A2770A" w:rsidRPr="007E42D2" w:rsidRDefault="00A2770A" w:rsidP="00A2770A">
      <w:pPr>
        <w:pStyle w:val="Default"/>
        <w:spacing w:line="276" w:lineRule="auto"/>
        <w:ind w:right="-235"/>
        <w:jc w:val="both"/>
        <w:rPr>
          <w:rFonts w:ascii="Arial" w:hAnsi="Arial" w:cs="Arial"/>
          <w:sz w:val="18"/>
          <w:szCs w:val="18"/>
        </w:rPr>
      </w:pPr>
    </w:p>
    <w:p w:rsidR="00A2770A" w:rsidRPr="007E42D2" w:rsidRDefault="00A2770A" w:rsidP="00A2770A">
      <w:pPr>
        <w:pStyle w:val="Default"/>
        <w:spacing w:line="276" w:lineRule="auto"/>
        <w:ind w:right="-235"/>
        <w:jc w:val="both"/>
        <w:rPr>
          <w:rFonts w:ascii="Arial" w:hAnsi="Arial" w:cs="Arial"/>
          <w:sz w:val="18"/>
          <w:szCs w:val="18"/>
        </w:rPr>
      </w:pPr>
      <w:r w:rsidRPr="00595EF7">
        <w:rPr>
          <w:rFonts w:ascii="Arial" w:hAnsi="Arial" w:cs="Arial"/>
          <w:sz w:val="18"/>
          <w:szCs w:val="18"/>
        </w:rPr>
        <w:t>El Instituto Tlaxcalteca de educación para adultos cuenta con Presupuesto de Egresos el cual se contempla el panorama económico y financiero del Instituto y el cual es aprobado por la Junta de Gobierno, que es el órgano supremo de nuestra dependencia.</w:t>
      </w:r>
    </w:p>
    <w:p w:rsidR="00A2770A" w:rsidRPr="007E42D2" w:rsidRDefault="00A2770A" w:rsidP="00A2770A">
      <w:pPr>
        <w:pStyle w:val="Default"/>
        <w:spacing w:line="276" w:lineRule="auto"/>
        <w:ind w:right="-235"/>
        <w:jc w:val="both"/>
        <w:rPr>
          <w:rFonts w:ascii="Arial" w:hAnsi="Arial" w:cs="Arial"/>
          <w:b/>
          <w:bCs/>
          <w:sz w:val="18"/>
          <w:szCs w:val="18"/>
        </w:rPr>
      </w:pPr>
    </w:p>
    <w:p w:rsidR="00A2770A" w:rsidRPr="007E42D2" w:rsidRDefault="00A2770A" w:rsidP="00A2770A">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3. Autorización e Historia: </w:t>
      </w:r>
    </w:p>
    <w:p w:rsidR="00A2770A" w:rsidRPr="007E42D2" w:rsidRDefault="00A2770A" w:rsidP="00A2770A">
      <w:pPr>
        <w:pStyle w:val="Default"/>
        <w:spacing w:line="276" w:lineRule="auto"/>
        <w:ind w:right="-235"/>
        <w:jc w:val="both"/>
        <w:rPr>
          <w:rFonts w:ascii="Arial" w:hAnsi="Arial" w:cs="Arial"/>
          <w:b/>
          <w:bCs/>
          <w:sz w:val="18"/>
          <w:szCs w:val="18"/>
        </w:rPr>
      </w:pPr>
    </w:p>
    <w:p w:rsidR="00A2770A" w:rsidRPr="00595EF7" w:rsidRDefault="00A2770A" w:rsidP="00A2770A">
      <w:pPr>
        <w:pStyle w:val="Default"/>
        <w:ind w:right="-235"/>
        <w:jc w:val="both"/>
        <w:rPr>
          <w:rFonts w:ascii="Arial" w:hAnsi="Arial" w:cs="Arial"/>
          <w:sz w:val="18"/>
          <w:szCs w:val="18"/>
        </w:rPr>
      </w:pPr>
      <w:r w:rsidRPr="00595EF7">
        <w:rPr>
          <w:rFonts w:ascii="Arial" w:hAnsi="Arial" w:cs="Arial"/>
          <w:sz w:val="18"/>
          <w:szCs w:val="18"/>
        </w:rPr>
        <w:t>a) Fecha de creación del el Instituto Tlaxcalteca de educación para adultos.</w:t>
      </w:r>
    </w:p>
    <w:p w:rsidR="00A2770A" w:rsidRPr="00595EF7" w:rsidRDefault="00A2770A" w:rsidP="00A2770A">
      <w:pPr>
        <w:pStyle w:val="Default"/>
        <w:ind w:right="-235"/>
        <w:jc w:val="both"/>
        <w:rPr>
          <w:rFonts w:ascii="Arial" w:hAnsi="Arial" w:cs="Arial"/>
          <w:sz w:val="18"/>
          <w:szCs w:val="18"/>
        </w:rPr>
      </w:pPr>
    </w:p>
    <w:p w:rsidR="00A2770A" w:rsidRPr="00595EF7" w:rsidRDefault="00A2770A" w:rsidP="00A2770A">
      <w:pPr>
        <w:pStyle w:val="Default"/>
        <w:ind w:right="-235"/>
        <w:jc w:val="both"/>
        <w:rPr>
          <w:rFonts w:ascii="Arial" w:hAnsi="Arial" w:cs="Arial"/>
          <w:sz w:val="18"/>
          <w:szCs w:val="18"/>
        </w:rPr>
      </w:pPr>
      <w:r w:rsidRPr="00595EF7">
        <w:rPr>
          <w:rFonts w:ascii="Arial" w:hAnsi="Arial" w:cs="Arial"/>
          <w:sz w:val="18"/>
          <w:szCs w:val="18"/>
        </w:rPr>
        <w:t>Las grandes reformas educativas y de los compromisos adquiridos internacionalmente en 1978 hicieron que se diera inicio al programa “Educación para todos” bajo la responsabilidad de de la Dirección General de Educación para adultos, creándose posteriormente el Instituto Nacional Para la Educación de los Adultos (INEA), por parte del Gobierno Federal el 31 de Agosto de 1981, como un organismo descentralizado de la Administración Pública Federal, con personalidad y patrimonio propio.</w:t>
      </w:r>
    </w:p>
    <w:p w:rsidR="00A2770A" w:rsidRPr="00595EF7" w:rsidRDefault="00A2770A" w:rsidP="00A2770A">
      <w:pPr>
        <w:pStyle w:val="Default"/>
        <w:ind w:right="-235"/>
        <w:jc w:val="both"/>
        <w:rPr>
          <w:rFonts w:ascii="Arial" w:hAnsi="Arial" w:cs="Arial"/>
          <w:sz w:val="18"/>
          <w:szCs w:val="18"/>
        </w:rPr>
      </w:pPr>
    </w:p>
    <w:p w:rsidR="00A2770A" w:rsidRPr="00595EF7" w:rsidRDefault="00A2770A" w:rsidP="00A2770A">
      <w:pPr>
        <w:pStyle w:val="Default"/>
        <w:ind w:right="-235"/>
        <w:jc w:val="both"/>
        <w:rPr>
          <w:rFonts w:ascii="Arial" w:hAnsi="Arial" w:cs="Arial"/>
          <w:sz w:val="18"/>
          <w:szCs w:val="18"/>
        </w:rPr>
      </w:pPr>
      <w:r w:rsidRPr="00595EF7">
        <w:rPr>
          <w:rFonts w:ascii="Arial" w:hAnsi="Arial" w:cs="Arial"/>
          <w:sz w:val="18"/>
          <w:szCs w:val="18"/>
        </w:rPr>
        <w:t xml:space="preserve">b) Principales cambios en su estructura (interna históricamente). </w:t>
      </w:r>
    </w:p>
    <w:p w:rsidR="00A2770A" w:rsidRPr="00595EF7" w:rsidRDefault="00A2770A" w:rsidP="00A2770A">
      <w:pPr>
        <w:pStyle w:val="Default"/>
        <w:ind w:right="-235"/>
        <w:jc w:val="both"/>
        <w:rPr>
          <w:rFonts w:ascii="Arial" w:hAnsi="Arial" w:cs="Arial"/>
          <w:sz w:val="18"/>
          <w:szCs w:val="18"/>
        </w:rPr>
      </w:pPr>
    </w:p>
    <w:p w:rsidR="00A2770A" w:rsidRPr="007E42D2" w:rsidRDefault="00A2770A" w:rsidP="00A2770A">
      <w:pPr>
        <w:pStyle w:val="Default"/>
        <w:spacing w:line="276" w:lineRule="auto"/>
        <w:ind w:right="-235"/>
        <w:jc w:val="both"/>
        <w:rPr>
          <w:rFonts w:ascii="Arial" w:hAnsi="Arial" w:cs="Arial"/>
          <w:b/>
          <w:bCs/>
          <w:sz w:val="18"/>
          <w:szCs w:val="18"/>
        </w:rPr>
      </w:pPr>
      <w:r w:rsidRPr="00595EF7">
        <w:rPr>
          <w:rFonts w:ascii="Arial" w:hAnsi="Arial" w:cs="Arial"/>
          <w:sz w:val="18"/>
          <w:szCs w:val="18"/>
        </w:rPr>
        <w:t>El 22 de Mayo de 2001 se creó el Instituto Tlaxcalteca de educación para adultos, estableciéndose para su funcionalidad como un Organismo Descentralizado de la Administración Pública Estatal, con personalidad jurídica y patrimonio propio y cuyo objetivo es el de promover, organizar e impartir a la población adulta los servicios de alfabetización y educación básica, considerándose en esta última, los servicios de primaria y secundaria.</w:t>
      </w:r>
    </w:p>
    <w:p w:rsidR="00A2770A" w:rsidRDefault="00A2770A" w:rsidP="00A2770A">
      <w:pPr>
        <w:pStyle w:val="Default"/>
        <w:spacing w:line="276" w:lineRule="auto"/>
        <w:ind w:right="-235"/>
        <w:jc w:val="both"/>
        <w:rPr>
          <w:rFonts w:ascii="Arial" w:hAnsi="Arial" w:cs="Arial"/>
          <w:b/>
          <w:bCs/>
          <w:sz w:val="18"/>
          <w:szCs w:val="18"/>
        </w:rPr>
      </w:pPr>
    </w:p>
    <w:p w:rsidR="00A2770A" w:rsidRPr="007E42D2" w:rsidRDefault="00A2770A" w:rsidP="00A2770A">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4. Organización y Objeto Social: </w:t>
      </w:r>
    </w:p>
    <w:p w:rsidR="00A2770A" w:rsidRDefault="00A2770A" w:rsidP="00A2770A">
      <w:pPr>
        <w:pStyle w:val="Default"/>
        <w:ind w:right="-235"/>
        <w:jc w:val="both"/>
        <w:rPr>
          <w:rFonts w:ascii="Arial" w:hAnsi="Arial" w:cs="Arial"/>
          <w:b/>
          <w:bCs/>
          <w:sz w:val="18"/>
          <w:szCs w:val="18"/>
        </w:rPr>
      </w:pPr>
    </w:p>
    <w:p w:rsidR="00A2770A" w:rsidRDefault="00A2770A" w:rsidP="00A2770A">
      <w:pPr>
        <w:pStyle w:val="Default"/>
        <w:ind w:right="-235"/>
        <w:jc w:val="both"/>
        <w:rPr>
          <w:rFonts w:ascii="Arial" w:hAnsi="Arial" w:cs="Arial"/>
          <w:sz w:val="18"/>
          <w:szCs w:val="18"/>
        </w:rPr>
      </w:pPr>
      <w:r w:rsidRPr="00595EF7">
        <w:rPr>
          <w:rFonts w:ascii="Arial" w:hAnsi="Arial" w:cs="Arial"/>
          <w:bCs/>
          <w:sz w:val="18"/>
          <w:szCs w:val="18"/>
        </w:rPr>
        <w:t>a)</w:t>
      </w:r>
      <w:r w:rsidRPr="007E42D2">
        <w:rPr>
          <w:rFonts w:ascii="Arial" w:hAnsi="Arial" w:cs="Arial"/>
          <w:b/>
          <w:bCs/>
          <w:sz w:val="18"/>
          <w:szCs w:val="18"/>
        </w:rPr>
        <w:t xml:space="preserve"> </w:t>
      </w:r>
      <w:r>
        <w:rPr>
          <w:rFonts w:ascii="Arial" w:hAnsi="Arial" w:cs="Arial"/>
          <w:sz w:val="18"/>
          <w:szCs w:val="18"/>
        </w:rPr>
        <w:t>Objeto social.</w:t>
      </w:r>
    </w:p>
    <w:p w:rsidR="00A2770A" w:rsidRPr="00595EF7" w:rsidRDefault="00A2770A" w:rsidP="00A2770A">
      <w:pPr>
        <w:pStyle w:val="Default"/>
        <w:ind w:right="-235"/>
        <w:jc w:val="both"/>
        <w:rPr>
          <w:rFonts w:ascii="Arial" w:hAnsi="Arial" w:cs="Arial"/>
          <w:sz w:val="18"/>
          <w:szCs w:val="18"/>
        </w:rPr>
      </w:pPr>
    </w:p>
    <w:p w:rsidR="00A2770A" w:rsidRPr="00595EF7" w:rsidRDefault="00A2770A" w:rsidP="00A2770A">
      <w:pPr>
        <w:pStyle w:val="Default"/>
        <w:ind w:right="-235"/>
        <w:jc w:val="both"/>
        <w:rPr>
          <w:rFonts w:ascii="Arial" w:hAnsi="Arial" w:cs="Arial"/>
          <w:sz w:val="18"/>
          <w:szCs w:val="18"/>
        </w:rPr>
      </w:pPr>
      <w:r w:rsidRPr="00595EF7">
        <w:rPr>
          <w:rFonts w:ascii="Arial" w:hAnsi="Arial" w:cs="Arial"/>
          <w:sz w:val="18"/>
          <w:szCs w:val="18"/>
        </w:rPr>
        <w:t>El Instituto Tlaxcalteca para la Educación de los Adultos, tendrá por objeto prestar los servicios de educación básica, bachillerato o equivalente y superior, la formación para el trabajo, así como el buen uso del tiempo libre, orientado a los individuos mayores de 15 años de edad, con los contenidos particulares para atender las necesidades educativas especificas de ese sector de la población la cual estará apoyada en la solidaridad social.</w:t>
      </w:r>
    </w:p>
    <w:p w:rsidR="00A2770A" w:rsidRPr="007E42D2" w:rsidRDefault="00A2770A" w:rsidP="00A2770A">
      <w:pPr>
        <w:pStyle w:val="Default"/>
        <w:spacing w:line="276" w:lineRule="auto"/>
        <w:ind w:right="-235"/>
        <w:jc w:val="both"/>
        <w:rPr>
          <w:rFonts w:ascii="Arial" w:hAnsi="Arial" w:cs="Arial"/>
          <w:sz w:val="18"/>
          <w:szCs w:val="18"/>
        </w:rPr>
      </w:pPr>
      <w:r w:rsidRPr="00595EF7">
        <w:rPr>
          <w:rFonts w:ascii="Arial" w:hAnsi="Arial" w:cs="Arial"/>
          <w:sz w:val="18"/>
          <w:szCs w:val="18"/>
        </w:rPr>
        <w:t>La educación para los adultos en el Estado, formara parte del Sistema Educativo Nacional y deberá cumplir con los planes y programas de estudio que rigen esta modalidad educativa no escolarizada, en congruencia con la normatividad establecida por el Instituto Nacional para la Educación de los Adultos.</w:t>
      </w:r>
    </w:p>
    <w:p w:rsidR="00A2770A" w:rsidRDefault="00A2770A" w:rsidP="00A2770A">
      <w:pPr>
        <w:pStyle w:val="Default"/>
        <w:spacing w:line="276" w:lineRule="auto"/>
        <w:ind w:right="-235"/>
        <w:jc w:val="both"/>
        <w:rPr>
          <w:rFonts w:ascii="Arial" w:hAnsi="Arial" w:cs="Arial"/>
          <w:b/>
          <w:bCs/>
          <w:sz w:val="18"/>
          <w:szCs w:val="18"/>
        </w:rPr>
      </w:pPr>
    </w:p>
    <w:p w:rsidR="00A2770A" w:rsidRDefault="00A2770A" w:rsidP="00A2770A">
      <w:pPr>
        <w:pStyle w:val="Default"/>
        <w:spacing w:line="276" w:lineRule="auto"/>
        <w:ind w:right="-235"/>
        <w:jc w:val="both"/>
        <w:rPr>
          <w:rFonts w:ascii="Arial" w:hAnsi="Arial" w:cs="Arial"/>
          <w:sz w:val="18"/>
          <w:szCs w:val="18"/>
        </w:rPr>
      </w:pPr>
      <w:r w:rsidRPr="00595EF7">
        <w:rPr>
          <w:rFonts w:ascii="Arial" w:hAnsi="Arial" w:cs="Arial"/>
          <w:bCs/>
          <w:sz w:val="18"/>
          <w:szCs w:val="18"/>
        </w:rPr>
        <w:t>b)</w:t>
      </w:r>
      <w:r w:rsidRPr="007E42D2">
        <w:rPr>
          <w:rFonts w:ascii="Arial" w:hAnsi="Arial" w:cs="Arial"/>
          <w:b/>
          <w:bCs/>
          <w:sz w:val="18"/>
          <w:szCs w:val="18"/>
        </w:rPr>
        <w:t xml:space="preserve"> </w:t>
      </w:r>
      <w:r>
        <w:rPr>
          <w:rFonts w:ascii="Arial" w:hAnsi="Arial" w:cs="Arial"/>
          <w:sz w:val="18"/>
          <w:szCs w:val="18"/>
        </w:rPr>
        <w:t>Principal actividad.</w:t>
      </w:r>
    </w:p>
    <w:p w:rsidR="00A2770A" w:rsidRPr="007E42D2" w:rsidRDefault="00A2770A" w:rsidP="00A2770A">
      <w:pPr>
        <w:pStyle w:val="Default"/>
        <w:spacing w:line="276" w:lineRule="auto"/>
        <w:ind w:right="-235"/>
        <w:jc w:val="both"/>
        <w:rPr>
          <w:rFonts w:ascii="Arial" w:hAnsi="Arial" w:cs="Arial"/>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I.- Promover, organizar, ofrecer e impartir educación básica, bachillerato o su equivalente y superior, así como la formación para el trabajo y el buen uso del tiempo libre orientado a los individuos mayores de 15 años de edad;</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II.- Resguardar el desarrollo de las funciones sustantivas y de apoyo a cargo de los órganos institucionales en materia de educación para adultos;</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III.- Crear conciencia sobre la problemática relacionada con el rezago educativo existente en la población adulta; así como fomentar y realizar investigaciones y estudios al respecto de esta prioridad nacional y estatal, a fin de adoptar las técnicas adecuadas para motivar y propiciar la acción comunitaria;</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 xml:space="preserve">IV.- Elaborar, reproducir y distribuir en el estado, materiales didácticos aplicables a los individuos mayores de 15 años de edad; </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V.- Prestar servicios de formación, actualización y capacitación del personal que requieran los servicios de educación para adultos;</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VI.- Coadyuvar a la extensión de los servicios de educación comunitaria destinada a los adultos en los diferentes niveles de educación básica, así como para la difusión cultural;</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VII.- Establecer Delegaciones y Coordinaciones en los municipios y regiones del Estado, en caso de ser necesario, a través de las cuales se coordinen eficientemente la ejecución de los planes y programas de educación para los individuos mayores de 15 años de edad;</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VIII.- Expedir constancias y certificados que acrediten el nivel educativo que imparta el Instituto, conforme a los programas de estudio, normatividad y procedimientos vigentes;</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IX.- Auspiciar y organizar el servicio social educativo y dar oportunidad a los estudiantes para que participen voluntariamente en los programas de educación para los individuos mayores de 15 años de edad;</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X.- Coordinar sus actividades con instituciones que ofrezcan servicios educativos similares o complementarios;</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XI.- Promover la constitución en el Estado, de un patronato Pro – Educación de los Adultos del Estado de Tlaxcala, con las características jurídicas de una asociación civil, que tenga por objeto participar y apoyar al Instituto en el desarrollo de las tareas educativas a su cargo;</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XII.- Patrocinar la edición de obras y realizar actividades de difusión cultural, que complementen y apoyen sus programas;</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XIII.- Difundir a través de los medios de comunicación masiva la extensión de los servicios educativos que preste y los programas que desarrolle, así como proporcionar orientación e información al público para el mejor conocimiento de sus actividades;</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XIV.- Patrocinar y organizar la realización de reuniones, seminarios y otros eventos de orientación, capacitación y actualización del marco jurídico administrativo que rige en materia de educación para los adultos en el marco del Sistema Educativo Nacional;</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XV.- Otorgar estímulos y recompensas a los agentes operativos solidarios que se distingan por los eficientes servicios de apoyo a la educación para los individuos mayores de 15 años de edad, en el marco del Sistema Educativo Nacional</w:t>
      </w:r>
    </w:p>
    <w:p w:rsidR="00A2770A" w:rsidRPr="00595EF7" w:rsidRDefault="00A2770A" w:rsidP="00A2770A">
      <w:pPr>
        <w:pStyle w:val="Default"/>
        <w:ind w:right="-235"/>
        <w:jc w:val="both"/>
        <w:rPr>
          <w:rFonts w:ascii="Arial" w:hAnsi="Arial" w:cs="Arial"/>
          <w:color w:val="auto"/>
          <w:sz w:val="18"/>
          <w:szCs w:val="18"/>
        </w:rPr>
      </w:pPr>
    </w:p>
    <w:p w:rsidR="00A2770A" w:rsidRPr="00595EF7" w:rsidRDefault="00A2770A" w:rsidP="00A2770A">
      <w:pPr>
        <w:pStyle w:val="Default"/>
        <w:ind w:right="-235"/>
        <w:jc w:val="both"/>
        <w:rPr>
          <w:rFonts w:ascii="Arial" w:hAnsi="Arial" w:cs="Arial"/>
          <w:color w:val="auto"/>
          <w:sz w:val="18"/>
          <w:szCs w:val="18"/>
        </w:rPr>
      </w:pPr>
      <w:r w:rsidRPr="00595EF7">
        <w:rPr>
          <w:rFonts w:ascii="Arial" w:hAnsi="Arial" w:cs="Arial"/>
          <w:color w:val="auto"/>
          <w:sz w:val="18"/>
          <w:szCs w:val="18"/>
        </w:rPr>
        <w:t>XVI.- Fungir como cuerpo consultivo de las Instituciones Oficiales y Privadas en la materia educativa de su competencia; y</w:t>
      </w:r>
    </w:p>
    <w:p w:rsidR="00A2770A" w:rsidRPr="00595EF7" w:rsidRDefault="00A2770A" w:rsidP="00A2770A">
      <w:pPr>
        <w:pStyle w:val="Default"/>
        <w:ind w:right="-235"/>
        <w:jc w:val="both"/>
        <w:rPr>
          <w:rFonts w:ascii="Arial" w:hAnsi="Arial" w:cs="Arial"/>
          <w:color w:val="auto"/>
          <w:sz w:val="18"/>
          <w:szCs w:val="18"/>
        </w:rPr>
      </w:pPr>
    </w:p>
    <w:p w:rsidR="00A2770A" w:rsidRPr="007E42D2" w:rsidRDefault="00A2770A" w:rsidP="00A2770A">
      <w:pPr>
        <w:pStyle w:val="Default"/>
        <w:spacing w:line="276" w:lineRule="auto"/>
        <w:ind w:right="-235"/>
        <w:jc w:val="both"/>
        <w:rPr>
          <w:rFonts w:ascii="Arial" w:hAnsi="Arial" w:cs="Arial"/>
          <w:sz w:val="18"/>
          <w:szCs w:val="18"/>
        </w:rPr>
      </w:pPr>
      <w:r w:rsidRPr="00595EF7">
        <w:rPr>
          <w:rFonts w:ascii="Arial" w:hAnsi="Arial" w:cs="Arial"/>
          <w:color w:val="auto"/>
          <w:sz w:val="18"/>
          <w:szCs w:val="18"/>
        </w:rPr>
        <w:t>XVII.- Las demás que resulten necesarias para el cumplimiento de su objeto.</w:t>
      </w:r>
    </w:p>
    <w:p w:rsidR="00A2770A" w:rsidRPr="007E42D2" w:rsidRDefault="00A2770A" w:rsidP="00A2770A">
      <w:pPr>
        <w:pStyle w:val="Default"/>
        <w:spacing w:line="276" w:lineRule="auto"/>
        <w:ind w:right="-235"/>
        <w:jc w:val="both"/>
        <w:rPr>
          <w:rFonts w:ascii="Arial" w:hAnsi="Arial" w:cs="Arial"/>
          <w:sz w:val="18"/>
          <w:szCs w:val="18"/>
        </w:rPr>
      </w:pPr>
    </w:p>
    <w:p w:rsidR="00A2770A" w:rsidRPr="007E42D2" w:rsidRDefault="00A2770A" w:rsidP="00A2770A">
      <w:pPr>
        <w:pStyle w:val="Default"/>
        <w:spacing w:line="276" w:lineRule="auto"/>
        <w:ind w:right="-235"/>
        <w:jc w:val="both"/>
        <w:rPr>
          <w:rFonts w:ascii="Arial" w:hAnsi="Arial" w:cs="Arial"/>
          <w:b/>
          <w:bCs/>
          <w:sz w:val="18"/>
          <w:szCs w:val="18"/>
        </w:rPr>
      </w:pPr>
    </w:p>
    <w:p w:rsidR="00A2770A" w:rsidRPr="007E42D2" w:rsidRDefault="00A2770A" w:rsidP="00A2770A">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c) </w:t>
      </w:r>
      <w:r w:rsidRPr="007E42D2">
        <w:rPr>
          <w:rFonts w:ascii="Arial" w:hAnsi="Arial" w:cs="Arial"/>
          <w:sz w:val="18"/>
          <w:szCs w:val="18"/>
        </w:rPr>
        <w:t xml:space="preserve">Ejercicio fiscal </w:t>
      </w:r>
    </w:p>
    <w:p w:rsidR="00A2770A" w:rsidRPr="007E42D2" w:rsidRDefault="00A2770A" w:rsidP="00A2770A">
      <w:pPr>
        <w:pStyle w:val="Default"/>
        <w:spacing w:line="276" w:lineRule="auto"/>
        <w:ind w:right="-235"/>
        <w:jc w:val="both"/>
        <w:rPr>
          <w:rFonts w:ascii="Arial" w:hAnsi="Arial" w:cs="Arial"/>
          <w:sz w:val="18"/>
          <w:szCs w:val="18"/>
        </w:rPr>
      </w:pPr>
    </w:p>
    <w:p w:rsidR="00A2770A" w:rsidRDefault="00A2770A" w:rsidP="00A2770A">
      <w:pPr>
        <w:pStyle w:val="Default"/>
        <w:ind w:left="720" w:right="-235"/>
        <w:jc w:val="both"/>
        <w:rPr>
          <w:rFonts w:ascii="Arial" w:hAnsi="Arial" w:cs="Arial"/>
          <w:sz w:val="18"/>
          <w:szCs w:val="18"/>
        </w:rPr>
      </w:pPr>
      <w:r w:rsidRPr="00595EF7">
        <w:rPr>
          <w:rFonts w:ascii="Arial" w:hAnsi="Arial" w:cs="Arial"/>
          <w:sz w:val="18"/>
          <w:szCs w:val="18"/>
        </w:rPr>
        <w:t xml:space="preserve">Ejercicio fiscal 2015 (periodo de Enero a Diciembre 2015). </w:t>
      </w:r>
    </w:p>
    <w:p w:rsidR="00A2770A" w:rsidRDefault="00A2770A" w:rsidP="00A2770A">
      <w:pPr>
        <w:pStyle w:val="Default"/>
        <w:ind w:right="-235"/>
        <w:jc w:val="both"/>
        <w:rPr>
          <w:rFonts w:ascii="Arial" w:hAnsi="Arial" w:cs="Arial"/>
          <w:sz w:val="18"/>
          <w:szCs w:val="18"/>
        </w:rPr>
      </w:pPr>
    </w:p>
    <w:p w:rsidR="00A2770A" w:rsidRPr="00595EF7" w:rsidRDefault="00A2770A" w:rsidP="00A2770A">
      <w:pPr>
        <w:pStyle w:val="Default"/>
        <w:ind w:right="-235"/>
        <w:jc w:val="both"/>
        <w:rPr>
          <w:rFonts w:ascii="Arial" w:hAnsi="Arial" w:cs="Arial"/>
          <w:sz w:val="18"/>
          <w:szCs w:val="18"/>
        </w:rPr>
      </w:pPr>
      <w:r w:rsidRPr="00595EF7">
        <w:rPr>
          <w:rFonts w:ascii="Arial" w:hAnsi="Arial" w:cs="Arial"/>
          <w:sz w:val="18"/>
          <w:szCs w:val="18"/>
        </w:rPr>
        <w:t xml:space="preserve">d) Régimen jurídico </w:t>
      </w:r>
    </w:p>
    <w:p w:rsidR="00A2770A" w:rsidRPr="00595EF7" w:rsidRDefault="00A2770A" w:rsidP="00A2770A">
      <w:pPr>
        <w:pStyle w:val="Default"/>
        <w:ind w:left="720" w:right="-235"/>
        <w:jc w:val="both"/>
        <w:rPr>
          <w:rFonts w:ascii="Arial" w:hAnsi="Arial" w:cs="Arial"/>
          <w:sz w:val="18"/>
          <w:szCs w:val="18"/>
        </w:rPr>
      </w:pPr>
    </w:p>
    <w:p w:rsidR="00A2770A" w:rsidRPr="00595EF7" w:rsidRDefault="00A2770A" w:rsidP="00A2770A">
      <w:pPr>
        <w:pStyle w:val="Default"/>
        <w:ind w:left="720" w:right="-235"/>
        <w:jc w:val="both"/>
        <w:rPr>
          <w:rFonts w:ascii="Arial" w:hAnsi="Arial" w:cs="Arial"/>
          <w:sz w:val="18"/>
          <w:szCs w:val="18"/>
        </w:rPr>
      </w:pPr>
      <w:r w:rsidRPr="00595EF7">
        <w:rPr>
          <w:rFonts w:ascii="Arial" w:hAnsi="Arial" w:cs="Arial"/>
          <w:sz w:val="18"/>
          <w:szCs w:val="18"/>
        </w:rPr>
        <w:t xml:space="preserve">Organismo público descentralizado de Poder Ejecutivo, con personalidad jurídica y patrimonio propios. </w:t>
      </w:r>
    </w:p>
    <w:p w:rsidR="00A2770A" w:rsidRPr="00595EF7" w:rsidRDefault="00A2770A" w:rsidP="00A2770A">
      <w:pPr>
        <w:pStyle w:val="Default"/>
        <w:ind w:left="720" w:right="-235"/>
        <w:jc w:val="both"/>
        <w:rPr>
          <w:rFonts w:ascii="Arial" w:hAnsi="Arial" w:cs="Arial"/>
          <w:sz w:val="18"/>
          <w:szCs w:val="18"/>
        </w:rPr>
      </w:pPr>
    </w:p>
    <w:p w:rsidR="00A2770A" w:rsidRPr="00595EF7" w:rsidRDefault="00A2770A" w:rsidP="00A2770A">
      <w:pPr>
        <w:pStyle w:val="Default"/>
        <w:ind w:left="720" w:right="-235"/>
        <w:jc w:val="both"/>
        <w:rPr>
          <w:rFonts w:ascii="Arial" w:hAnsi="Arial" w:cs="Arial"/>
          <w:sz w:val="18"/>
          <w:szCs w:val="18"/>
        </w:rPr>
      </w:pPr>
      <w:r w:rsidRPr="00595EF7">
        <w:rPr>
          <w:rFonts w:ascii="Arial" w:hAnsi="Arial" w:cs="Arial"/>
          <w:sz w:val="18"/>
          <w:szCs w:val="18"/>
        </w:rPr>
        <w:t>El Instituto Tlaxcalteca para la Educación de los Adultos se encuentra registrado ante la S.H.C.P. como Persona Moral con servicios no remunerados de asistencia social (Título III de la Ley de I.S.R).</w:t>
      </w:r>
    </w:p>
    <w:p w:rsidR="00A2770A" w:rsidRPr="00595EF7" w:rsidRDefault="00A2770A" w:rsidP="00A2770A">
      <w:pPr>
        <w:pStyle w:val="Default"/>
        <w:ind w:left="720" w:right="-235"/>
        <w:jc w:val="both"/>
        <w:rPr>
          <w:rFonts w:ascii="Arial" w:hAnsi="Arial" w:cs="Arial"/>
          <w:sz w:val="18"/>
          <w:szCs w:val="18"/>
        </w:rPr>
      </w:pPr>
    </w:p>
    <w:p w:rsidR="00A2770A" w:rsidRPr="00595EF7" w:rsidRDefault="00A2770A" w:rsidP="00A2770A">
      <w:pPr>
        <w:pStyle w:val="Default"/>
        <w:ind w:right="-235"/>
        <w:jc w:val="both"/>
        <w:rPr>
          <w:rFonts w:ascii="Arial" w:hAnsi="Arial" w:cs="Arial"/>
          <w:sz w:val="18"/>
          <w:szCs w:val="18"/>
        </w:rPr>
      </w:pPr>
      <w:r w:rsidRPr="00595EF7">
        <w:rPr>
          <w:rFonts w:ascii="Arial" w:hAnsi="Arial" w:cs="Arial"/>
          <w:sz w:val="18"/>
          <w:szCs w:val="18"/>
        </w:rPr>
        <w:t xml:space="preserve">e) Consideraciones fiscales del ente: revelar el tipo de contribuciones que esté obligado a pagar o retener. </w:t>
      </w:r>
    </w:p>
    <w:p w:rsidR="00A2770A" w:rsidRPr="00595EF7" w:rsidRDefault="00A2770A" w:rsidP="00A2770A">
      <w:pPr>
        <w:pStyle w:val="Default"/>
        <w:ind w:left="720" w:right="-235"/>
        <w:jc w:val="both"/>
        <w:rPr>
          <w:rFonts w:ascii="Arial" w:hAnsi="Arial" w:cs="Arial"/>
          <w:sz w:val="18"/>
          <w:szCs w:val="18"/>
        </w:rPr>
      </w:pPr>
    </w:p>
    <w:p w:rsidR="00A2770A" w:rsidRPr="00595EF7" w:rsidRDefault="00A2770A" w:rsidP="00A2770A">
      <w:pPr>
        <w:pStyle w:val="Default"/>
        <w:ind w:left="720" w:right="-235"/>
        <w:jc w:val="both"/>
        <w:rPr>
          <w:rFonts w:ascii="Arial" w:hAnsi="Arial" w:cs="Arial"/>
          <w:sz w:val="18"/>
          <w:szCs w:val="18"/>
        </w:rPr>
      </w:pPr>
      <w:r w:rsidRPr="00595EF7">
        <w:rPr>
          <w:rFonts w:ascii="Arial" w:hAnsi="Arial" w:cs="Arial"/>
          <w:sz w:val="18"/>
          <w:szCs w:val="18"/>
        </w:rPr>
        <w:t xml:space="preserve">El Instituto Tlaxcalteca para la Educación de los Adultos se ubica dentro de las personas morales a que se refiere al art. 95 y 102 de la L.I.S.R., por lo que de acuerdo con el art. 93 de la misma ley no se consideran como contribuyente del I.S.R. Pero tiene otras obligaciones como: </w:t>
      </w:r>
    </w:p>
    <w:p w:rsidR="00A2770A" w:rsidRDefault="00A2770A" w:rsidP="00A2770A">
      <w:pPr>
        <w:pStyle w:val="Default"/>
        <w:ind w:left="360" w:right="-235"/>
        <w:jc w:val="both"/>
        <w:rPr>
          <w:rFonts w:ascii="Arial" w:hAnsi="Arial" w:cs="Arial"/>
          <w:sz w:val="18"/>
          <w:szCs w:val="18"/>
        </w:rPr>
      </w:pPr>
    </w:p>
    <w:p w:rsidR="00A2770A" w:rsidRPr="00595EF7" w:rsidRDefault="00A2770A" w:rsidP="00A2770A">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y pago provisional mensual de retenciones del Impuesto Sobre la Renta (ISR) por sueldos y salarios. </w:t>
      </w:r>
    </w:p>
    <w:p w:rsidR="00A2770A" w:rsidRPr="00595EF7" w:rsidRDefault="00A2770A" w:rsidP="00A2770A">
      <w:pPr>
        <w:pStyle w:val="Default"/>
        <w:ind w:left="720" w:right="-235"/>
        <w:jc w:val="both"/>
        <w:rPr>
          <w:rFonts w:ascii="Arial" w:hAnsi="Arial" w:cs="Arial"/>
          <w:sz w:val="18"/>
          <w:szCs w:val="18"/>
        </w:rPr>
      </w:pPr>
    </w:p>
    <w:p w:rsidR="00A2770A" w:rsidRPr="00595EF7" w:rsidRDefault="00A2770A" w:rsidP="00A2770A">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anual del ISR donde se informe sobre los pagos y retenciones de servicios profesionales. </w:t>
      </w:r>
    </w:p>
    <w:p w:rsidR="00A2770A" w:rsidRPr="00595EF7" w:rsidRDefault="00A2770A" w:rsidP="00A2770A">
      <w:pPr>
        <w:pStyle w:val="Default"/>
        <w:ind w:left="720" w:right="-235"/>
        <w:jc w:val="both"/>
        <w:rPr>
          <w:rFonts w:ascii="Arial" w:hAnsi="Arial" w:cs="Arial"/>
          <w:sz w:val="18"/>
          <w:szCs w:val="18"/>
        </w:rPr>
      </w:pPr>
    </w:p>
    <w:p w:rsidR="00A2770A" w:rsidRPr="00595EF7" w:rsidRDefault="00A2770A" w:rsidP="00A2770A">
      <w:pPr>
        <w:pStyle w:val="Default"/>
        <w:ind w:left="1418" w:right="-235" w:hanging="1058"/>
        <w:jc w:val="both"/>
        <w:rPr>
          <w:rFonts w:ascii="Arial" w:hAnsi="Arial" w:cs="Arial"/>
          <w:sz w:val="18"/>
          <w:szCs w:val="18"/>
        </w:rPr>
      </w:pPr>
      <w:r>
        <w:rPr>
          <w:rFonts w:ascii="Arial" w:hAnsi="Arial" w:cs="Arial"/>
          <w:sz w:val="18"/>
          <w:szCs w:val="18"/>
        </w:rPr>
        <w:tab/>
      </w:r>
      <w:r w:rsidRPr="00595EF7">
        <w:rPr>
          <w:rFonts w:ascii="Arial" w:hAnsi="Arial" w:cs="Arial"/>
          <w:sz w:val="18"/>
          <w:szCs w:val="18"/>
        </w:rPr>
        <w:t xml:space="preserve">Presentar la declaración anual donde se informe sobre las retenciones de los trabajadores que recibieron sueldos y salarios y trabajadores asimilados a salarios. </w:t>
      </w:r>
    </w:p>
    <w:p w:rsidR="00A2770A" w:rsidRDefault="00A2770A" w:rsidP="00A2770A">
      <w:pPr>
        <w:pStyle w:val="Default"/>
        <w:ind w:left="720" w:right="-235"/>
        <w:jc w:val="both"/>
        <w:rPr>
          <w:rFonts w:ascii="Arial" w:hAnsi="Arial" w:cs="Arial"/>
          <w:sz w:val="18"/>
          <w:szCs w:val="18"/>
        </w:rPr>
      </w:pPr>
    </w:p>
    <w:p w:rsidR="00A2770A" w:rsidRPr="00595EF7" w:rsidRDefault="00A2770A" w:rsidP="00A2770A">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y pago provisional mensual del ISR por las retenciones realizadas a los trabajadores asimilados a salarios. </w:t>
      </w:r>
    </w:p>
    <w:p w:rsidR="00A2770A" w:rsidRPr="00595EF7" w:rsidRDefault="00A2770A" w:rsidP="00A2770A">
      <w:pPr>
        <w:pStyle w:val="Default"/>
        <w:ind w:left="720" w:right="-235"/>
        <w:jc w:val="both"/>
        <w:rPr>
          <w:rFonts w:ascii="Arial" w:hAnsi="Arial" w:cs="Arial"/>
          <w:sz w:val="18"/>
          <w:szCs w:val="18"/>
        </w:rPr>
      </w:pPr>
    </w:p>
    <w:p w:rsidR="00A2770A" w:rsidRPr="00595EF7" w:rsidRDefault="00A2770A" w:rsidP="00A2770A">
      <w:pPr>
        <w:pStyle w:val="Default"/>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 xml:space="preserve">Presentar la declaración informativa anual de Subsidio para el Empleo. </w:t>
      </w:r>
    </w:p>
    <w:p w:rsidR="00A2770A" w:rsidRPr="00595EF7" w:rsidRDefault="00A2770A" w:rsidP="00A2770A">
      <w:pPr>
        <w:pStyle w:val="Default"/>
        <w:ind w:left="720" w:right="-235"/>
        <w:jc w:val="both"/>
        <w:rPr>
          <w:rFonts w:ascii="Arial" w:hAnsi="Arial" w:cs="Arial"/>
          <w:sz w:val="18"/>
          <w:szCs w:val="18"/>
        </w:rPr>
      </w:pPr>
    </w:p>
    <w:p w:rsidR="00A2770A" w:rsidRPr="007E42D2" w:rsidRDefault="00A2770A" w:rsidP="00A2770A">
      <w:pPr>
        <w:pStyle w:val="Default"/>
        <w:spacing w:line="276" w:lineRule="auto"/>
        <w:ind w:left="360" w:right="-235"/>
        <w:jc w:val="both"/>
        <w:rPr>
          <w:rFonts w:ascii="Arial" w:hAnsi="Arial" w:cs="Arial"/>
          <w:sz w:val="18"/>
          <w:szCs w:val="18"/>
        </w:rPr>
      </w:pPr>
      <w:r>
        <w:rPr>
          <w:rFonts w:ascii="Arial" w:hAnsi="Arial" w:cs="Arial"/>
          <w:sz w:val="18"/>
          <w:szCs w:val="18"/>
        </w:rPr>
        <w:tab/>
      </w:r>
      <w:r>
        <w:rPr>
          <w:rFonts w:ascii="Arial" w:hAnsi="Arial" w:cs="Arial"/>
          <w:sz w:val="18"/>
          <w:szCs w:val="18"/>
        </w:rPr>
        <w:tab/>
      </w:r>
      <w:r w:rsidRPr="00595EF7">
        <w:rPr>
          <w:rFonts w:ascii="Arial" w:hAnsi="Arial" w:cs="Arial"/>
          <w:sz w:val="18"/>
          <w:szCs w:val="18"/>
        </w:rPr>
        <w:t>Presentar la declaración y pago provisional mensual del ISR por las retenciones realizadas por servicios profesionales.</w:t>
      </w:r>
    </w:p>
    <w:p w:rsidR="00A2770A" w:rsidRPr="007E42D2" w:rsidRDefault="00A2770A" w:rsidP="00A2770A">
      <w:pPr>
        <w:pStyle w:val="Default"/>
        <w:spacing w:line="276" w:lineRule="auto"/>
        <w:ind w:right="-235"/>
        <w:jc w:val="both"/>
        <w:rPr>
          <w:rFonts w:ascii="Arial" w:hAnsi="Arial" w:cs="Arial"/>
          <w:sz w:val="18"/>
          <w:szCs w:val="18"/>
        </w:rPr>
      </w:pPr>
    </w:p>
    <w:p w:rsidR="00A2770A" w:rsidRDefault="00A2770A" w:rsidP="00A2770A">
      <w:pPr>
        <w:pStyle w:val="Default"/>
        <w:pageBreakBefore/>
        <w:spacing w:line="276" w:lineRule="auto"/>
        <w:ind w:right="-235"/>
        <w:rPr>
          <w:rFonts w:ascii="Arial" w:hAnsi="Arial" w:cs="Arial"/>
          <w:sz w:val="18"/>
          <w:szCs w:val="18"/>
        </w:rPr>
      </w:pPr>
      <w:r w:rsidRPr="00CC380F">
        <w:rPr>
          <w:rFonts w:ascii="Arial" w:hAnsi="Arial" w:cs="Arial"/>
          <w:bCs/>
          <w:noProof/>
          <w:sz w:val="18"/>
          <w:szCs w:val="18"/>
          <w:lang w:eastAsia="es-MX"/>
        </w:rPr>
        <w:lastRenderedPageBreak/>
        <w:drawing>
          <wp:anchor distT="0" distB="0" distL="114300" distR="114300" simplePos="0" relativeHeight="251661312" behindDoc="1" locked="0" layoutInCell="1" allowOverlap="1">
            <wp:simplePos x="0" y="0"/>
            <wp:positionH relativeFrom="margin">
              <wp:posOffset>685800</wp:posOffset>
            </wp:positionH>
            <wp:positionV relativeFrom="paragraph">
              <wp:posOffset>295275</wp:posOffset>
            </wp:positionV>
            <wp:extent cx="7760970" cy="4867275"/>
            <wp:effectExtent l="19050" t="0" r="0" b="0"/>
            <wp:wrapThrough wrapText="bothSides">
              <wp:wrapPolygon edited="0">
                <wp:start x="8112" y="0"/>
                <wp:lineTo x="8112" y="1353"/>
                <wp:lineTo x="9013" y="2705"/>
                <wp:lineTo x="9066" y="2874"/>
                <wp:lineTo x="10922" y="4058"/>
                <wp:lineTo x="7582" y="4227"/>
                <wp:lineTo x="7582" y="5411"/>
                <wp:lineTo x="2598" y="6002"/>
                <wp:lineTo x="2174" y="6171"/>
                <wp:lineTo x="2174" y="6763"/>
                <wp:lineTo x="530" y="7270"/>
                <wp:lineTo x="530" y="8116"/>
                <wp:lineTo x="53" y="9046"/>
                <wp:lineTo x="-53" y="9468"/>
                <wp:lineTo x="-53" y="20290"/>
                <wp:lineTo x="53" y="21050"/>
                <wp:lineTo x="106" y="21050"/>
                <wp:lineTo x="21473" y="21050"/>
                <wp:lineTo x="21526" y="21050"/>
                <wp:lineTo x="21579" y="20543"/>
                <wp:lineTo x="21579" y="7270"/>
                <wp:lineTo x="21367" y="7101"/>
                <wp:lineTo x="19776" y="6763"/>
                <wp:lineTo x="19882" y="6171"/>
                <wp:lineTo x="15057" y="5411"/>
                <wp:lineTo x="15163" y="4227"/>
                <wp:lineTo x="11664" y="4058"/>
                <wp:lineTo x="13520" y="2874"/>
                <wp:lineTo x="13573" y="2705"/>
                <wp:lineTo x="14474" y="1437"/>
                <wp:lineTo x="14474" y="0"/>
                <wp:lineTo x="8112" y="0"/>
              </wp:wrapPolygon>
            </wp:wrapThrough>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P Transparencia_1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760970" cy="4867275"/>
                    </a:xfrm>
                    <a:prstGeom prst="rect">
                      <a:avLst/>
                    </a:prstGeom>
                    <a:noFill/>
                    <a:ln>
                      <a:noFill/>
                    </a:ln>
                  </pic:spPr>
                </pic:pic>
              </a:graphicData>
            </a:graphic>
          </wp:anchor>
        </w:drawing>
      </w:r>
      <w:r w:rsidRPr="00CC380F">
        <w:rPr>
          <w:rFonts w:ascii="Arial" w:hAnsi="Arial" w:cs="Arial"/>
          <w:bCs/>
          <w:sz w:val="18"/>
          <w:szCs w:val="18"/>
        </w:rPr>
        <w:t>f)</w:t>
      </w:r>
      <w:r w:rsidRPr="007E42D2">
        <w:rPr>
          <w:rFonts w:ascii="Arial" w:hAnsi="Arial" w:cs="Arial"/>
          <w:b/>
          <w:bCs/>
          <w:sz w:val="18"/>
          <w:szCs w:val="18"/>
        </w:rPr>
        <w:t xml:space="preserve"> </w:t>
      </w:r>
      <w:r w:rsidRPr="007E42D2">
        <w:rPr>
          <w:rFonts w:ascii="Arial" w:hAnsi="Arial" w:cs="Arial"/>
          <w:sz w:val="18"/>
          <w:szCs w:val="18"/>
        </w:rPr>
        <w:t xml:space="preserve">Estructura organizacional básica.  </w:t>
      </w:r>
    </w:p>
    <w:p w:rsidR="00A2770A" w:rsidRPr="007E42D2" w:rsidRDefault="00A2770A" w:rsidP="00A2770A">
      <w:pPr>
        <w:pStyle w:val="Default"/>
        <w:pageBreakBefore/>
        <w:spacing w:line="276" w:lineRule="auto"/>
        <w:ind w:right="-235"/>
        <w:rPr>
          <w:rFonts w:ascii="Arial" w:hAnsi="Arial" w:cs="Arial"/>
          <w:sz w:val="18"/>
          <w:szCs w:val="18"/>
        </w:rPr>
      </w:pPr>
    </w:p>
    <w:p w:rsidR="00A2770A" w:rsidRPr="007E42D2" w:rsidRDefault="00A2770A" w:rsidP="00A2770A">
      <w:pPr>
        <w:pStyle w:val="Default"/>
        <w:spacing w:line="276" w:lineRule="auto"/>
        <w:ind w:right="-235"/>
        <w:jc w:val="both"/>
        <w:rPr>
          <w:rFonts w:ascii="Arial" w:hAnsi="Arial" w:cs="Arial"/>
          <w:sz w:val="18"/>
          <w:szCs w:val="18"/>
        </w:rPr>
      </w:pPr>
      <w:r w:rsidRPr="00CC380F">
        <w:rPr>
          <w:rFonts w:ascii="Arial" w:hAnsi="Arial" w:cs="Arial"/>
          <w:bCs/>
          <w:sz w:val="18"/>
          <w:szCs w:val="18"/>
        </w:rPr>
        <w:t>g)</w:t>
      </w:r>
      <w:r w:rsidRPr="007E42D2">
        <w:rPr>
          <w:rFonts w:ascii="Arial" w:hAnsi="Arial" w:cs="Arial"/>
          <w:b/>
          <w:bCs/>
          <w:sz w:val="18"/>
          <w:szCs w:val="18"/>
        </w:rPr>
        <w:t xml:space="preserve"> </w:t>
      </w:r>
      <w:r w:rsidRPr="007E42D2">
        <w:rPr>
          <w:rFonts w:ascii="Arial" w:hAnsi="Arial" w:cs="Arial"/>
          <w:sz w:val="18"/>
          <w:szCs w:val="18"/>
        </w:rPr>
        <w:t>El Instituto Tlaxcalteca para la Educación de los Adultos no se encuentra en el caso de ser fideicomitente o fiduciario.</w:t>
      </w:r>
    </w:p>
    <w:p w:rsidR="00A2770A" w:rsidRPr="007E42D2" w:rsidRDefault="00A2770A" w:rsidP="00A2770A">
      <w:pPr>
        <w:pStyle w:val="Default"/>
        <w:spacing w:line="276" w:lineRule="auto"/>
        <w:ind w:right="-235"/>
        <w:jc w:val="both"/>
        <w:rPr>
          <w:rFonts w:ascii="Arial" w:hAnsi="Arial" w:cs="Arial"/>
          <w:b/>
          <w:bCs/>
          <w:sz w:val="18"/>
          <w:szCs w:val="18"/>
        </w:rPr>
      </w:pPr>
    </w:p>
    <w:p w:rsidR="00A2770A" w:rsidRPr="007E42D2" w:rsidRDefault="00A2770A" w:rsidP="00A2770A">
      <w:pPr>
        <w:pStyle w:val="Default"/>
        <w:spacing w:line="276" w:lineRule="auto"/>
        <w:ind w:right="-235"/>
        <w:jc w:val="both"/>
        <w:rPr>
          <w:rFonts w:ascii="Arial" w:hAnsi="Arial" w:cs="Arial"/>
          <w:b/>
          <w:bCs/>
          <w:sz w:val="18"/>
          <w:szCs w:val="18"/>
        </w:rPr>
      </w:pPr>
      <w:r w:rsidRPr="007E42D2">
        <w:rPr>
          <w:rFonts w:ascii="Arial" w:hAnsi="Arial" w:cs="Arial"/>
          <w:b/>
          <w:bCs/>
          <w:sz w:val="18"/>
          <w:szCs w:val="18"/>
        </w:rPr>
        <w:t>5.- Bases de preparación de los Estados Financieros.</w:t>
      </w:r>
    </w:p>
    <w:p w:rsidR="00A2770A" w:rsidRPr="00CC380F" w:rsidRDefault="00A2770A" w:rsidP="00A2770A">
      <w:pPr>
        <w:pStyle w:val="Default"/>
        <w:spacing w:line="276" w:lineRule="auto"/>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a) Se ha aplicado la normatividad emitida por el Consejo Nacional de Armonización Contable (CONAC) y sus disposiciones legales aplicables y la Ley General de Contabilidad Gubernamental (LGCG) para la emisión de los estados financieros contables. Asimismo, se ha observado el Código Financiero para el Estado de Tlaxcala y sus Municipios, (aplicables para el p</w:t>
      </w:r>
      <w:r>
        <w:rPr>
          <w:rFonts w:ascii="Arial" w:hAnsi="Arial" w:cs="Arial"/>
          <w:bCs/>
          <w:sz w:val="18"/>
          <w:szCs w:val="18"/>
        </w:rPr>
        <w:t>eriodo Enero a Diciembre 2015).</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b) Todos los eventos que afectan económicamente al Instituto Tlaxcalteca para la Educación de los Adultos están cuantificados en términos monetarios y se registran al costo histórico. El costo histórico de las operaciones corresponde al monto erogado para su adquisición conforme a la documentación contable original justificativa y comprobatoria,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c) Postulados básicos. La preparación de los Estados Financieros del Instituto Tlaxcalteca para la Educación de los Adultos, aplica los Postulados Básicos de sustancia económica, entes públicos, existencia permanente, revelación suficiente, importancia relativa, registro e integración presupuestaria, devengo contable del ingreso, valuación, dualidad económica y consistencia.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d)  No se aplica normatividad supletoria contablemente.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e) En el Instituto Tlaxcalteca para la Educación de los Adultos no se aplica la base devengado de acuerdo a la Ley de Contabilidad.</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Los ingresos se reconocen de acuerdo a los lineamientos emitidos por el Consejo Nacional de Armonización Contable (CONAC) y la Ley General de Contabilidad Gubernamental (LGCG) referente a las ministraciones de recursos federales, Ramo 33, Ramo 11 y Gobierno del Estado de Tlaxcala. Con la finalidad de atender a los momentos contables del ingreso se consideran los siguientes lineamientos de registro: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momento contable del ingreso estimado es el que se aprueba anualmente por la Junta de Gobierno de ITEA, e incluyen los ingresos, estatales y federales.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ingreso modificado consiste en incorporar en su caso, las modificaciones al ingreso aprobado.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ingreso devengado se realizará en los siguientes casos: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Cuando se cuente con los elementos que identifiquen el hecho imponible al deudor (acreditado o terceros) y que pueda establecer un importe, emitiendo un documento de pago, señalando fecha límite para realizarlo conforme a las leyes y lineamientos aplicables.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Las participaciones se registrarán al momento de la percepción de los recursos.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Las aportaciones federales se registran conforme al calendario de pago. </w:t>
      </w:r>
    </w:p>
    <w:p w:rsidR="00A2770A"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Los egresos se encuentran reconocidos al costo histórico en el momento en que se devengan.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gasto comprometido refleja la aprobación por autoridad competente de un acto administrativo, u otro instrumento jurídico que formaliza una relación jurídica con terceros, para la adquisición de bienes y servicios o ejecución de obras. En el caso de la obra, el registro del compromiso se realizará al formalizarse el contrato por autoridad competente.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lastRenderedPageBreak/>
        <w:t>•</w:t>
      </w:r>
      <w:r w:rsidRPr="00CC380F">
        <w:rPr>
          <w:rFonts w:ascii="Arial" w:hAnsi="Arial" w:cs="Arial"/>
          <w:bCs/>
          <w:sz w:val="18"/>
          <w:szCs w:val="18"/>
        </w:rPr>
        <w:tab/>
        <w:t xml:space="preserve">El gasto devengado, refleja el reconocimiento de obligaciones de pago a favor de terceros por la recepción de conformidad de bienes, servicios y obras oportunamente contratados.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w:t>
      </w:r>
      <w:r w:rsidRPr="00CC380F">
        <w:rPr>
          <w:rFonts w:ascii="Arial" w:hAnsi="Arial" w:cs="Arial"/>
          <w:bCs/>
          <w:sz w:val="18"/>
          <w:szCs w:val="18"/>
        </w:rPr>
        <w:tab/>
        <w:t xml:space="preserve">El gasto pagado, refleja la cancelación total o parcial de las obligaciones de pago, que se concreta mediante el desembolso de efectivo o cualquier otro medio de pago.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6. Políticas de Contabilidad Significativas: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a) La valuación de las operaciones del inventario inmobiliario se realiza mediante costeo directo, el registro de las cuentas de inventarios se realiza por medio de costos históricos, consistente en acumular los elementos del costo incurridos para la adquisición o producción de los bienes inmuebles.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b) La realización de operaciones en el extranjero y de sus efectos en la información financiera gubernamental no aplica.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c) El Método de valuación de la inversión en acciones de Compañías subsidiarias no consolidadas y asociadas no aplica.</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d) El Instituto Tlaxcalteca para la Educación de los Adultos cuenta con un inventario mobiliario, el cual está constituido por el mobiliario y equipo en propiedad del Instituto, en comodato y en comodato-renta; se controla contablemente a través del sistema de inventarios perpetuos, lo que permite registrar con cada ingreso realizado el costo al que fueron adquiridos.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e) Existe un contrato colectivo de trabajo en donde se regulan las relaciones laborales entre el Instituto Tlaxcalteca para la Educación de los Adultos, normatividad aplicable a trabajadores sindicalizados y por otra parte los empleados de confianza y honorarios también regulan sus actividades basados en la Ley Federal del Trabajo.</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f) En el Instituto Tlaxcalteca para la Educación de los Adultos no existen provisiones.</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g) En el Instituto Tlaxcalteca para la Educación de los Adultos no existen reservas.</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h) Cambios en políticas contables y corrección de errores junto con la revelación de los efectos que se tendrá en la información financiera del ente público, ya sea retrospectivos o prospectivos: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La adecuación de las estructuras contables y presupuestales en el marco de la armonización implican cambios en las políticas contables.</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i) Reclasificaciones.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Se lleva a cabo el análisis para realizar la reclasificación de una o más cuentas, en donde el saldo de la cuenta a reclasificar, debe ser trasladado a otra cuenta, de forma tal que la presentación de los estados financieros y la información contable sea lo más adecuada y armonizada posible.</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j) Depuración y cancelación de saldos: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Se están realizando las actividades tendientes a depurar los saldos de cuentas por cobrar y cuentas por pagar.</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lastRenderedPageBreak/>
        <w:t xml:space="preserve">7. Posición en Moneda Extranjera y Protección por Riesgo Cambiario: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a) No aplica Activos en moneda extranjera: </w:t>
      </w: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 </w:t>
      </w: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b) No aplica Pasivos en moneda extranjera: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c) No aplica Posición en moneda extranjera: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d) No aplica tipo de cambio</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e) No aplica equivalente en moneda nacional: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8. Reporte Analítico del Activo: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Debe mostrar la siguiente información: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roofErr w:type="gramStart"/>
      <w:r w:rsidRPr="00CC380F">
        <w:rPr>
          <w:rFonts w:ascii="Arial" w:hAnsi="Arial" w:cs="Arial"/>
          <w:bCs/>
          <w:sz w:val="18"/>
          <w:szCs w:val="18"/>
        </w:rPr>
        <w:t>a</w:t>
      </w:r>
      <w:proofErr w:type="gramEnd"/>
      <w:r w:rsidRPr="00CC380F">
        <w:rPr>
          <w:rFonts w:ascii="Arial" w:hAnsi="Arial" w:cs="Arial"/>
          <w:bCs/>
          <w:sz w:val="18"/>
          <w:szCs w:val="18"/>
        </w:rPr>
        <w:t>) b) y c): La vida útil o porcentajes de depreciación, deterioro o amortización utilizados en los diferentes tipos de activos, los cambios en el porcentaje de depreciación o valor residual de los activos, así como el importe de los gastos capitalizados en el ejercicio, tanto financieros como de investigación y desarrollo no aplican en el Instituto Tlaxcalteca para la Educación de los Adultos.</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d) En el Instituto Tlaxcalteca para la Educación de los Adultos los riegos por tipo de cambio o tipo de interés de las inversiones financieras no aplican.</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e) En el Instituto Tlaxcalteca para la Educación de los Adultos el valor activado en el ejercicio de los bienes construidos por la entidad no aplican.</w:t>
      </w: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 </w:t>
      </w: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g) El desmantelamiento de Activos, procedimientos, implicaciones, efectos contables no aplica en el Instituto Tlaxcalteca para la Educación de los Adultos.</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h) En cuanto a la administración de activos, la planeación con el objetivo de que el Instituto Tlaxcalteca para la Educación de los Adultos los utilice de manera más efectiva no Aplica.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Adicionalmente, se deben incluir las explicaciones de las principales variaciones en el activo, en cuadros comparativos como sigue: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a) Inversiones en valores: Actualmente en el Instituto Tlaxcalteca para la Educación de los Adultos  se manejan cuentas de cheques productivas.</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b) Patrimonio de Organismos descentralizados de Control Presupuestario Indirecto no aplica.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c) Asimismo las inversiones en empresas de participación mayoritaria no aplican.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d) A su vez, las Inversiones en empresas de participación minoritaria no aplican.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e)  En el Instituto Tlaxcalteca para la Educación de los Adultos no existe patrimonio de organismos descentralizados de control presupuestario directo.</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9. Fideicomisos, Mandatos y Análogos: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lastRenderedPageBreak/>
        <w:t>a) En el Instituto Tlaxcalteca para la Educación de los Adultos no existen fideicomisos.</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10. Reporte de la Recaudación: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a) El análisis del comportamiento de la recaudación correspondiente al Instituto Tlaxcalteca para la Educación de los Adultos público, en forma separada los ingresos locales de los federales a continuación se detallan: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Transferencias Estatales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Participaciones  $ 15’600.000.00</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Transferencias Federales</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Convenios        $ 13’651,678.00</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Ramo XXXIII    $ 35’379,111.00</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11. Información sobre la Deuda y el Reporte Analítico de la Deuda: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El Instituto Tlaxcalteca para la Educación de los Adultos no cuenta con deuda </w:t>
      </w:r>
      <w:proofErr w:type="spellStart"/>
      <w:r w:rsidRPr="00CC380F">
        <w:rPr>
          <w:rFonts w:ascii="Arial" w:hAnsi="Arial" w:cs="Arial"/>
          <w:bCs/>
          <w:sz w:val="18"/>
          <w:szCs w:val="18"/>
        </w:rPr>
        <w:t>publica</w:t>
      </w:r>
      <w:proofErr w:type="spellEnd"/>
      <w:r w:rsidRPr="00CC380F">
        <w:rPr>
          <w:rFonts w:ascii="Arial" w:hAnsi="Arial" w:cs="Arial"/>
          <w:bCs/>
          <w:sz w:val="18"/>
          <w:szCs w:val="18"/>
        </w:rPr>
        <w:t xml:space="preserve"> actualmente.</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12. Calificaciones otorgadas: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El Instituto Tlaxcalteca para la Educación de los Adultos no ha realizado transacciones que hayan sido sujetas a una calificación crediticia: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13. Proceso de Mejora: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a) Principales Políticas de control interno: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La adecuación de las estructuras contables y presupuestales, y en el marco de la armonización contable, implican la modernización a los procesos de registro en el sistema. </w:t>
      </w: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b) Medidas de desempeño financiero, metas y alcance: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Se continua trabajando en el cambio transcendental que es el proceso de armonización contable, para atender en tiempo y forma el nuevo esquema de la contabilidad gubernamental y generando así los beneficios en materia de información financiera, transparencia y rendición de cuentas.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14. Información por Segmentos: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El Instituto Tlaxcalteca para la Educación de los Adultos no cuenta con operaciones financieras de manera segmentada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lastRenderedPageBreak/>
        <w:t xml:space="preserve">15. Eventos Posteriores al Cierre: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El Instituto Tlaxcalteca para la Educación de los Adultos no existe evidencia sobre eventos que le afectan económicamente y que no se conocían a la fecha de cierre.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16. Partes Relacionadas: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En el Instituto Tlaxcalteca para la Educación de los Adultos no existen partes relacionadas que pudieran ejercer influencia significativa sobre la toma de decisiones financieras y operativas. </w:t>
      </w:r>
    </w:p>
    <w:p w:rsidR="00A2770A" w:rsidRPr="00CC380F" w:rsidRDefault="00A2770A" w:rsidP="00A2770A">
      <w:pPr>
        <w:pStyle w:val="Default"/>
        <w:ind w:right="-235"/>
        <w:jc w:val="both"/>
        <w:rPr>
          <w:rFonts w:ascii="Arial" w:hAnsi="Arial" w:cs="Arial"/>
          <w:bCs/>
          <w:sz w:val="18"/>
          <w:szCs w:val="18"/>
        </w:rPr>
      </w:pPr>
    </w:p>
    <w:p w:rsidR="00A2770A" w:rsidRPr="00CC380F" w:rsidRDefault="00A2770A" w:rsidP="00A2770A">
      <w:pPr>
        <w:pStyle w:val="Default"/>
        <w:ind w:right="-235"/>
        <w:jc w:val="both"/>
        <w:rPr>
          <w:rFonts w:ascii="Arial" w:hAnsi="Arial" w:cs="Arial"/>
          <w:bCs/>
          <w:sz w:val="18"/>
          <w:szCs w:val="18"/>
        </w:rPr>
      </w:pPr>
      <w:r w:rsidRPr="00CC380F">
        <w:rPr>
          <w:rFonts w:ascii="Arial" w:hAnsi="Arial" w:cs="Arial"/>
          <w:bCs/>
          <w:sz w:val="18"/>
          <w:szCs w:val="18"/>
        </w:rPr>
        <w:t xml:space="preserve">17. Responsabilidad sobre la presentación razonable de los Estados Financieros: </w:t>
      </w:r>
    </w:p>
    <w:p w:rsidR="00A2770A" w:rsidRPr="00CC380F" w:rsidRDefault="00A2770A" w:rsidP="00A2770A">
      <w:pPr>
        <w:pStyle w:val="Default"/>
        <w:ind w:right="-235"/>
        <w:jc w:val="both"/>
        <w:rPr>
          <w:rFonts w:ascii="Arial" w:hAnsi="Arial" w:cs="Arial"/>
          <w:bCs/>
          <w:sz w:val="18"/>
          <w:szCs w:val="18"/>
        </w:rPr>
      </w:pPr>
    </w:p>
    <w:p w:rsidR="00A2770A" w:rsidRPr="007E42D2" w:rsidRDefault="00A2770A" w:rsidP="00A2770A">
      <w:pPr>
        <w:pStyle w:val="Default"/>
        <w:spacing w:line="276" w:lineRule="auto"/>
        <w:ind w:right="-235"/>
        <w:jc w:val="both"/>
        <w:rPr>
          <w:rFonts w:ascii="Arial" w:hAnsi="Arial" w:cs="Arial"/>
          <w:sz w:val="18"/>
          <w:szCs w:val="18"/>
        </w:rPr>
      </w:pPr>
      <w:r w:rsidRPr="00CC380F">
        <w:rPr>
          <w:rFonts w:ascii="Arial" w:hAnsi="Arial" w:cs="Arial"/>
          <w:bCs/>
          <w:sz w:val="18"/>
          <w:szCs w:val="18"/>
        </w:rPr>
        <w:t xml:space="preserve"> “Bajo protesta de decir verdad declaramos que los Estados Financieros y sus notas, son razonablemente correctos y son responsabilidad del emisor”.</w:t>
      </w:r>
    </w:p>
    <w:p w:rsidR="00A2770A" w:rsidRPr="007E42D2" w:rsidRDefault="00A2770A" w:rsidP="00A2770A">
      <w:pPr>
        <w:pStyle w:val="Texto"/>
        <w:spacing w:after="0" w:line="276" w:lineRule="auto"/>
        <w:rPr>
          <w:szCs w:val="18"/>
          <w:lang w:val="es-MX"/>
        </w:rPr>
      </w:pPr>
    </w:p>
    <w:p w:rsidR="00A2770A" w:rsidRDefault="00A2770A" w:rsidP="00A2770A">
      <w:pPr>
        <w:pStyle w:val="Texto"/>
        <w:spacing w:after="0" w:line="276" w:lineRule="auto"/>
        <w:rPr>
          <w:szCs w:val="18"/>
        </w:rPr>
      </w:pPr>
    </w:p>
    <w:p w:rsidR="00A2770A" w:rsidRDefault="00A2770A" w:rsidP="00A2770A">
      <w:pPr>
        <w:pStyle w:val="Texto"/>
        <w:spacing w:after="0" w:line="276" w:lineRule="auto"/>
        <w:rPr>
          <w:szCs w:val="18"/>
        </w:rPr>
      </w:pPr>
    </w:p>
    <w:p w:rsidR="00A2770A" w:rsidRPr="007E42D2" w:rsidRDefault="00A2770A" w:rsidP="00A2770A">
      <w:pPr>
        <w:pStyle w:val="Texto"/>
        <w:spacing w:after="0" w:line="276" w:lineRule="auto"/>
        <w:rPr>
          <w:szCs w:val="18"/>
        </w:rPr>
      </w:pPr>
    </w:p>
    <w:p w:rsidR="00A2770A" w:rsidRPr="007E42D2" w:rsidRDefault="00A2770A" w:rsidP="00A2770A">
      <w:pPr>
        <w:pStyle w:val="Texto"/>
        <w:spacing w:after="0" w:line="276" w:lineRule="auto"/>
        <w:rPr>
          <w:szCs w:val="18"/>
        </w:rPr>
      </w:pPr>
    </w:p>
    <w:p w:rsidR="00A2770A" w:rsidRPr="007E42D2" w:rsidRDefault="00A2770A" w:rsidP="00A2770A">
      <w:pPr>
        <w:pStyle w:val="Texto"/>
        <w:spacing w:after="0" w:line="276" w:lineRule="auto"/>
        <w:rPr>
          <w:szCs w:val="18"/>
        </w:rPr>
      </w:pPr>
      <w:r w:rsidRPr="00936C90">
        <w:rPr>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3.75pt;margin-top:17.75pt;width:753.4pt;height:50.5pt;z-index:251658240">
            <v:imagedata r:id="rId9" o:title=""/>
            <w10:wrap type="topAndBottom"/>
          </v:shape>
          <o:OLEObject Type="Embed" ProgID="Excel.Sheet.12" ShapeID="_x0000_s1062" DrawAspect="Content" ObjectID="_1512941665" r:id="rId10"/>
        </w:pict>
      </w:r>
    </w:p>
    <w:p w:rsidR="00A2770A" w:rsidRPr="007E42D2" w:rsidRDefault="00A2770A" w:rsidP="00A2770A">
      <w:pPr>
        <w:pStyle w:val="Texto"/>
        <w:spacing w:after="0" w:line="276" w:lineRule="auto"/>
        <w:rPr>
          <w:szCs w:val="18"/>
        </w:rPr>
      </w:pPr>
    </w:p>
    <w:p w:rsidR="00A2770A" w:rsidRPr="007E42D2" w:rsidRDefault="00A2770A" w:rsidP="00A2770A">
      <w:pPr>
        <w:pStyle w:val="Texto"/>
        <w:spacing w:after="0" w:line="276" w:lineRule="auto"/>
        <w:rPr>
          <w:szCs w:val="18"/>
        </w:rPr>
      </w:pPr>
    </w:p>
    <w:p w:rsidR="00A2770A" w:rsidRPr="007E42D2" w:rsidRDefault="00A2770A" w:rsidP="00A2770A">
      <w:pPr>
        <w:pStyle w:val="Texto"/>
        <w:spacing w:after="0" w:line="276" w:lineRule="auto"/>
        <w:rPr>
          <w:szCs w:val="18"/>
        </w:rPr>
      </w:pPr>
    </w:p>
    <w:p w:rsidR="00A2770A" w:rsidRPr="007E42D2" w:rsidRDefault="00A2770A" w:rsidP="00A2770A">
      <w:pPr>
        <w:pStyle w:val="Texto"/>
        <w:spacing w:after="0" w:line="276" w:lineRule="auto"/>
        <w:rPr>
          <w:szCs w:val="18"/>
        </w:rPr>
      </w:pPr>
    </w:p>
    <w:p w:rsidR="00A2770A" w:rsidRPr="007E42D2" w:rsidRDefault="00A2770A" w:rsidP="00A2770A">
      <w:pPr>
        <w:pStyle w:val="Texto"/>
        <w:spacing w:after="0" w:line="276" w:lineRule="auto"/>
        <w:rPr>
          <w:szCs w:val="18"/>
        </w:rPr>
      </w:pPr>
    </w:p>
    <w:p w:rsidR="00A2770A" w:rsidRPr="007E42D2" w:rsidRDefault="00A2770A" w:rsidP="00A2770A">
      <w:pPr>
        <w:pStyle w:val="Texto"/>
        <w:spacing w:after="0" w:line="276" w:lineRule="auto"/>
        <w:rPr>
          <w:szCs w:val="18"/>
        </w:rPr>
      </w:pPr>
    </w:p>
    <w:p w:rsidR="00A2770A" w:rsidRPr="00721501" w:rsidRDefault="00A2770A" w:rsidP="00A2770A">
      <w:pPr>
        <w:shd w:val="clear" w:color="auto" w:fill="FFFFFF" w:themeFill="background1"/>
        <w:jc w:val="center"/>
        <w:rPr>
          <w:rFonts w:ascii="Soberana Sans Light" w:hAnsi="Soberana Sans Light"/>
          <w:lang w:val="es-ES"/>
        </w:rPr>
      </w:pPr>
    </w:p>
    <w:p w:rsidR="00676043" w:rsidRPr="00A2770A" w:rsidRDefault="00676043" w:rsidP="00A2770A">
      <w:pPr>
        <w:rPr>
          <w:lang w:val="es-ES"/>
        </w:rPr>
      </w:pPr>
    </w:p>
    <w:sectPr w:rsidR="00676043" w:rsidRPr="00A2770A" w:rsidSect="008E3652">
      <w:headerReference w:type="even" r:id="rId11"/>
      <w:headerReference w:type="default" r:id="rId12"/>
      <w:footerReference w:type="even" r:id="rId13"/>
      <w:footerReference w:type="default" r:id="rId14"/>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78F" w:rsidRDefault="00DF478F" w:rsidP="00EA5418">
      <w:pPr>
        <w:spacing w:after="0" w:line="240" w:lineRule="auto"/>
      </w:pPr>
      <w:r>
        <w:separator/>
      </w:r>
    </w:p>
  </w:endnote>
  <w:endnote w:type="continuationSeparator" w:id="0">
    <w:p w:rsidR="00DF478F" w:rsidRDefault="00DF478F"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22" w:rsidRPr="0013011C" w:rsidRDefault="0052529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A3792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A37922" w:rsidRPr="0013011C">
          <w:rPr>
            <w:rFonts w:ascii="Soberana Sans Light" w:hAnsi="Soberana Sans Light"/>
          </w:rPr>
          <w:instrText>PAGE   \* MERGEFORMAT</w:instrText>
        </w:r>
        <w:r w:rsidRPr="0013011C">
          <w:rPr>
            <w:rFonts w:ascii="Soberana Sans Light" w:hAnsi="Soberana Sans Light"/>
          </w:rPr>
          <w:fldChar w:fldCharType="separate"/>
        </w:r>
        <w:r w:rsidR="00A2770A" w:rsidRPr="00A2770A">
          <w:rPr>
            <w:rFonts w:ascii="Soberana Sans Light" w:hAnsi="Soberana Sans Light"/>
            <w:noProof/>
            <w:lang w:val="es-ES"/>
          </w:rPr>
          <w:t>2</w:t>
        </w:r>
        <w:r w:rsidRPr="0013011C">
          <w:rPr>
            <w:rFonts w:ascii="Soberana Sans Light" w:hAnsi="Soberana Sans Light"/>
          </w:rPr>
          <w:fldChar w:fldCharType="end"/>
        </w:r>
      </w:sdtContent>
    </w:sdt>
  </w:p>
  <w:p w:rsidR="00A37922" w:rsidRDefault="00A3792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22" w:rsidRPr="008E3652" w:rsidRDefault="0052529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A37922" w:rsidRPr="008E3652">
          <w:rPr>
            <w:rFonts w:ascii="Soberana Sans Light" w:hAnsi="Soberana Sans Light"/>
          </w:rPr>
          <w:t xml:space="preserve">Contable / </w:t>
        </w:r>
        <w:r w:rsidRPr="008E3652">
          <w:rPr>
            <w:rFonts w:ascii="Soberana Sans Light" w:hAnsi="Soberana Sans Light"/>
          </w:rPr>
          <w:fldChar w:fldCharType="begin"/>
        </w:r>
        <w:r w:rsidR="00A37922" w:rsidRPr="008E3652">
          <w:rPr>
            <w:rFonts w:ascii="Soberana Sans Light" w:hAnsi="Soberana Sans Light"/>
          </w:rPr>
          <w:instrText>PAGE   \* MERGEFORMAT</w:instrText>
        </w:r>
        <w:r w:rsidRPr="008E3652">
          <w:rPr>
            <w:rFonts w:ascii="Soberana Sans Light" w:hAnsi="Soberana Sans Light"/>
          </w:rPr>
          <w:fldChar w:fldCharType="separate"/>
        </w:r>
        <w:r w:rsidR="00A2770A" w:rsidRPr="00A2770A">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78F" w:rsidRDefault="00DF478F" w:rsidP="00EA5418">
      <w:pPr>
        <w:spacing w:after="0" w:line="240" w:lineRule="auto"/>
      </w:pPr>
      <w:r>
        <w:separator/>
      </w:r>
    </w:p>
  </w:footnote>
  <w:footnote w:type="continuationSeparator" w:id="0">
    <w:p w:rsidR="00DF478F" w:rsidRDefault="00DF478F"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22" w:rsidRDefault="00525294">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A37922" w:rsidRDefault="00A3792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37922" w:rsidRDefault="00A3792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37922" w:rsidRPr="00275FC6" w:rsidRDefault="00A3792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37922" w:rsidRDefault="00A379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A37922" w:rsidRDefault="00A379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37922" w:rsidRPr="00275FC6" w:rsidRDefault="00A37922" w:rsidP="00040466">
                    <w:pPr>
                      <w:jc w:val="both"/>
                      <w:rPr>
                        <w:rFonts w:ascii="Soberana Titular" w:hAnsi="Soberana Titular" w:cs="Arial"/>
                        <w:color w:val="808080" w:themeColor="background1" w:themeShade="80"/>
                        <w:sz w:val="42"/>
                        <w:szCs w:val="42"/>
                      </w:rPr>
                    </w:pPr>
                  </w:p>
                </w:txbxContent>
              </v:textbox>
            </v:shape>
          </v:group>
        </v:group>
      </w:pict>
    </w:r>
    <w:r w:rsidRPr="00525294">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22" w:rsidRPr="0013011C" w:rsidRDefault="0052529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A37922">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2"/>
  </w:num>
  <w:num w:numId="6">
    <w:abstractNumId w:val="8"/>
  </w:num>
  <w:num w:numId="7">
    <w:abstractNumId w:val="4"/>
  </w:num>
  <w:num w:numId="8">
    <w:abstractNumId w:val="10"/>
  </w:num>
  <w:num w:numId="9">
    <w:abstractNumId w:val="9"/>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12290"/>
    <o:shapelayout v:ext="edit">
      <o:idmap v:ext="edit" data="4"/>
    </o:shapelayout>
  </w:hdrShapeDefaults>
  <w:footnotePr>
    <w:footnote w:id="-1"/>
    <w:footnote w:id="0"/>
  </w:footnotePr>
  <w:endnotePr>
    <w:endnote w:id="-1"/>
    <w:endnote w:id="0"/>
  </w:endnotePr>
  <w:compat/>
  <w:rsids>
    <w:rsidRoot w:val="00EA5418"/>
    <w:rsid w:val="00001107"/>
    <w:rsid w:val="00010812"/>
    <w:rsid w:val="00014D8D"/>
    <w:rsid w:val="00040466"/>
    <w:rsid w:val="00045A10"/>
    <w:rsid w:val="00097D72"/>
    <w:rsid w:val="000B30A9"/>
    <w:rsid w:val="000B6682"/>
    <w:rsid w:val="0013011C"/>
    <w:rsid w:val="001403EB"/>
    <w:rsid w:val="00160AC7"/>
    <w:rsid w:val="00165BB4"/>
    <w:rsid w:val="001A340E"/>
    <w:rsid w:val="001B1B72"/>
    <w:rsid w:val="001C4054"/>
    <w:rsid w:val="001C6FD8"/>
    <w:rsid w:val="001E7072"/>
    <w:rsid w:val="00203B05"/>
    <w:rsid w:val="00204C86"/>
    <w:rsid w:val="00237B8F"/>
    <w:rsid w:val="00241FC4"/>
    <w:rsid w:val="00261730"/>
    <w:rsid w:val="00264426"/>
    <w:rsid w:val="00271F23"/>
    <w:rsid w:val="00286DE7"/>
    <w:rsid w:val="002A39D5"/>
    <w:rsid w:val="002A70B3"/>
    <w:rsid w:val="002E146A"/>
    <w:rsid w:val="00311440"/>
    <w:rsid w:val="003367AD"/>
    <w:rsid w:val="00342FEC"/>
    <w:rsid w:val="00347236"/>
    <w:rsid w:val="003652FD"/>
    <w:rsid w:val="00370C8C"/>
    <w:rsid w:val="00372F40"/>
    <w:rsid w:val="00396C2B"/>
    <w:rsid w:val="003A0303"/>
    <w:rsid w:val="003A2CA3"/>
    <w:rsid w:val="003B593D"/>
    <w:rsid w:val="003C22AD"/>
    <w:rsid w:val="003C6E21"/>
    <w:rsid w:val="003C742D"/>
    <w:rsid w:val="003D39F7"/>
    <w:rsid w:val="003D5DBF"/>
    <w:rsid w:val="003E7FD0"/>
    <w:rsid w:val="003F0EA4"/>
    <w:rsid w:val="003F4E9A"/>
    <w:rsid w:val="004311BE"/>
    <w:rsid w:val="0044253C"/>
    <w:rsid w:val="00444B28"/>
    <w:rsid w:val="00467398"/>
    <w:rsid w:val="004714CF"/>
    <w:rsid w:val="00484C0D"/>
    <w:rsid w:val="00497D8B"/>
    <w:rsid w:val="004A4059"/>
    <w:rsid w:val="004B2EF1"/>
    <w:rsid w:val="004C1309"/>
    <w:rsid w:val="004D41B8"/>
    <w:rsid w:val="004F5641"/>
    <w:rsid w:val="00522632"/>
    <w:rsid w:val="00522EF3"/>
    <w:rsid w:val="00525294"/>
    <w:rsid w:val="00533777"/>
    <w:rsid w:val="00540418"/>
    <w:rsid w:val="00541D37"/>
    <w:rsid w:val="005440A3"/>
    <w:rsid w:val="005741C6"/>
    <w:rsid w:val="00574266"/>
    <w:rsid w:val="00591AFA"/>
    <w:rsid w:val="00595EF7"/>
    <w:rsid w:val="005C68EA"/>
    <w:rsid w:val="005D3D25"/>
    <w:rsid w:val="005D5CBB"/>
    <w:rsid w:val="0061403E"/>
    <w:rsid w:val="006315C0"/>
    <w:rsid w:val="00675E03"/>
    <w:rsid w:val="00676043"/>
    <w:rsid w:val="006A5E74"/>
    <w:rsid w:val="006B1FE7"/>
    <w:rsid w:val="006D3398"/>
    <w:rsid w:val="006E5F6D"/>
    <w:rsid w:val="006E77DD"/>
    <w:rsid w:val="00721501"/>
    <w:rsid w:val="00730069"/>
    <w:rsid w:val="00735566"/>
    <w:rsid w:val="007702CF"/>
    <w:rsid w:val="00776B14"/>
    <w:rsid w:val="007856CB"/>
    <w:rsid w:val="00786D90"/>
    <w:rsid w:val="0079582C"/>
    <w:rsid w:val="007A44E5"/>
    <w:rsid w:val="007D0D88"/>
    <w:rsid w:val="007D6E9A"/>
    <w:rsid w:val="007E42D2"/>
    <w:rsid w:val="007F399B"/>
    <w:rsid w:val="00811DAC"/>
    <w:rsid w:val="008412C5"/>
    <w:rsid w:val="00845773"/>
    <w:rsid w:val="008768F2"/>
    <w:rsid w:val="00876DAE"/>
    <w:rsid w:val="0089054E"/>
    <w:rsid w:val="008923E7"/>
    <w:rsid w:val="008A6E4D"/>
    <w:rsid w:val="008A793D"/>
    <w:rsid w:val="008B0017"/>
    <w:rsid w:val="008B4998"/>
    <w:rsid w:val="008C06A2"/>
    <w:rsid w:val="008D47CA"/>
    <w:rsid w:val="008E3652"/>
    <w:rsid w:val="008E4688"/>
    <w:rsid w:val="008F6D58"/>
    <w:rsid w:val="0093492C"/>
    <w:rsid w:val="00957043"/>
    <w:rsid w:val="00962411"/>
    <w:rsid w:val="00970359"/>
    <w:rsid w:val="0098590F"/>
    <w:rsid w:val="009B2071"/>
    <w:rsid w:val="009C60D3"/>
    <w:rsid w:val="009D54E1"/>
    <w:rsid w:val="009D5D4C"/>
    <w:rsid w:val="009E2AB5"/>
    <w:rsid w:val="009F23C4"/>
    <w:rsid w:val="00A02B65"/>
    <w:rsid w:val="00A20210"/>
    <w:rsid w:val="00A2770A"/>
    <w:rsid w:val="00A363B6"/>
    <w:rsid w:val="00A37922"/>
    <w:rsid w:val="00A46BF5"/>
    <w:rsid w:val="00A50FBF"/>
    <w:rsid w:val="00A51EA8"/>
    <w:rsid w:val="00A76932"/>
    <w:rsid w:val="00A77A55"/>
    <w:rsid w:val="00AA29A6"/>
    <w:rsid w:val="00B146E2"/>
    <w:rsid w:val="00B1591A"/>
    <w:rsid w:val="00B678AF"/>
    <w:rsid w:val="00B82FB5"/>
    <w:rsid w:val="00B849EE"/>
    <w:rsid w:val="00B84D02"/>
    <w:rsid w:val="00B9631D"/>
    <w:rsid w:val="00BA2940"/>
    <w:rsid w:val="00BC088B"/>
    <w:rsid w:val="00BC4072"/>
    <w:rsid w:val="00BE395B"/>
    <w:rsid w:val="00BF2EBC"/>
    <w:rsid w:val="00C16E53"/>
    <w:rsid w:val="00C431B4"/>
    <w:rsid w:val="00C86C59"/>
    <w:rsid w:val="00C91C5A"/>
    <w:rsid w:val="00CA5C31"/>
    <w:rsid w:val="00CA6521"/>
    <w:rsid w:val="00CC380F"/>
    <w:rsid w:val="00CC5BE2"/>
    <w:rsid w:val="00CD6D9A"/>
    <w:rsid w:val="00CF53C2"/>
    <w:rsid w:val="00D00E92"/>
    <w:rsid w:val="00D055EC"/>
    <w:rsid w:val="00D273C3"/>
    <w:rsid w:val="00D32F99"/>
    <w:rsid w:val="00D44728"/>
    <w:rsid w:val="00D562FF"/>
    <w:rsid w:val="00D6187F"/>
    <w:rsid w:val="00D92E75"/>
    <w:rsid w:val="00DB02F7"/>
    <w:rsid w:val="00DE459C"/>
    <w:rsid w:val="00DF45C5"/>
    <w:rsid w:val="00DF478F"/>
    <w:rsid w:val="00DF56C9"/>
    <w:rsid w:val="00E101CB"/>
    <w:rsid w:val="00E116A7"/>
    <w:rsid w:val="00E30318"/>
    <w:rsid w:val="00E32708"/>
    <w:rsid w:val="00E3353F"/>
    <w:rsid w:val="00E7619A"/>
    <w:rsid w:val="00E81F5F"/>
    <w:rsid w:val="00EA1523"/>
    <w:rsid w:val="00EA5418"/>
    <w:rsid w:val="00EE246A"/>
    <w:rsid w:val="00EE46FB"/>
    <w:rsid w:val="00EF4030"/>
    <w:rsid w:val="00EF7F06"/>
    <w:rsid w:val="00F04A23"/>
    <w:rsid w:val="00F17C0D"/>
    <w:rsid w:val="00F753B9"/>
    <w:rsid w:val="00F755D0"/>
    <w:rsid w:val="00F7672A"/>
    <w:rsid w:val="00FA11DA"/>
    <w:rsid w:val="00FA4D28"/>
    <w:rsid w:val="00FB1010"/>
    <w:rsid w:val="00FC35B9"/>
    <w:rsid w:val="00FC4DCD"/>
    <w:rsid w:val="00FD5A6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Hoja_de_c_lculo_de_Microsoft_Office_Excel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EC8B-9707-491C-AA78-CBD7FCEB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18</Pages>
  <Words>4587</Words>
  <Characters>25231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OfnaRecFinancieros</cp:lastModifiedBy>
  <cp:revision>14</cp:revision>
  <cp:lastPrinted>2015-12-22T19:18:00Z</cp:lastPrinted>
  <dcterms:created xsi:type="dcterms:W3CDTF">2015-12-19T01:33:00Z</dcterms:created>
  <dcterms:modified xsi:type="dcterms:W3CDTF">2015-12-30T06:48:00Z</dcterms:modified>
</cp:coreProperties>
</file>