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/>
    <w:bookmarkStart w:id="0" w:name="_MON_1470839218"/>
    <w:bookmarkEnd w:id="0"/>
    <w:p w:rsidR="00A14B74" w:rsidRDefault="001C5BC3" w:rsidP="0044253C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15.5pt" o:ole="">
            <v:imagedata r:id="rId8" o:title=""/>
          </v:shape>
          <o:OLEObject Type="Embed" ProgID="Excel.Sheet.12" ShapeID="_x0000_i1025" DrawAspect="Content" ObjectID="_1521530821" r:id="rId9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1" w:name="_MON_1499194376"/>
    <w:bookmarkEnd w:id="1"/>
    <w:p w:rsidR="00F96944" w:rsidRDefault="002401AC" w:rsidP="0044253C">
      <w:pPr>
        <w:jc w:val="center"/>
      </w:pPr>
      <w:r>
        <w:object w:dxaOrig="9760" w:dyaOrig="4041">
          <v:shape id="_x0000_i1029" type="#_x0000_t75" style="width:467.25pt;height:201.75pt" o:ole="">
            <v:imagedata r:id="rId10" o:title=""/>
          </v:shape>
          <o:OLEObject Type="Embed" ProgID="Excel.Sheet.12" ShapeID="_x0000_i1029" DrawAspect="Content" ObjectID="_1521530822" r:id="rId1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general,  por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CA2D37" w:rsidRPr="008C12D8" w:rsidRDefault="00A81A79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765711" w:rsidRPr="00765711">
        <w:rPr>
          <w:rFonts w:ascii="Arial" w:hAnsi="Arial" w:cs="Arial"/>
          <w:sz w:val="18"/>
          <w:szCs w:val="18"/>
        </w:rPr>
        <w:t>30 de enero de 2003</w:t>
      </w:r>
      <w:r w:rsidR="00765711">
        <w:rPr>
          <w:rFonts w:ascii="Arial" w:hAnsi="Arial" w:cs="Arial"/>
          <w:sz w:val="18"/>
          <w:szCs w:val="18"/>
        </w:rPr>
        <w:t xml:space="preserve">, momento en que fue creado el Instituto al 31 de </w:t>
      </w:r>
      <w:r w:rsidR="001C5BC3">
        <w:rPr>
          <w:rFonts w:ascii="Arial" w:hAnsi="Arial" w:cs="Arial"/>
          <w:sz w:val="18"/>
          <w:szCs w:val="18"/>
        </w:rPr>
        <w:t xml:space="preserve">marzo </w:t>
      </w:r>
      <w:r w:rsidR="00765711">
        <w:rPr>
          <w:rFonts w:ascii="Arial" w:hAnsi="Arial" w:cs="Arial"/>
          <w:sz w:val="18"/>
          <w:szCs w:val="18"/>
        </w:rPr>
        <w:t>de 201</w:t>
      </w:r>
      <w:r w:rsidR="001C5BC3">
        <w:rPr>
          <w:rFonts w:ascii="Arial" w:hAnsi="Arial" w:cs="Arial"/>
          <w:sz w:val="18"/>
          <w:szCs w:val="18"/>
        </w:rPr>
        <w:t>6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765711" w:rsidRPr="00765711">
        <w:rPr>
          <w:rFonts w:ascii="Arial" w:hAnsi="Arial" w:cs="Arial"/>
          <w:sz w:val="18"/>
          <w:szCs w:val="18"/>
        </w:rPr>
        <w:t>se</w:t>
      </w:r>
      <w:r w:rsidR="00765711">
        <w:rPr>
          <w:rFonts w:ascii="Arial" w:hAnsi="Arial" w:cs="Arial"/>
          <w:sz w:val="18"/>
          <w:szCs w:val="18"/>
        </w:rPr>
        <w:t xml:space="preserve"> rige por el Código Financiero para el Estado de Tlaxcala y sus Municipios, sin embargo se </w:t>
      </w:r>
      <w:r w:rsidRPr="008C12D8">
        <w:rPr>
          <w:rFonts w:ascii="Arial" w:hAnsi="Arial" w:cs="Arial"/>
          <w:sz w:val="18"/>
          <w:szCs w:val="18"/>
        </w:rPr>
        <w:t>está en espera de la aprobación de la Ley de Catastro, para proceder a su publicación y vinculación con otras disposiciones de carácter Legal.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D125DA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12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</w:p>
    <w:sectPr w:rsidR="00D137EA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467" w:rsidRDefault="00730467" w:rsidP="00EA5418">
      <w:pPr>
        <w:spacing w:after="0" w:line="240" w:lineRule="auto"/>
      </w:pPr>
      <w:r>
        <w:separator/>
      </w:r>
    </w:p>
  </w:endnote>
  <w:endnote w:type="continuationSeparator" w:id="0">
    <w:p w:rsidR="00730467" w:rsidRDefault="007304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D125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401AC" w:rsidRPr="002401A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D125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401AC" w:rsidRPr="002401A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467" w:rsidRDefault="00730467" w:rsidP="00EA5418">
      <w:pPr>
        <w:spacing w:after="0" w:line="240" w:lineRule="auto"/>
      </w:pPr>
      <w:r>
        <w:separator/>
      </w:r>
    </w:p>
  </w:footnote>
  <w:footnote w:type="continuationSeparator" w:id="0">
    <w:p w:rsidR="00730467" w:rsidRDefault="007304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D125DA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C5BC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D125DA"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D125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04FB"/>
    <w:rsid w:val="00040531"/>
    <w:rsid w:val="00083CF8"/>
    <w:rsid w:val="000C09DA"/>
    <w:rsid w:val="000D3340"/>
    <w:rsid w:val="00126BCF"/>
    <w:rsid w:val="0013011C"/>
    <w:rsid w:val="00141B1C"/>
    <w:rsid w:val="001772B3"/>
    <w:rsid w:val="001B1B72"/>
    <w:rsid w:val="001B73F1"/>
    <w:rsid w:val="001C5BC3"/>
    <w:rsid w:val="002116C1"/>
    <w:rsid w:val="00220D17"/>
    <w:rsid w:val="00232417"/>
    <w:rsid w:val="002401AC"/>
    <w:rsid w:val="00255AAD"/>
    <w:rsid w:val="002A70B3"/>
    <w:rsid w:val="00307635"/>
    <w:rsid w:val="00345360"/>
    <w:rsid w:val="00362611"/>
    <w:rsid w:val="00372F40"/>
    <w:rsid w:val="00383BD2"/>
    <w:rsid w:val="003D5DBF"/>
    <w:rsid w:val="003E7FD0"/>
    <w:rsid w:val="003F0EA4"/>
    <w:rsid w:val="00405F37"/>
    <w:rsid w:val="00407562"/>
    <w:rsid w:val="0044253C"/>
    <w:rsid w:val="00486534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04C5"/>
    <w:rsid w:val="00570C73"/>
    <w:rsid w:val="00571E8F"/>
    <w:rsid w:val="005859FA"/>
    <w:rsid w:val="006048D2"/>
    <w:rsid w:val="00604D1E"/>
    <w:rsid w:val="00611E39"/>
    <w:rsid w:val="006B526A"/>
    <w:rsid w:val="006B7B8B"/>
    <w:rsid w:val="006E77DD"/>
    <w:rsid w:val="00730467"/>
    <w:rsid w:val="00765711"/>
    <w:rsid w:val="007758A6"/>
    <w:rsid w:val="0079582C"/>
    <w:rsid w:val="007C0AB2"/>
    <w:rsid w:val="007D6E9A"/>
    <w:rsid w:val="007F4559"/>
    <w:rsid w:val="007F75D0"/>
    <w:rsid w:val="008061E0"/>
    <w:rsid w:val="00884C90"/>
    <w:rsid w:val="008A6E4D"/>
    <w:rsid w:val="008B0017"/>
    <w:rsid w:val="008C12D8"/>
    <w:rsid w:val="008E3652"/>
    <w:rsid w:val="0099335E"/>
    <w:rsid w:val="00A14B74"/>
    <w:rsid w:val="00A749E3"/>
    <w:rsid w:val="00A81A79"/>
    <w:rsid w:val="00AB13B7"/>
    <w:rsid w:val="00AE148A"/>
    <w:rsid w:val="00B849EE"/>
    <w:rsid w:val="00BF49B1"/>
    <w:rsid w:val="00C7638C"/>
    <w:rsid w:val="00CA2D37"/>
    <w:rsid w:val="00CC5CB6"/>
    <w:rsid w:val="00D055EC"/>
    <w:rsid w:val="00D125DA"/>
    <w:rsid w:val="00D137EA"/>
    <w:rsid w:val="00D35D66"/>
    <w:rsid w:val="00D51261"/>
    <w:rsid w:val="00D748D3"/>
    <w:rsid w:val="00D77D06"/>
    <w:rsid w:val="00E169CE"/>
    <w:rsid w:val="00E2274D"/>
    <w:rsid w:val="00E32708"/>
    <w:rsid w:val="00EA5418"/>
    <w:rsid w:val="00EB2653"/>
    <w:rsid w:val="00F17391"/>
    <w:rsid w:val="00F20F36"/>
    <w:rsid w:val="00F670A3"/>
    <w:rsid w:val="00F770EA"/>
    <w:rsid w:val="00F96944"/>
    <w:rsid w:val="00F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tastro.tlaxcala.gob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DE17-037E-4907-BDCC-C3894D61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Informatica</cp:lastModifiedBy>
  <cp:revision>31</cp:revision>
  <cp:lastPrinted>2016-04-07T15:38:00Z</cp:lastPrinted>
  <dcterms:created xsi:type="dcterms:W3CDTF">2014-08-29T22:30:00Z</dcterms:created>
  <dcterms:modified xsi:type="dcterms:W3CDTF">2016-04-07T15:40:00Z</dcterms:modified>
</cp:coreProperties>
</file>