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ED7F77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Fomento Regional de la Cultura para Fortalecer la Identidad,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Contribuyendo a la preservación del patrimonio cultural y artístico de nuestro estado, destacan los siguientes eventos: </w:t>
      </w:r>
      <w:r w:rsidRPr="00E10728">
        <w:rPr>
          <w:rFonts w:ascii="Arial" w:hAnsi="Arial" w:cs="Arial"/>
          <w:i/>
          <w:sz w:val="18"/>
          <w:szCs w:val="18"/>
        </w:rPr>
        <w:t>Encuentro Estatal de Bandas de Viento</w:t>
      </w:r>
      <w:r w:rsidRPr="00E10728">
        <w:rPr>
          <w:rFonts w:ascii="Arial" w:hAnsi="Arial" w:cs="Arial"/>
          <w:sz w:val="18"/>
          <w:szCs w:val="18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promoción y difusión de las danzas del Carnaval, el Tercer Festival </w:t>
      </w:r>
      <w:proofErr w:type="spellStart"/>
      <w:r w:rsidRPr="00E10728">
        <w:rPr>
          <w:rFonts w:ascii="Arial" w:hAnsi="Arial" w:cs="Arial"/>
          <w:sz w:val="18"/>
          <w:szCs w:val="18"/>
          <w:lang w:val="es-ES_tradnl"/>
        </w:rPr>
        <w:t>Xochitécatl-Cacaxtla</w:t>
      </w:r>
      <w:proofErr w:type="spellEnd"/>
      <w:r w:rsidRPr="00E10728">
        <w:rPr>
          <w:rFonts w:ascii="Arial" w:hAnsi="Arial" w:cs="Arial"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</w:rPr>
        <w:t xml:space="preserve"> Festival de Danza Folklórica, Festival Internacional </w:t>
      </w:r>
      <w:r w:rsidR="00D06759">
        <w:rPr>
          <w:rFonts w:ascii="Arial" w:hAnsi="Arial" w:cs="Arial"/>
          <w:sz w:val="18"/>
          <w:szCs w:val="18"/>
        </w:rPr>
        <w:t>Cervantino-Extensión Tlaxcala, 3</w:t>
      </w:r>
      <w:r w:rsidR="00ED7F77">
        <w:rPr>
          <w:rFonts w:ascii="Arial" w:hAnsi="Arial" w:cs="Arial"/>
          <w:sz w:val="18"/>
          <w:szCs w:val="18"/>
        </w:rPr>
        <w:t>3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Regionales y Nacionales de Danzón.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 xml:space="preserve">está constituido y afirma los valores culturales </w:t>
      </w:r>
      <w:proofErr w:type="gramStart"/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de</w:t>
      </w:r>
      <w:proofErr w:type="gramEnd"/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 xml:space="preserve">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35" w:rsidRDefault="00252935" w:rsidP="00EA5418">
      <w:pPr>
        <w:spacing w:after="0" w:line="240" w:lineRule="auto"/>
      </w:pPr>
      <w:r>
        <w:separator/>
      </w:r>
    </w:p>
  </w:endnote>
  <w:endnote w:type="continuationSeparator" w:id="0">
    <w:p w:rsidR="00252935" w:rsidRDefault="002529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CBB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DC7B3D" w:rsidRPr="00DC7B3D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607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DC7B3D" w:rsidRPr="00DC7B3D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35" w:rsidRDefault="00252935" w:rsidP="00EA5418">
      <w:pPr>
        <w:spacing w:after="0" w:line="240" w:lineRule="auto"/>
      </w:pPr>
      <w:r>
        <w:separator/>
      </w:r>
    </w:p>
  </w:footnote>
  <w:footnote w:type="continuationSeparator" w:id="0">
    <w:p w:rsidR="00252935" w:rsidRDefault="002529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D7F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D7F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E00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824F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4B1C"/>
    <w:rsid w:val="00056042"/>
    <w:rsid w:val="000C696E"/>
    <w:rsid w:val="0013011C"/>
    <w:rsid w:val="0013038D"/>
    <w:rsid w:val="001646D9"/>
    <w:rsid w:val="00184E48"/>
    <w:rsid w:val="001B1B72"/>
    <w:rsid w:val="001B33F3"/>
    <w:rsid w:val="0024225B"/>
    <w:rsid w:val="00252935"/>
    <w:rsid w:val="002865A7"/>
    <w:rsid w:val="00290841"/>
    <w:rsid w:val="00295733"/>
    <w:rsid w:val="002A70B3"/>
    <w:rsid w:val="002E5897"/>
    <w:rsid w:val="00307635"/>
    <w:rsid w:val="00316E90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11D91"/>
    <w:rsid w:val="00714235"/>
    <w:rsid w:val="00714E8E"/>
    <w:rsid w:val="007223E0"/>
    <w:rsid w:val="00767744"/>
    <w:rsid w:val="0079582C"/>
    <w:rsid w:val="007D23E1"/>
    <w:rsid w:val="007D6E9A"/>
    <w:rsid w:val="0081288C"/>
    <w:rsid w:val="00814E41"/>
    <w:rsid w:val="008210FB"/>
    <w:rsid w:val="00824627"/>
    <w:rsid w:val="00850E90"/>
    <w:rsid w:val="008A6E4D"/>
    <w:rsid w:val="008B0017"/>
    <w:rsid w:val="008C76A1"/>
    <w:rsid w:val="008D4272"/>
    <w:rsid w:val="008D6D60"/>
    <w:rsid w:val="008E3652"/>
    <w:rsid w:val="0090194E"/>
    <w:rsid w:val="009C1071"/>
    <w:rsid w:val="00A123FA"/>
    <w:rsid w:val="00A14B74"/>
    <w:rsid w:val="00A470AE"/>
    <w:rsid w:val="00AB13B7"/>
    <w:rsid w:val="00AD2606"/>
    <w:rsid w:val="00B11164"/>
    <w:rsid w:val="00B17423"/>
    <w:rsid w:val="00B17B9B"/>
    <w:rsid w:val="00B42A02"/>
    <w:rsid w:val="00B74B3A"/>
    <w:rsid w:val="00B849EE"/>
    <w:rsid w:val="00B9029B"/>
    <w:rsid w:val="00BB2C8E"/>
    <w:rsid w:val="00C26C43"/>
    <w:rsid w:val="00C44F01"/>
    <w:rsid w:val="00CA2D37"/>
    <w:rsid w:val="00CC5CB6"/>
    <w:rsid w:val="00CE3D70"/>
    <w:rsid w:val="00D055EC"/>
    <w:rsid w:val="00D06759"/>
    <w:rsid w:val="00D14ABF"/>
    <w:rsid w:val="00D404ED"/>
    <w:rsid w:val="00D51261"/>
    <w:rsid w:val="00D748D3"/>
    <w:rsid w:val="00D842A2"/>
    <w:rsid w:val="00D85EEF"/>
    <w:rsid w:val="00DB3FEC"/>
    <w:rsid w:val="00DC7B3D"/>
    <w:rsid w:val="00DD230F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E2BB-90CD-41B0-8877-34B36138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2</cp:revision>
  <cp:lastPrinted>2015-10-09T14:23:00Z</cp:lastPrinted>
  <dcterms:created xsi:type="dcterms:W3CDTF">2017-09-19T17:30:00Z</dcterms:created>
  <dcterms:modified xsi:type="dcterms:W3CDTF">2017-09-19T17:30:00Z</dcterms:modified>
</cp:coreProperties>
</file>