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2D01AA"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5.35pt;height:417.6pt" o:ole="">
            <v:imagedata r:id="rId8" o:title=""/>
          </v:shape>
          <o:OLEObject Type="Embed" ProgID="Excel.Sheet.12" ShapeID="_x0000_i1026" DrawAspect="Content" ObjectID="_1592383432" r:id="rId9"/>
        </w:object>
      </w:r>
    </w:p>
    <w:p w:rsidR="00EA5418" w:rsidRDefault="00EA5418" w:rsidP="00372F40">
      <w:pPr>
        <w:jc w:val="center"/>
      </w:pPr>
    </w:p>
    <w:bookmarkStart w:id="1" w:name="_MON_1470805999"/>
    <w:bookmarkEnd w:id="1"/>
    <w:p w:rsidR="00EA5418" w:rsidRDefault="002D01AA" w:rsidP="0044253C">
      <w:pPr>
        <w:jc w:val="center"/>
      </w:pPr>
      <w:r>
        <w:object w:dxaOrig="25153" w:dyaOrig="18931">
          <v:shape id="_x0000_i1027" type="#_x0000_t75" style="width:584.65pt;height:438.9pt" o:ole="">
            <v:imagedata r:id="rId10" o:title=""/>
          </v:shape>
          <o:OLEObject Type="Embed" ProgID="Excel.Sheet.12" ShapeID="_x0000_i1027" DrawAspect="Content" ObjectID="_1592383433" r:id="rId11"/>
        </w:object>
      </w:r>
    </w:p>
    <w:bookmarkStart w:id="2" w:name="_MON_1470806992"/>
    <w:bookmarkEnd w:id="2"/>
    <w:p w:rsidR="00372F40" w:rsidRDefault="00466D20" w:rsidP="003E7FD0">
      <w:pPr>
        <w:jc w:val="center"/>
      </w:pPr>
      <w:r>
        <w:object w:dxaOrig="22094" w:dyaOrig="15453">
          <v:shape id="_x0000_i1028" type="#_x0000_t75" style="width:652.05pt;height:455.6pt" o:ole="">
            <v:imagedata r:id="rId12" o:title=""/>
          </v:shape>
          <o:OLEObject Type="Embed" ProgID="Excel.Sheet.12" ShapeID="_x0000_i1028" DrawAspect="Content" ObjectID="_1592383434" r:id="rId13"/>
        </w:object>
      </w:r>
    </w:p>
    <w:bookmarkStart w:id="3" w:name="_MON_1470807348"/>
    <w:bookmarkEnd w:id="3"/>
    <w:p w:rsidR="00372F40" w:rsidRDefault="008550C2" w:rsidP="008E3652">
      <w:pPr>
        <w:jc w:val="center"/>
      </w:pPr>
      <w:r>
        <w:object w:dxaOrig="17711" w:dyaOrig="12404">
          <v:shape id="_x0000_i1025" type="#_x0000_t75" style="width:644.55pt;height:451.6pt" o:ole="">
            <v:imagedata r:id="rId14" o:title=""/>
          </v:shape>
          <o:OLEObject Type="Embed" ProgID="Excel.Sheet.12" ShapeID="_x0000_i1025" DrawAspect="Content" ObjectID="_1592383435" r:id="rId15"/>
        </w:object>
      </w:r>
    </w:p>
    <w:bookmarkStart w:id="4" w:name="_MON_1470809138"/>
    <w:bookmarkEnd w:id="4"/>
    <w:p w:rsidR="00372F40" w:rsidRDefault="00466D20" w:rsidP="00522632">
      <w:pPr>
        <w:jc w:val="center"/>
      </w:pPr>
      <w:r>
        <w:object w:dxaOrig="17886" w:dyaOrig="12228">
          <v:shape id="_x0000_i1029" type="#_x0000_t75" style="width:634.75pt;height:433.15pt" o:ole="">
            <v:imagedata r:id="rId16" o:title=""/>
          </v:shape>
          <o:OLEObject Type="Embed" ProgID="Excel.Sheet.12" ShapeID="_x0000_i1029" DrawAspect="Content" ObjectID="_1592383436" r:id="rId17"/>
        </w:object>
      </w:r>
    </w:p>
    <w:p w:rsidR="00372F40" w:rsidRDefault="00372F40" w:rsidP="002A70B3">
      <w:pPr>
        <w:tabs>
          <w:tab w:val="left" w:pos="2430"/>
        </w:tabs>
      </w:pPr>
    </w:p>
    <w:p w:rsidR="00E32708" w:rsidRDefault="002D01AA" w:rsidP="00E32708">
      <w:pPr>
        <w:tabs>
          <w:tab w:val="left" w:pos="2430"/>
        </w:tabs>
        <w:jc w:val="center"/>
      </w:pPr>
      <w:r w:rsidRPr="00466D20">
        <w:rPr>
          <w:rFonts w:cstheme="minorHAnsi"/>
          <w:noProof/>
          <w:lang w:eastAsia="es-MX"/>
        </w:rPr>
        <w:lastRenderedPageBreak/>
        <w:object w:dxaOrig="23529" w:dyaOrig="15516">
          <v:shape id="_x0000_s1046" type="#_x0000_t75" style="position:absolute;left:0;text-align:left;margin-left:1.7pt;margin-top:2.75pt;width:736.35pt;height:429.6pt;z-index:251665408;mso-position-horizontal-relative:text;mso-position-vertical-relative:text">
            <v:imagedata r:id="rId18" o:title=""/>
            <w10:wrap type="square" side="right"/>
          </v:shape>
          <o:OLEObject Type="Embed" ProgID="Excel.Sheet.12" ShapeID="_x0000_s1046" DrawAspect="Content" ObjectID="_1592383438" r:id="rId19"/>
        </w:object>
      </w:r>
    </w:p>
    <w:bookmarkStart w:id="5" w:name="_MON_1470810366"/>
    <w:bookmarkEnd w:id="5"/>
    <w:p w:rsidR="00E32708" w:rsidRDefault="00E3397C" w:rsidP="00E32708">
      <w:pPr>
        <w:tabs>
          <w:tab w:val="left" w:pos="2430"/>
        </w:tabs>
        <w:jc w:val="center"/>
      </w:pPr>
      <w:r>
        <w:object w:dxaOrig="25922" w:dyaOrig="16771">
          <v:shape id="_x0000_i1030" type="#_x0000_t75" style="width:690.6pt;height:447.55pt" o:ole="">
            <v:imagedata r:id="rId20" o:title=""/>
          </v:shape>
          <o:OLEObject Type="Embed" ProgID="Excel.Sheet.12" ShapeID="_x0000_i1030" DrawAspect="Content" ObjectID="_1592383437"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8B479D">
        <w:rPr>
          <w:rFonts w:ascii="Arial" w:hAnsi="Arial" w:cs="Arial"/>
          <w:b/>
          <w:sz w:val="18"/>
          <w:szCs w:val="18"/>
        </w:rPr>
        <w:t>0</w:t>
      </w:r>
      <w:r w:rsidR="00F03C4D" w:rsidRPr="003B31A3">
        <w:rPr>
          <w:rFonts w:ascii="Arial" w:hAnsi="Arial" w:cs="Arial"/>
          <w:b/>
          <w:sz w:val="18"/>
          <w:szCs w:val="18"/>
        </w:rPr>
        <w:t xml:space="preserve"> de </w:t>
      </w:r>
      <w:r w:rsidR="008B479D">
        <w:rPr>
          <w:rFonts w:ascii="Arial" w:hAnsi="Arial" w:cs="Arial"/>
          <w:b/>
          <w:sz w:val="18"/>
          <w:szCs w:val="18"/>
        </w:rPr>
        <w:t>juni</w:t>
      </w:r>
      <w:r w:rsidR="00D1022B">
        <w:rPr>
          <w:rFonts w:ascii="Arial" w:hAnsi="Arial" w:cs="Arial"/>
          <w:b/>
          <w:sz w:val="18"/>
          <w:szCs w:val="18"/>
        </w:rPr>
        <w:t>o</w:t>
      </w:r>
      <w:r w:rsidR="0091599E">
        <w:rPr>
          <w:rFonts w:ascii="Arial" w:hAnsi="Arial" w:cs="Arial"/>
          <w:b/>
          <w:sz w:val="18"/>
          <w:szCs w:val="18"/>
        </w:rPr>
        <w:t xml:space="preserve"> </w:t>
      </w:r>
      <w:r w:rsidR="00F03C4D" w:rsidRPr="003B31A3">
        <w:rPr>
          <w:rFonts w:ascii="Arial" w:hAnsi="Arial" w:cs="Arial"/>
          <w:b/>
          <w:sz w:val="18"/>
          <w:szCs w:val="18"/>
        </w:rPr>
        <w:t>de 201</w:t>
      </w:r>
      <w:r w:rsidR="00343C3B">
        <w:rPr>
          <w:rFonts w:ascii="Arial" w:hAnsi="Arial" w:cs="Arial"/>
          <w:b/>
          <w:sz w:val="18"/>
          <w:szCs w:val="18"/>
        </w:rPr>
        <w:t>8</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383BAC">
        <w:rPr>
          <w:rFonts w:ascii="Arial" w:eastAsia="Times New Roman" w:hAnsi="Arial" w:cs="Arial"/>
          <w:sz w:val="18"/>
          <w:szCs w:val="18"/>
          <w:lang w:eastAsia="es-ES"/>
        </w:rPr>
        <w:t>segundo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201</w:t>
      </w:r>
      <w:r w:rsidR="00343C3B">
        <w:rPr>
          <w:rFonts w:ascii="Arial" w:eastAsia="Times New Roman" w:hAnsi="Arial" w:cs="Arial"/>
          <w:sz w:val="18"/>
          <w:szCs w:val="18"/>
          <w:lang w:eastAsia="es-ES"/>
        </w:rPr>
        <w:t>8</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 xml:space="preserve">Egresos Autorizado que fueron radicados </w:t>
      </w:r>
      <w:r w:rsidR="007437DD">
        <w:rPr>
          <w:rFonts w:ascii="Arial" w:hAnsi="Arial" w:cs="Arial"/>
          <w:sz w:val="18"/>
          <w:szCs w:val="18"/>
        </w:rPr>
        <w:t xml:space="preserve">al </w:t>
      </w:r>
      <w:r w:rsidR="009331E4">
        <w:rPr>
          <w:rFonts w:ascii="Arial" w:hAnsi="Arial" w:cs="Arial"/>
          <w:sz w:val="18"/>
          <w:szCs w:val="18"/>
        </w:rPr>
        <w:t xml:space="preserve">cierre del </w:t>
      </w:r>
      <w:r w:rsidR="00383BAC">
        <w:rPr>
          <w:rFonts w:ascii="Arial" w:hAnsi="Arial" w:cs="Arial"/>
          <w:sz w:val="18"/>
          <w:szCs w:val="18"/>
        </w:rPr>
        <w:t>segundo</w:t>
      </w:r>
      <w:r w:rsidR="009331E4">
        <w:rPr>
          <w:rFonts w:ascii="Arial" w:hAnsi="Arial" w:cs="Arial"/>
          <w:sz w:val="18"/>
          <w:szCs w:val="18"/>
        </w:rPr>
        <w:t xml:space="preserve"> trimestre </w:t>
      </w:r>
      <w:r w:rsidR="007437DD">
        <w:rPr>
          <w:rFonts w:ascii="Arial" w:hAnsi="Arial" w:cs="Arial"/>
          <w:sz w:val="18"/>
          <w:szCs w:val="18"/>
        </w:rPr>
        <w:t>de</w:t>
      </w:r>
      <w:r w:rsidR="00157A06">
        <w:rPr>
          <w:rFonts w:ascii="Arial" w:hAnsi="Arial" w:cs="Arial"/>
          <w:sz w:val="18"/>
          <w:szCs w:val="18"/>
        </w:rPr>
        <w:t xml:space="preserve">l </w:t>
      </w:r>
      <w:r w:rsidR="00E27FEE">
        <w:rPr>
          <w:rFonts w:ascii="Arial" w:hAnsi="Arial" w:cs="Arial"/>
          <w:sz w:val="18"/>
          <w:szCs w:val="18"/>
        </w:rPr>
        <w:t>ejercicio fiscal 201</w:t>
      </w:r>
      <w:r w:rsidR="00343C3B">
        <w:rPr>
          <w:rFonts w:ascii="Arial" w:hAnsi="Arial" w:cs="Arial"/>
          <w:sz w:val="18"/>
          <w:szCs w:val="18"/>
        </w:rPr>
        <w:t>8</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 xml:space="preserve">2*, </w:t>
      </w:r>
      <w:r w:rsidR="009331E4">
        <w:rPr>
          <w:rFonts w:ascii="Arial" w:hAnsi="Arial" w:cs="Arial"/>
          <w:sz w:val="18"/>
          <w:szCs w:val="18"/>
        </w:rPr>
        <w:t>el saldo que se muestra en la cuenta 0188144672 es por concepto de</w:t>
      </w:r>
      <w:r w:rsidR="00343C3B">
        <w:rPr>
          <w:rFonts w:ascii="Arial" w:hAnsi="Arial" w:cs="Arial"/>
          <w:sz w:val="18"/>
          <w:szCs w:val="18"/>
        </w:rPr>
        <w:t xml:space="preserve"> recursos que no se ejercieron en el ejercicio 2017 y que correspondían a el </w:t>
      </w:r>
      <w:r w:rsidR="009331E4">
        <w:rPr>
          <w:rFonts w:ascii="Arial" w:hAnsi="Arial" w:cs="Arial"/>
          <w:sz w:val="18"/>
          <w:szCs w:val="18"/>
        </w:rPr>
        <w:t>proyecto “Apoyos Asistenciales a Personas con Dis</w:t>
      </w:r>
      <w:r w:rsidR="00343C3B">
        <w:rPr>
          <w:rFonts w:ascii="Arial" w:hAnsi="Arial" w:cs="Arial"/>
          <w:sz w:val="18"/>
          <w:szCs w:val="18"/>
        </w:rPr>
        <w:t xml:space="preserve">capacidad Mental o Intelectual”. En la pasada sesión del H. Consejo Directivo que se llevó a cabo el pasado 3 de abril del año en curso, se autorizó para ser ejercidos en el ejercicio 2018. </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383BAC">
            <w:pPr>
              <w:jc w:val="center"/>
              <w:rPr>
                <w:rFonts w:ascii="Arial" w:hAnsi="Arial" w:cs="Arial"/>
                <w:b/>
                <w:sz w:val="18"/>
                <w:szCs w:val="18"/>
              </w:rPr>
            </w:pPr>
            <w:r w:rsidRPr="008C17CB">
              <w:rPr>
                <w:rFonts w:ascii="Arial" w:hAnsi="Arial" w:cs="Arial"/>
                <w:b/>
                <w:sz w:val="18"/>
                <w:szCs w:val="18"/>
              </w:rPr>
              <w:t>Monto al 3</w:t>
            </w:r>
            <w:r w:rsidR="00383BAC">
              <w:rPr>
                <w:rFonts w:ascii="Arial" w:hAnsi="Arial" w:cs="Arial"/>
                <w:b/>
                <w:sz w:val="18"/>
                <w:szCs w:val="18"/>
              </w:rPr>
              <w:t>0</w:t>
            </w:r>
            <w:r w:rsidRPr="008C17CB">
              <w:rPr>
                <w:rFonts w:ascii="Arial" w:hAnsi="Arial" w:cs="Arial"/>
                <w:b/>
                <w:sz w:val="18"/>
                <w:szCs w:val="18"/>
              </w:rPr>
              <w:t xml:space="preserve"> de </w:t>
            </w:r>
            <w:r w:rsidR="00383BAC">
              <w:rPr>
                <w:rFonts w:ascii="Arial" w:hAnsi="Arial" w:cs="Arial"/>
                <w:b/>
                <w:sz w:val="18"/>
                <w:szCs w:val="18"/>
              </w:rPr>
              <w:t>juni</w:t>
            </w:r>
            <w:r w:rsidR="00343C3B">
              <w:rPr>
                <w:rFonts w:ascii="Arial" w:hAnsi="Arial" w:cs="Arial"/>
                <w:b/>
                <w:sz w:val="18"/>
                <w:szCs w:val="18"/>
              </w:rPr>
              <w:t>o de 2018</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383BAC" w:rsidP="00383BAC">
            <w:pPr>
              <w:jc w:val="right"/>
              <w:rPr>
                <w:rFonts w:ascii="Arial" w:hAnsi="Arial" w:cs="Arial"/>
                <w:sz w:val="18"/>
                <w:szCs w:val="18"/>
              </w:rPr>
            </w:pPr>
            <w:r>
              <w:rPr>
                <w:rFonts w:ascii="Arial" w:hAnsi="Arial" w:cs="Arial"/>
                <w:sz w:val="18"/>
                <w:szCs w:val="18"/>
              </w:rPr>
              <w:t>246,201</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383BAC" w:rsidP="00230BFA">
            <w:pPr>
              <w:jc w:val="right"/>
              <w:rPr>
                <w:rFonts w:ascii="Arial" w:hAnsi="Arial" w:cs="Arial"/>
                <w:sz w:val="18"/>
                <w:szCs w:val="18"/>
              </w:rPr>
            </w:pPr>
            <w:r>
              <w:rPr>
                <w:rFonts w:ascii="Arial" w:hAnsi="Arial" w:cs="Arial"/>
                <w:sz w:val="18"/>
                <w:szCs w:val="18"/>
              </w:rPr>
              <w:t>180,263</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383BAC">
        <w:t>0 de juni</w:t>
      </w:r>
      <w:r w:rsidR="00343C3B">
        <w:t>o</w:t>
      </w:r>
      <w:r w:rsidR="00372202">
        <w:t xml:space="preserve"> de 201</w:t>
      </w:r>
      <w:r w:rsidR="00343C3B">
        <w:t>8</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9B172B" w:rsidRDefault="009B172B" w:rsidP="00540418">
      <w:pPr>
        <w:pStyle w:val="ROMANOS"/>
        <w:spacing w:after="0" w:line="240" w:lineRule="exact"/>
        <w:rPr>
          <w:lang w:val="es-MX"/>
        </w:rPr>
      </w:pPr>
    </w:p>
    <w:p w:rsidR="009B172B" w:rsidRDefault="009B172B"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lastRenderedPageBreak/>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343C3B">
            <w:pPr>
              <w:pStyle w:val="Prrafodelista"/>
              <w:ind w:left="0"/>
              <w:jc w:val="right"/>
              <w:rPr>
                <w:rFonts w:ascii="Arial" w:hAnsi="Arial" w:cs="Arial"/>
                <w:sz w:val="18"/>
                <w:szCs w:val="18"/>
              </w:rPr>
            </w:pPr>
            <w:r>
              <w:rPr>
                <w:rFonts w:ascii="Arial" w:hAnsi="Arial" w:cs="Arial"/>
                <w:sz w:val="18"/>
                <w:szCs w:val="18"/>
              </w:rPr>
              <w:t>745,</w:t>
            </w:r>
            <w:r w:rsidR="00343C3B">
              <w:rPr>
                <w:rFonts w:ascii="Arial" w:hAnsi="Arial" w:cs="Arial"/>
                <w:sz w:val="18"/>
                <w:szCs w:val="18"/>
              </w:rPr>
              <w:t>344</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EA050C" w:rsidP="00E529A0">
            <w:pPr>
              <w:pStyle w:val="Prrafodelista"/>
              <w:ind w:left="0"/>
              <w:jc w:val="right"/>
              <w:rPr>
                <w:rFonts w:ascii="Arial" w:hAnsi="Arial" w:cs="Arial"/>
                <w:sz w:val="18"/>
                <w:szCs w:val="18"/>
              </w:rPr>
            </w:pPr>
            <w:r>
              <w:rPr>
                <w:rFonts w:ascii="Arial" w:hAnsi="Arial" w:cs="Arial"/>
                <w:sz w:val="18"/>
                <w:szCs w:val="18"/>
              </w:rPr>
              <w:t>45,579</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9331E4">
            <w:pPr>
              <w:pStyle w:val="Prrafodelista"/>
              <w:ind w:left="0"/>
              <w:jc w:val="right"/>
              <w:rPr>
                <w:rFonts w:ascii="Arial" w:hAnsi="Arial" w:cs="Arial"/>
                <w:b/>
                <w:sz w:val="18"/>
                <w:szCs w:val="18"/>
              </w:rPr>
            </w:pPr>
            <w:r>
              <w:rPr>
                <w:rFonts w:ascii="Arial" w:hAnsi="Arial" w:cs="Arial"/>
                <w:b/>
                <w:sz w:val="18"/>
                <w:szCs w:val="18"/>
              </w:rPr>
              <w:t>4,612,921</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 aún no se contempla ningún método de depreciación, por lo que la partida de Bienes Muebles refleja el costo histórico que corresponde a su fecha de adquisición.</w:t>
      </w:r>
    </w:p>
    <w:p w:rsidR="008C17CB" w:rsidRDefault="008C17CB" w:rsidP="00572549">
      <w:pPr>
        <w:ind w:left="708"/>
        <w:jc w:val="both"/>
        <w:rPr>
          <w:rFonts w:ascii="Arial" w:hAnsi="Arial" w:cs="Arial"/>
          <w:sz w:val="18"/>
          <w:szCs w:val="18"/>
        </w:rPr>
      </w:pPr>
      <w:r w:rsidRPr="006F0BF2">
        <w:rPr>
          <w:rFonts w:ascii="Arial" w:hAnsi="Arial" w:cs="Arial"/>
          <w:sz w:val="18"/>
          <w:szCs w:val="18"/>
        </w:rPr>
        <w:t>El edificio que alberga las oficinas del Instituto Tlaxcalteca para Personas con Discapacidad, aun no se encuentra regularizado, por lo que no se contempla dentro de la contabilidad.</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6D7871"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 xml:space="preserve">marzo 2 empresas estadounidenses (VIVINT Y GLOBEAWERE) y 2 empresas mexicanas (CONSTRUYENDO Y NOMAD REPUBLIC) se acercaron al Instituto con la intención de apoyar con la construcción de un edificio que tuviera como finalidad atender a personas con discapacidad, se lograron los acuerdos y a finales del mes de octubre se iniciaron los trabajos de construcción. Al cierre del mes de </w:t>
      </w:r>
      <w:r w:rsidR="005A420E">
        <w:rPr>
          <w:rFonts w:ascii="Arial" w:hAnsi="Arial" w:cs="Arial"/>
          <w:sz w:val="18"/>
          <w:szCs w:val="18"/>
        </w:rPr>
        <w:t>junio</w:t>
      </w:r>
      <w:r w:rsidR="00ED1F2B">
        <w:rPr>
          <w:rFonts w:ascii="Arial" w:hAnsi="Arial" w:cs="Arial"/>
          <w:sz w:val="18"/>
          <w:szCs w:val="18"/>
        </w:rPr>
        <w:t xml:space="preserve"> ya se cuenta con un avance del 100% en la construcción y </w:t>
      </w:r>
      <w:r w:rsidR="005A420E">
        <w:rPr>
          <w:rFonts w:ascii="Arial" w:hAnsi="Arial" w:cs="Arial"/>
          <w:sz w:val="18"/>
          <w:szCs w:val="18"/>
        </w:rPr>
        <w:t>8</w:t>
      </w:r>
      <w:r w:rsidR="00ED1F2B">
        <w:rPr>
          <w:rFonts w:ascii="Arial" w:hAnsi="Arial" w:cs="Arial"/>
          <w:sz w:val="18"/>
          <w:szCs w:val="18"/>
        </w:rPr>
        <w:t>0% en el acondicionamiento.</w:t>
      </w: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383BAC">
        <w:rPr>
          <w:lang w:val="es-MX"/>
        </w:rPr>
        <w:t>segundo</w:t>
      </w:r>
      <w:r w:rsidR="009331E4">
        <w:rPr>
          <w:lang w:val="es-MX"/>
        </w:rPr>
        <w:t xml:space="preserve"> trimestre del </w:t>
      </w:r>
      <w:r>
        <w:rPr>
          <w:lang w:val="es-MX"/>
        </w:rPr>
        <w:t>ejercicio 201</w:t>
      </w:r>
      <w:r w:rsidR="00343C3B">
        <w:rPr>
          <w:lang w:val="es-MX"/>
        </w:rPr>
        <w:t>8</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 xml:space="preserve">VENTAS, servicios prestados, </w:t>
      </w:r>
      <w:r w:rsidR="009013B0" w:rsidRPr="009013B0">
        <w:rPr>
          <w:i/>
        </w:rPr>
        <w:lastRenderedPageBreak/>
        <w:t>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“Posesión”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Pr="00163D6C" w:rsidRDefault="008315CB"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383BAC">
        <w:rPr>
          <w:lang w:val="es-MX"/>
        </w:rPr>
        <w:t>segundo</w:t>
      </w:r>
      <w:r w:rsidR="009331E4">
        <w:rPr>
          <w:lang w:val="es-MX"/>
        </w:rPr>
        <w:t xml:space="preserve"> trimestre del </w:t>
      </w:r>
      <w:r w:rsidR="007437DD">
        <w:rPr>
          <w:lang w:val="es-MX"/>
        </w:rPr>
        <w:t>ejercicio 201</w:t>
      </w:r>
      <w:r w:rsidR="00343C3B">
        <w:rPr>
          <w:lang w:val="es-MX"/>
        </w:rPr>
        <w:t>8</w:t>
      </w:r>
      <w:r w:rsidR="007437DD">
        <w:rPr>
          <w:lang w:val="es-MX"/>
        </w:rPr>
        <w:t xml:space="preserve"> </w:t>
      </w:r>
      <w:r>
        <w:rPr>
          <w:lang w:val="es-MX"/>
        </w:rPr>
        <w:t xml:space="preserve">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343C3B" w:rsidP="007D7DA5">
            <w:pPr>
              <w:jc w:val="right"/>
              <w:rPr>
                <w:rFonts w:ascii="Arial" w:hAnsi="Arial" w:cs="Arial"/>
                <w:sz w:val="18"/>
                <w:szCs w:val="18"/>
              </w:rPr>
            </w:pPr>
            <w:r>
              <w:rPr>
                <w:rFonts w:ascii="Arial" w:hAnsi="Arial" w:cs="Arial"/>
                <w:sz w:val="18"/>
                <w:szCs w:val="18"/>
              </w:rPr>
              <w:t>8,343,673</w:t>
            </w:r>
          </w:p>
        </w:tc>
        <w:tc>
          <w:tcPr>
            <w:tcW w:w="1581" w:type="dxa"/>
          </w:tcPr>
          <w:p w:rsidR="009B172B" w:rsidRDefault="00343C3B" w:rsidP="007D7DA5">
            <w:pPr>
              <w:jc w:val="right"/>
              <w:rPr>
                <w:rFonts w:ascii="Arial" w:hAnsi="Arial" w:cs="Arial"/>
                <w:sz w:val="18"/>
                <w:szCs w:val="18"/>
              </w:rPr>
            </w:pPr>
            <w:r>
              <w:rPr>
                <w:rFonts w:ascii="Arial" w:hAnsi="Arial" w:cs="Arial"/>
                <w:sz w:val="18"/>
                <w:szCs w:val="18"/>
              </w:rPr>
              <w:t>0</w:t>
            </w:r>
          </w:p>
        </w:tc>
        <w:tc>
          <w:tcPr>
            <w:tcW w:w="1581" w:type="dxa"/>
          </w:tcPr>
          <w:p w:rsidR="009B172B" w:rsidRDefault="00343C3B" w:rsidP="007D7DA5">
            <w:pPr>
              <w:jc w:val="right"/>
              <w:rPr>
                <w:rFonts w:ascii="Arial" w:hAnsi="Arial" w:cs="Arial"/>
                <w:sz w:val="18"/>
                <w:szCs w:val="18"/>
              </w:rPr>
            </w:pPr>
            <w:r>
              <w:rPr>
                <w:rFonts w:ascii="Arial" w:hAnsi="Arial" w:cs="Arial"/>
                <w:sz w:val="18"/>
                <w:szCs w:val="18"/>
              </w:rPr>
              <w:t>8,343,673</w:t>
            </w:r>
          </w:p>
        </w:tc>
      </w:tr>
      <w:tr w:rsidR="00343C3B" w:rsidRPr="003F1ACF" w:rsidTr="009B172B">
        <w:trPr>
          <w:jc w:val="center"/>
        </w:trPr>
        <w:tc>
          <w:tcPr>
            <w:tcW w:w="3150" w:type="dxa"/>
          </w:tcPr>
          <w:p w:rsidR="00343C3B" w:rsidRPr="003F1ACF" w:rsidRDefault="00343C3B" w:rsidP="00343C3B">
            <w:pPr>
              <w:jc w:val="both"/>
              <w:rPr>
                <w:rFonts w:ascii="Arial" w:hAnsi="Arial" w:cs="Arial"/>
                <w:b/>
                <w:sz w:val="18"/>
                <w:szCs w:val="18"/>
              </w:rPr>
            </w:pPr>
            <w:r w:rsidRPr="003F1ACF">
              <w:rPr>
                <w:rFonts w:ascii="Arial" w:hAnsi="Arial" w:cs="Arial"/>
                <w:b/>
                <w:sz w:val="18"/>
                <w:szCs w:val="18"/>
              </w:rPr>
              <w:t>Total</w:t>
            </w:r>
          </w:p>
        </w:tc>
        <w:tc>
          <w:tcPr>
            <w:tcW w:w="2672" w:type="dxa"/>
          </w:tcPr>
          <w:p w:rsidR="00343C3B" w:rsidRPr="003F1ACF" w:rsidRDefault="00343C3B" w:rsidP="00343C3B">
            <w:pPr>
              <w:jc w:val="both"/>
              <w:rPr>
                <w:rFonts w:ascii="Arial" w:hAnsi="Arial" w:cs="Arial"/>
                <w:b/>
                <w:sz w:val="18"/>
                <w:szCs w:val="18"/>
              </w:rPr>
            </w:pP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8,343,673</w:t>
            </w: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0</w:t>
            </w: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8,343,673</w:t>
            </w:r>
          </w:p>
        </w:tc>
      </w:tr>
    </w:tbl>
    <w:p w:rsidR="005A5DA7" w:rsidRDefault="005A5DA7"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E867FE" w:rsidRDefault="00E867FE"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lastRenderedPageBreak/>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201</w:t>
      </w:r>
      <w:r w:rsidR="00383BAC">
        <w:rPr>
          <w:lang w:val="es-MX"/>
        </w:rPr>
        <w:t>8</w:t>
      </w:r>
      <w:r>
        <w:rPr>
          <w:lang w:val="es-MX"/>
        </w:rPr>
        <w:t xml:space="preserve">, publicadas en el </w:t>
      </w:r>
      <w:r w:rsidR="003C56D0">
        <w:rPr>
          <w:lang w:val="es-MX"/>
        </w:rPr>
        <w:t>Periódico</w:t>
      </w:r>
      <w:r>
        <w:rPr>
          <w:lang w:val="es-MX"/>
        </w:rPr>
        <w:t xml:space="preserve"> Oficial </w:t>
      </w:r>
      <w:r w:rsidR="007437DD">
        <w:rPr>
          <w:lang w:val="es-MX"/>
        </w:rPr>
        <w:t xml:space="preserve">el </w:t>
      </w:r>
      <w:r w:rsidR="009331E4">
        <w:rPr>
          <w:lang w:val="es-MX"/>
        </w:rPr>
        <w:t xml:space="preserve">día 15 del </w:t>
      </w:r>
      <w:r w:rsidR="007437DD">
        <w:rPr>
          <w:lang w:val="es-MX"/>
        </w:rPr>
        <w:t xml:space="preserve">mes de </w:t>
      </w:r>
      <w:r w:rsidR="009331E4">
        <w:rPr>
          <w:lang w:val="es-MX"/>
        </w:rPr>
        <w:t>marzo</w:t>
      </w:r>
      <w:r w:rsidR="007437DD">
        <w:rPr>
          <w:lang w:val="es-MX"/>
        </w:rPr>
        <w:t xml:space="preserve"> y </w:t>
      </w:r>
      <w:r>
        <w:rPr>
          <w:lang w:val="es-MX"/>
        </w:rPr>
        <w:t>se encuentra</w:t>
      </w:r>
      <w:r w:rsidRPr="00113D75">
        <w:rPr>
          <w:lang w:val="es-MX"/>
        </w:rPr>
        <w:t> clasificado como sigue:</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275"/>
      </w:tblGrid>
      <w:tr w:rsidR="00113D75" w:rsidTr="00113D75">
        <w:trPr>
          <w:jc w:val="center"/>
        </w:trPr>
        <w:tc>
          <w:tcPr>
            <w:tcW w:w="3244"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Ayudas Técnicas</w:t>
            </w:r>
          </w:p>
        </w:tc>
        <w:tc>
          <w:tcPr>
            <w:tcW w:w="1275" w:type="dxa"/>
          </w:tcPr>
          <w:p w:rsidR="00113D75" w:rsidRPr="001D5CE2" w:rsidRDefault="00343C3B" w:rsidP="00380744">
            <w:pPr>
              <w:pStyle w:val="ROMANOS"/>
              <w:spacing w:after="0" w:line="240" w:lineRule="exact"/>
              <w:ind w:left="0" w:firstLine="0"/>
              <w:jc w:val="right"/>
              <w:rPr>
                <w:lang w:val="es-MX"/>
              </w:rPr>
            </w:pPr>
            <w:r>
              <w:rPr>
                <w:lang w:val="es-MX"/>
              </w:rPr>
              <w:t>2,186,091</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Apoyos Económicos</w:t>
            </w:r>
          </w:p>
        </w:tc>
        <w:tc>
          <w:tcPr>
            <w:tcW w:w="1275" w:type="dxa"/>
          </w:tcPr>
          <w:p w:rsidR="00113D75" w:rsidRPr="001D5CE2" w:rsidRDefault="00343C3B" w:rsidP="001D5CE2">
            <w:pPr>
              <w:pStyle w:val="ROMANOS"/>
              <w:spacing w:after="0" w:line="240" w:lineRule="exact"/>
              <w:ind w:left="0" w:firstLine="0"/>
              <w:jc w:val="right"/>
              <w:rPr>
                <w:lang w:val="es-MX"/>
              </w:rPr>
            </w:pPr>
            <w:r>
              <w:rPr>
                <w:lang w:val="es-MX"/>
              </w:rPr>
              <w:t>513,711</w:t>
            </w:r>
          </w:p>
        </w:tc>
      </w:tr>
    </w:tbl>
    <w:p w:rsidR="00113D75" w:rsidRDefault="00113D75" w:rsidP="00540418">
      <w:pPr>
        <w:pStyle w:val="ROMANOS"/>
        <w:spacing w:after="0" w:line="240" w:lineRule="exact"/>
        <w:rPr>
          <w:lang w:val="es-MX"/>
        </w:rPr>
      </w:pPr>
    </w:p>
    <w:p w:rsidR="00113D75" w:rsidRPr="00113D75" w:rsidRDefault="00113D75"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383BAC">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383BAC">
              <w:rPr>
                <w:rFonts w:ascii="Arial" w:eastAsia="Times New Roman" w:hAnsi="Arial" w:cs="Arial"/>
                <w:b/>
                <w:color w:val="000000"/>
                <w:kern w:val="24"/>
                <w:sz w:val="18"/>
                <w:szCs w:val="18"/>
                <w:lang w:eastAsia="es-MX"/>
              </w:rPr>
              <w:t>0</w:t>
            </w:r>
            <w:r w:rsidR="007D6C7E">
              <w:rPr>
                <w:rFonts w:ascii="Arial" w:eastAsia="Times New Roman" w:hAnsi="Arial" w:cs="Arial"/>
                <w:b/>
                <w:color w:val="000000"/>
                <w:kern w:val="24"/>
                <w:sz w:val="18"/>
                <w:szCs w:val="18"/>
                <w:lang w:eastAsia="es-MX"/>
              </w:rPr>
              <w:t xml:space="preserve"> de </w:t>
            </w:r>
            <w:r w:rsidR="00383BAC">
              <w:rPr>
                <w:rFonts w:ascii="Arial" w:eastAsia="Times New Roman" w:hAnsi="Arial" w:cs="Arial"/>
                <w:b/>
                <w:color w:val="000000"/>
                <w:kern w:val="24"/>
                <w:sz w:val="18"/>
                <w:szCs w:val="18"/>
                <w:lang w:eastAsia="es-MX"/>
              </w:rPr>
              <w:t>juni</w:t>
            </w:r>
            <w:r w:rsidR="00343C3B">
              <w:rPr>
                <w:rFonts w:ascii="Arial" w:eastAsia="Times New Roman" w:hAnsi="Arial" w:cs="Arial"/>
                <w:b/>
                <w:color w:val="000000"/>
                <w:kern w:val="24"/>
                <w:sz w:val="18"/>
                <w:szCs w:val="18"/>
                <w:lang w:eastAsia="es-MX"/>
              </w:rPr>
              <w:t>o de 2018</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763FD2">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4,612,921</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331E4">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2D3DAA">
              <w:rPr>
                <w:rFonts w:ascii="Arial" w:eastAsia="Times New Roman" w:hAnsi="Arial" w:cs="Arial"/>
                <w:kern w:val="24"/>
                <w:sz w:val="18"/>
                <w:szCs w:val="18"/>
                <w:lang w:eastAsia="es-MX"/>
              </w:rPr>
              <w:t xml:space="preserve">de Ejercicios Anteriores </w:t>
            </w:r>
            <w:r w:rsidR="00E529A0">
              <w:rPr>
                <w:rFonts w:ascii="Arial" w:eastAsia="Times New Roman" w:hAnsi="Arial" w:cs="Arial"/>
                <w:kern w:val="24"/>
                <w:sz w:val="18"/>
                <w:szCs w:val="18"/>
                <w:lang w:eastAsia="es-MX"/>
              </w:rPr>
              <w:t>201</w:t>
            </w:r>
            <w:r w:rsidR="009331E4">
              <w:rPr>
                <w:rFonts w:ascii="Arial" w:eastAsia="Times New Roman" w:hAnsi="Arial" w:cs="Arial"/>
                <w:kern w:val="24"/>
                <w:sz w:val="18"/>
                <w:szCs w:val="18"/>
                <w:lang w:eastAsia="es-MX"/>
              </w:rPr>
              <w:t>5</w:t>
            </w:r>
          </w:p>
        </w:tc>
        <w:tc>
          <w:tcPr>
            <w:tcW w:w="2268" w:type="dxa"/>
          </w:tcPr>
          <w:p w:rsidR="00F720AC" w:rsidRPr="006F0BF2" w:rsidRDefault="00343C3B"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2,458</w:t>
            </w:r>
          </w:p>
        </w:tc>
        <w:tc>
          <w:tcPr>
            <w:tcW w:w="3527" w:type="dxa"/>
          </w:tcPr>
          <w:p w:rsidR="00F720AC" w:rsidRPr="006F0BF2" w:rsidRDefault="003269CA" w:rsidP="0067397E">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2015.</w:t>
            </w:r>
          </w:p>
        </w:tc>
      </w:tr>
      <w:tr w:rsidR="00343C3B" w:rsidRPr="006F0BF2" w:rsidTr="00F77D28">
        <w:trPr>
          <w:jc w:val="center"/>
        </w:trPr>
        <w:tc>
          <w:tcPr>
            <w:tcW w:w="2797" w:type="dxa"/>
          </w:tcPr>
          <w:p w:rsidR="00343C3B" w:rsidRDefault="00343C3B" w:rsidP="00D0688B">
            <w:pPr>
              <w:pStyle w:val="Default"/>
              <w:rPr>
                <w:rFonts w:ascii="Arial" w:eastAsia="Times New Roman" w:hAnsi="Arial" w:cs="Arial"/>
                <w:kern w:val="24"/>
                <w:sz w:val="18"/>
                <w:szCs w:val="18"/>
                <w:lang w:eastAsia="es-MX"/>
              </w:rPr>
            </w:pPr>
            <w:r w:rsidRPr="006F0BF2">
              <w:rPr>
                <w:rFonts w:ascii="Arial" w:eastAsia="Times New Roman" w:hAnsi="Arial" w:cs="Arial"/>
                <w:kern w:val="24"/>
                <w:sz w:val="18"/>
                <w:szCs w:val="18"/>
                <w:lang w:eastAsia="es-MX"/>
              </w:rPr>
              <w:t xml:space="preserve">Resultado </w:t>
            </w:r>
            <w:r w:rsidR="002D3DAA">
              <w:rPr>
                <w:rFonts w:ascii="Arial" w:eastAsia="Times New Roman" w:hAnsi="Arial" w:cs="Arial"/>
                <w:kern w:val="24"/>
                <w:sz w:val="18"/>
                <w:szCs w:val="18"/>
                <w:lang w:eastAsia="es-MX"/>
              </w:rPr>
              <w:t xml:space="preserve">de Ejercicios Anteriores </w:t>
            </w:r>
            <w:r>
              <w:rPr>
                <w:rFonts w:ascii="Arial" w:eastAsia="Times New Roman" w:hAnsi="Arial" w:cs="Arial"/>
                <w:kern w:val="24"/>
                <w:sz w:val="18"/>
                <w:szCs w:val="18"/>
                <w:lang w:eastAsia="es-MX"/>
              </w:rPr>
              <w:t>2016</w:t>
            </w:r>
          </w:p>
        </w:tc>
        <w:tc>
          <w:tcPr>
            <w:tcW w:w="2268" w:type="dxa"/>
          </w:tcPr>
          <w:p w:rsidR="00343C3B" w:rsidRDefault="00343C3B" w:rsidP="00343C3B">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210</w:t>
            </w:r>
          </w:p>
        </w:tc>
        <w:tc>
          <w:tcPr>
            <w:tcW w:w="3527" w:type="dxa"/>
          </w:tcPr>
          <w:p w:rsidR="00343C3B"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2016.</w:t>
            </w:r>
          </w:p>
        </w:tc>
      </w:tr>
      <w:tr w:rsidR="009B172B" w:rsidRPr="006F0BF2" w:rsidTr="00F77D28">
        <w:trPr>
          <w:jc w:val="center"/>
        </w:trPr>
        <w:tc>
          <w:tcPr>
            <w:tcW w:w="2797" w:type="dxa"/>
          </w:tcPr>
          <w:p w:rsidR="009B172B" w:rsidRPr="006F0BF2" w:rsidRDefault="009B172B" w:rsidP="002D3DAA">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Resultado de</w:t>
            </w:r>
            <w:r w:rsidR="002D3DAA">
              <w:rPr>
                <w:rFonts w:ascii="Arial" w:eastAsia="Times New Roman" w:hAnsi="Arial" w:cs="Arial"/>
                <w:kern w:val="24"/>
                <w:sz w:val="18"/>
                <w:szCs w:val="18"/>
                <w:lang w:eastAsia="es-MX"/>
              </w:rPr>
              <w:t xml:space="preserve"> </w:t>
            </w:r>
            <w:r>
              <w:rPr>
                <w:rFonts w:ascii="Arial" w:eastAsia="Times New Roman" w:hAnsi="Arial" w:cs="Arial"/>
                <w:kern w:val="24"/>
                <w:sz w:val="18"/>
                <w:szCs w:val="18"/>
                <w:lang w:eastAsia="es-MX"/>
              </w:rPr>
              <w:t>Ejercicio</w:t>
            </w:r>
            <w:r w:rsidR="002D3DAA">
              <w:rPr>
                <w:rFonts w:ascii="Arial" w:eastAsia="Times New Roman" w:hAnsi="Arial" w:cs="Arial"/>
                <w:kern w:val="24"/>
                <w:sz w:val="18"/>
                <w:szCs w:val="18"/>
                <w:lang w:eastAsia="es-MX"/>
              </w:rPr>
              <w:t>s Anteriores</w:t>
            </w:r>
            <w:r>
              <w:rPr>
                <w:rFonts w:ascii="Arial" w:eastAsia="Times New Roman" w:hAnsi="Arial" w:cs="Arial"/>
                <w:kern w:val="24"/>
                <w:sz w:val="18"/>
                <w:szCs w:val="18"/>
                <w:lang w:eastAsia="es-MX"/>
              </w:rPr>
              <w:t xml:space="preserve"> 201</w:t>
            </w:r>
            <w:r w:rsidR="00D0688B">
              <w:rPr>
                <w:rFonts w:ascii="Arial" w:eastAsia="Times New Roman" w:hAnsi="Arial" w:cs="Arial"/>
                <w:kern w:val="24"/>
                <w:sz w:val="18"/>
                <w:szCs w:val="18"/>
                <w:lang w:eastAsia="es-MX"/>
              </w:rPr>
              <w:t>7</w:t>
            </w:r>
          </w:p>
        </w:tc>
        <w:tc>
          <w:tcPr>
            <w:tcW w:w="2268" w:type="dxa"/>
          </w:tcPr>
          <w:p w:rsidR="009B172B" w:rsidRDefault="00E3397C" w:rsidP="00794EC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215243</w:t>
            </w:r>
          </w:p>
        </w:tc>
        <w:tc>
          <w:tcPr>
            <w:tcW w:w="3527" w:type="dxa"/>
          </w:tcPr>
          <w:p w:rsidR="009B172B"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2017</w:t>
            </w:r>
            <w:r w:rsidR="00E3397C">
              <w:rPr>
                <w:rFonts w:ascii="Arial" w:eastAsia="Times New Roman" w:hAnsi="Arial" w:cs="Arial"/>
                <w:kern w:val="24"/>
                <w:sz w:val="18"/>
                <w:szCs w:val="18"/>
                <w:lang w:eastAsia="es-MX"/>
              </w:rPr>
              <w:t>, cabe mencionar que se reintegró a esta cuenta la cantidad de $29,983.14 para dar por cumplida una observación que hiciera el O.F.S.</w:t>
            </w:r>
          </w:p>
        </w:tc>
      </w:tr>
      <w:tr w:rsidR="002D3DAA" w:rsidRPr="006F0BF2" w:rsidTr="00F77D28">
        <w:trPr>
          <w:jc w:val="center"/>
        </w:trPr>
        <w:tc>
          <w:tcPr>
            <w:tcW w:w="2797" w:type="dxa"/>
          </w:tcPr>
          <w:p w:rsidR="002D3DAA" w:rsidRDefault="00383BAC" w:rsidP="00383BAC">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Resultado del Ejercicio 2018 </w:t>
            </w:r>
          </w:p>
        </w:tc>
        <w:tc>
          <w:tcPr>
            <w:tcW w:w="2268" w:type="dxa"/>
          </w:tcPr>
          <w:p w:rsidR="002D3DAA" w:rsidRDefault="00E3397C" w:rsidP="00794EC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231,549</w:t>
            </w:r>
          </w:p>
        </w:tc>
        <w:tc>
          <w:tcPr>
            <w:tcW w:w="3527" w:type="dxa"/>
          </w:tcPr>
          <w:p w:rsidR="002D3DAA"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Superávit reflejado en los Estados Financieros</w:t>
            </w:r>
          </w:p>
        </w:tc>
      </w:tr>
    </w:tbl>
    <w:p w:rsidR="00F720AC" w:rsidRPr="00F720AC" w:rsidRDefault="00F720AC" w:rsidP="00540418">
      <w:pPr>
        <w:pStyle w:val="INCISO"/>
        <w:spacing w:after="0" w:line="240" w:lineRule="exact"/>
        <w:ind w:left="360"/>
        <w:rPr>
          <w:b/>
          <w:smallCaps/>
          <w:lang w:val="es-MX"/>
        </w:rPr>
      </w:pPr>
    </w:p>
    <w:p w:rsidR="00A7572F" w:rsidRDefault="00A7572F"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Pr>
                <w:b/>
                <w:szCs w:val="18"/>
                <w:lang w:val="es-MX"/>
              </w:rPr>
              <w:t>201</w:t>
            </w:r>
            <w:r w:rsidR="002D3DAA">
              <w:rPr>
                <w:b/>
                <w:szCs w:val="18"/>
                <w:lang w:val="es-MX"/>
              </w:rPr>
              <w:t>8</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2D3DAA">
            <w:pPr>
              <w:pStyle w:val="Texto"/>
              <w:spacing w:after="0" w:line="240" w:lineRule="exact"/>
              <w:ind w:firstLine="0"/>
              <w:jc w:val="center"/>
              <w:rPr>
                <w:b/>
                <w:szCs w:val="18"/>
                <w:lang w:val="es-MX"/>
              </w:rPr>
            </w:pPr>
            <w:r w:rsidRPr="00F77D28">
              <w:rPr>
                <w:b/>
                <w:szCs w:val="18"/>
                <w:lang w:val="es-MX"/>
              </w:rPr>
              <w:t>201</w:t>
            </w:r>
            <w:r w:rsidR="002D3DAA">
              <w:rPr>
                <w:b/>
                <w:szCs w:val="18"/>
                <w:lang w:val="es-MX"/>
              </w:rPr>
              <w:t>7</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383BAC" w:rsidP="00F77D28">
            <w:pPr>
              <w:pStyle w:val="Texto"/>
              <w:spacing w:after="0" w:line="240" w:lineRule="exact"/>
              <w:ind w:firstLine="0"/>
              <w:jc w:val="right"/>
              <w:rPr>
                <w:szCs w:val="18"/>
                <w:lang w:val="es-MX"/>
              </w:rPr>
            </w:pPr>
            <w:r>
              <w:rPr>
                <w:szCs w:val="18"/>
                <w:lang w:val="es-MX"/>
              </w:rPr>
              <w:t>426,464</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2D3DAA" w:rsidP="00AD6049">
            <w:pPr>
              <w:pStyle w:val="Texto"/>
              <w:spacing w:after="0" w:line="240" w:lineRule="exact"/>
              <w:ind w:firstLine="0"/>
              <w:jc w:val="right"/>
              <w:rPr>
                <w:szCs w:val="18"/>
                <w:lang w:val="es-MX"/>
              </w:rPr>
            </w:pPr>
            <w:r>
              <w:rPr>
                <w:szCs w:val="18"/>
                <w:lang w:val="es-MX"/>
              </w:rPr>
              <w:t>2,697,777</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383BAC" w:rsidP="00F77D28">
            <w:pPr>
              <w:pStyle w:val="Texto"/>
              <w:spacing w:after="0" w:line="240" w:lineRule="exact"/>
              <w:ind w:firstLine="0"/>
              <w:jc w:val="right"/>
              <w:rPr>
                <w:szCs w:val="18"/>
                <w:lang w:val="es-MX"/>
              </w:rPr>
            </w:pPr>
            <w:r>
              <w:rPr>
                <w:szCs w:val="18"/>
                <w:lang w:val="es-MX"/>
              </w:rPr>
              <w:t>20</w:t>
            </w:r>
            <w:r w:rsidR="002D3DAA">
              <w:rPr>
                <w:szCs w:val="18"/>
                <w:lang w:val="es-MX"/>
              </w:rPr>
              <w:t>,000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383BAC" w:rsidP="00AD6049">
            <w:pPr>
              <w:pStyle w:val="Texto"/>
              <w:spacing w:after="0" w:line="240" w:lineRule="exact"/>
              <w:ind w:firstLine="0"/>
              <w:jc w:val="right"/>
              <w:rPr>
                <w:b/>
                <w:szCs w:val="18"/>
                <w:lang w:val="es-MX"/>
              </w:rPr>
            </w:pPr>
            <w:r>
              <w:rPr>
                <w:b/>
                <w:szCs w:val="18"/>
                <w:lang w:val="es-MX"/>
              </w:rPr>
              <w:t>446,464</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2D3DAA" w:rsidP="00AD6049">
            <w:pPr>
              <w:pStyle w:val="Texto"/>
              <w:spacing w:after="0" w:line="240" w:lineRule="exact"/>
              <w:ind w:firstLine="0"/>
              <w:jc w:val="right"/>
              <w:rPr>
                <w:b/>
                <w:szCs w:val="18"/>
                <w:lang w:val="es-MX"/>
              </w:rPr>
            </w:pPr>
            <w:r w:rsidRPr="002D3DAA">
              <w:rPr>
                <w:b/>
                <w:szCs w:val="18"/>
                <w:lang w:val="es-MX"/>
              </w:rPr>
              <w:t>2,697,777</w:t>
            </w:r>
          </w:p>
        </w:tc>
      </w:tr>
    </w:tbl>
    <w:p w:rsidR="00E529A0" w:rsidRDefault="00E529A0" w:rsidP="00540418">
      <w:pPr>
        <w:pStyle w:val="Texto"/>
        <w:spacing w:after="0" w:line="240" w:lineRule="exact"/>
        <w:rPr>
          <w:szCs w:val="18"/>
          <w:lang w:val="es-MX"/>
        </w:rPr>
      </w:pPr>
    </w:p>
    <w:p w:rsidR="006472F7" w:rsidRPr="008C17CB" w:rsidRDefault="006472F7"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Ingresos Presupuestarios y Contables</w:t>
            </w:r>
          </w:p>
          <w:p w:rsidR="00E529A0" w:rsidRDefault="00F77D28" w:rsidP="00E529A0">
            <w:pPr>
              <w:jc w:val="center"/>
              <w:rPr>
                <w:rFonts w:ascii="Arial" w:hAnsi="Arial" w:cs="Arial"/>
                <w:b/>
                <w:sz w:val="18"/>
                <w:szCs w:val="18"/>
              </w:rPr>
            </w:pPr>
            <w:r w:rsidRPr="006F0BF2">
              <w:rPr>
                <w:rFonts w:ascii="Arial" w:hAnsi="Arial" w:cs="Arial"/>
                <w:b/>
                <w:sz w:val="18"/>
                <w:szCs w:val="18"/>
              </w:rPr>
              <w:t>Cor</w:t>
            </w:r>
            <w:r w:rsidR="00BB54A1">
              <w:rPr>
                <w:rFonts w:ascii="Arial" w:hAnsi="Arial" w:cs="Arial"/>
                <w:b/>
                <w:sz w:val="18"/>
                <w:szCs w:val="18"/>
              </w:rPr>
              <w:t xml:space="preserve">respondiente del 1 de enero al </w:t>
            </w:r>
            <w:r w:rsidR="00E867FE">
              <w:rPr>
                <w:rFonts w:ascii="Arial" w:hAnsi="Arial" w:cs="Arial"/>
                <w:b/>
                <w:sz w:val="18"/>
                <w:szCs w:val="18"/>
              </w:rPr>
              <w:t>3</w:t>
            </w:r>
            <w:r w:rsidR="00383BAC">
              <w:rPr>
                <w:rFonts w:ascii="Arial" w:hAnsi="Arial" w:cs="Arial"/>
                <w:b/>
                <w:sz w:val="18"/>
                <w:szCs w:val="18"/>
              </w:rPr>
              <w:t>0</w:t>
            </w:r>
            <w:r w:rsidRPr="006F0BF2">
              <w:rPr>
                <w:rFonts w:ascii="Arial" w:hAnsi="Arial" w:cs="Arial"/>
                <w:b/>
                <w:sz w:val="18"/>
                <w:szCs w:val="18"/>
              </w:rPr>
              <w:t xml:space="preserve"> de </w:t>
            </w:r>
            <w:r w:rsidR="00383BAC">
              <w:rPr>
                <w:rFonts w:ascii="Arial" w:hAnsi="Arial" w:cs="Arial"/>
                <w:b/>
                <w:sz w:val="18"/>
                <w:szCs w:val="18"/>
              </w:rPr>
              <w:t>juni</w:t>
            </w:r>
            <w:r w:rsidR="002D3DAA">
              <w:rPr>
                <w:rFonts w:ascii="Arial" w:hAnsi="Arial" w:cs="Arial"/>
                <w:b/>
                <w:sz w:val="18"/>
                <w:szCs w:val="18"/>
              </w:rPr>
              <w:t>o</w:t>
            </w:r>
            <w:r w:rsidR="00240C7A">
              <w:rPr>
                <w:rFonts w:ascii="Arial" w:hAnsi="Arial" w:cs="Arial"/>
                <w:b/>
                <w:sz w:val="18"/>
                <w:szCs w:val="18"/>
              </w:rPr>
              <w:t xml:space="preserve"> </w:t>
            </w:r>
            <w:r w:rsidRPr="006F0BF2">
              <w:rPr>
                <w:rFonts w:ascii="Arial" w:hAnsi="Arial" w:cs="Arial"/>
                <w:b/>
                <w:sz w:val="18"/>
                <w:szCs w:val="18"/>
              </w:rPr>
              <w:t>de 201</w:t>
            </w:r>
            <w:r w:rsidR="002D3DAA">
              <w:rPr>
                <w:rFonts w:ascii="Arial" w:hAnsi="Arial" w:cs="Arial"/>
                <w:b/>
                <w:sz w:val="18"/>
                <w:szCs w:val="18"/>
              </w:rPr>
              <w:t>8</w:t>
            </w:r>
          </w:p>
          <w:p w:rsidR="00F77D28" w:rsidRPr="006F0BF2" w:rsidRDefault="00F77D28" w:rsidP="00E529A0">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Ingresos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83BAC" w:rsidP="00E3397C">
            <w:pPr>
              <w:jc w:val="right"/>
              <w:rPr>
                <w:rFonts w:ascii="Arial" w:hAnsi="Arial" w:cs="Arial"/>
                <w:sz w:val="18"/>
                <w:szCs w:val="18"/>
              </w:rPr>
            </w:pPr>
            <w:r>
              <w:rPr>
                <w:rFonts w:ascii="Arial" w:hAnsi="Arial" w:cs="Arial"/>
                <w:sz w:val="18"/>
                <w:szCs w:val="18"/>
              </w:rPr>
              <w:t>4,2</w:t>
            </w:r>
            <w:r w:rsidR="00E3397C">
              <w:rPr>
                <w:rFonts w:ascii="Arial" w:hAnsi="Arial" w:cs="Arial"/>
                <w:sz w:val="18"/>
                <w:szCs w:val="18"/>
              </w:rPr>
              <w:t>0</w:t>
            </w:r>
            <w:r>
              <w:rPr>
                <w:rFonts w:ascii="Arial" w:hAnsi="Arial" w:cs="Arial"/>
                <w:sz w:val="18"/>
                <w:szCs w:val="18"/>
              </w:rPr>
              <w:t>0,4</w:t>
            </w:r>
            <w:r w:rsidR="00E3397C">
              <w:rPr>
                <w:rFonts w:ascii="Arial" w:hAnsi="Arial" w:cs="Arial"/>
                <w:sz w:val="18"/>
                <w:szCs w:val="18"/>
              </w:rPr>
              <w:t>93</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Más ingresos contables no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83BAC" w:rsidP="007D7DA5">
            <w:pPr>
              <w:jc w:val="right"/>
              <w:rPr>
                <w:rFonts w:ascii="Arial" w:hAnsi="Arial" w:cs="Arial"/>
                <w:sz w:val="18"/>
                <w:szCs w:val="18"/>
              </w:rPr>
            </w:pPr>
            <w:r>
              <w:rPr>
                <w:rFonts w:ascii="Arial" w:hAnsi="Arial" w:cs="Arial"/>
                <w:sz w:val="18"/>
                <w:szCs w:val="18"/>
              </w:rPr>
              <w:t>8</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Incremento por variación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estimaciones por pérdida o deterioro u obsolescencia</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ingresos y beneficios varios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contables no presupuestarios</w:t>
            </w:r>
          </w:p>
        </w:tc>
        <w:tc>
          <w:tcPr>
            <w:tcW w:w="1312" w:type="dxa"/>
          </w:tcPr>
          <w:p w:rsidR="00F77D28" w:rsidRPr="006F0BF2" w:rsidRDefault="00383BAC" w:rsidP="00A747B2">
            <w:pPr>
              <w:jc w:val="right"/>
              <w:rPr>
                <w:rFonts w:ascii="Arial" w:hAnsi="Arial" w:cs="Arial"/>
                <w:sz w:val="18"/>
                <w:szCs w:val="18"/>
              </w:rPr>
            </w:pPr>
            <w:r>
              <w:rPr>
                <w:rFonts w:ascii="Arial" w:hAnsi="Arial" w:cs="Arial"/>
                <w:sz w:val="18"/>
                <w:szCs w:val="18"/>
              </w:rPr>
              <w:t>8</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Menos ingresos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Productos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Aprovechamientos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Ingresos derivados de financiamientos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presupuestarios no contables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Ingresos contables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D0688B" w:rsidRDefault="00383BAC" w:rsidP="00E3397C">
            <w:pPr>
              <w:jc w:val="right"/>
              <w:rPr>
                <w:rFonts w:ascii="Arial" w:hAnsi="Arial" w:cs="Arial"/>
                <w:b/>
                <w:sz w:val="18"/>
                <w:szCs w:val="18"/>
              </w:rPr>
            </w:pPr>
            <w:r>
              <w:rPr>
                <w:rFonts w:ascii="Arial" w:hAnsi="Arial" w:cs="Arial"/>
                <w:b/>
                <w:sz w:val="18"/>
                <w:szCs w:val="18"/>
              </w:rPr>
              <w:t>4,</w:t>
            </w:r>
            <w:r w:rsidR="00E3397C">
              <w:rPr>
                <w:rFonts w:ascii="Arial" w:hAnsi="Arial" w:cs="Arial"/>
                <w:b/>
                <w:sz w:val="18"/>
                <w:szCs w:val="18"/>
              </w:rPr>
              <w:t>200,501</w:t>
            </w:r>
          </w:p>
        </w:tc>
      </w:tr>
    </w:tbl>
    <w:p w:rsidR="00540418" w:rsidRDefault="0054041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Egresos Presupuestarios y los Gastos Contables</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 xml:space="preserve">Correspondiente del 1 de enero al </w:t>
            </w:r>
            <w:r w:rsidR="00E867FE">
              <w:rPr>
                <w:rFonts w:ascii="Arial" w:hAnsi="Arial" w:cs="Arial"/>
                <w:b/>
                <w:sz w:val="18"/>
                <w:szCs w:val="18"/>
              </w:rPr>
              <w:t>3</w:t>
            </w:r>
            <w:r w:rsidR="00383BAC">
              <w:rPr>
                <w:rFonts w:ascii="Arial" w:hAnsi="Arial" w:cs="Arial"/>
                <w:b/>
                <w:sz w:val="18"/>
                <w:szCs w:val="18"/>
              </w:rPr>
              <w:t>0</w:t>
            </w:r>
            <w:r w:rsidRPr="006F0BF2">
              <w:rPr>
                <w:rFonts w:ascii="Arial" w:hAnsi="Arial" w:cs="Arial"/>
                <w:b/>
                <w:sz w:val="18"/>
                <w:szCs w:val="18"/>
              </w:rPr>
              <w:t xml:space="preserve"> de </w:t>
            </w:r>
            <w:r w:rsidR="00383BAC">
              <w:rPr>
                <w:rFonts w:ascii="Arial" w:hAnsi="Arial" w:cs="Arial"/>
                <w:b/>
                <w:sz w:val="18"/>
                <w:szCs w:val="18"/>
              </w:rPr>
              <w:t>juni</w:t>
            </w:r>
            <w:r w:rsidR="002D3DAA">
              <w:rPr>
                <w:rFonts w:ascii="Arial" w:hAnsi="Arial" w:cs="Arial"/>
                <w:b/>
                <w:sz w:val="18"/>
                <w:szCs w:val="18"/>
              </w:rPr>
              <w:t>o</w:t>
            </w:r>
            <w:r w:rsidRPr="006F0BF2">
              <w:rPr>
                <w:rFonts w:ascii="Arial" w:hAnsi="Arial" w:cs="Arial"/>
                <w:b/>
                <w:sz w:val="18"/>
                <w:szCs w:val="18"/>
              </w:rPr>
              <w:t xml:space="preserve"> de 201</w:t>
            </w:r>
            <w:r w:rsidR="002D3DAA">
              <w:rPr>
                <w:rFonts w:ascii="Arial" w:hAnsi="Arial" w:cs="Arial"/>
                <w:b/>
                <w:sz w:val="18"/>
                <w:szCs w:val="18"/>
              </w:rPr>
              <w:t>8</w:t>
            </w:r>
          </w:p>
          <w:p w:rsidR="00F77D28" w:rsidRPr="006F0BF2" w:rsidRDefault="00F77D28" w:rsidP="00F77D28">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Total de Egresos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83BAC" w:rsidP="00E3397C">
            <w:pPr>
              <w:jc w:val="right"/>
              <w:rPr>
                <w:rFonts w:ascii="Arial" w:hAnsi="Arial" w:cs="Arial"/>
                <w:sz w:val="18"/>
                <w:szCs w:val="18"/>
              </w:rPr>
            </w:pPr>
            <w:r>
              <w:rPr>
                <w:rFonts w:ascii="Arial" w:hAnsi="Arial" w:cs="Arial"/>
                <w:sz w:val="18"/>
                <w:szCs w:val="18"/>
              </w:rPr>
              <w:t>3,96</w:t>
            </w:r>
            <w:r w:rsidR="00E3397C">
              <w:rPr>
                <w:rFonts w:ascii="Arial" w:hAnsi="Arial" w:cs="Arial"/>
                <w:sz w:val="18"/>
                <w:szCs w:val="18"/>
              </w:rPr>
              <w:t>8</w:t>
            </w:r>
            <w:r>
              <w:rPr>
                <w:rFonts w:ascii="Arial" w:hAnsi="Arial" w:cs="Arial"/>
                <w:sz w:val="18"/>
                <w:szCs w:val="18"/>
              </w:rPr>
              <w:t>,</w:t>
            </w:r>
            <w:r w:rsidR="00E3397C">
              <w:rPr>
                <w:rFonts w:ascii="Arial" w:hAnsi="Arial" w:cs="Arial"/>
                <w:sz w:val="18"/>
                <w:szCs w:val="18"/>
              </w:rPr>
              <w:t>281</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Menos egresos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E3397C" w:rsidP="007D7DA5">
            <w:pPr>
              <w:jc w:val="right"/>
              <w:rPr>
                <w:rFonts w:ascii="Arial" w:hAnsi="Arial" w:cs="Arial"/>
                <w:sz w:val="18"/>
                <w:szCs w:val="18"/>
              </w:rPr>
            </w:pPr>
            <w:r>
              <w:rPr>
                <w:rFonts w:ascii="Arial" w:hAnsi="Arial" w:cs="Arial"/>
                <w:sz w:val="18"/>
                <w:szCs w:val="18"/>
              </w:rPr>
              <w:t>328</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Bienes muebles e Inmuebles</w:t>
            </w:r>
          </w:p>
        </w:tc>
        <w:tc>
          <w:tcPr>
            <w:tcW w:w="1312" w:type="dxa"/>
          </w:tcPr>
          <w:p w:rsidR="00F77D28" w:rsidRPr="006F0BF2" w:rsidRDefault="00E3397C" w:rsidP="002D3DAA">
            <w:pPr>
              <w:jc w:val="right"/>
              <w:rPr>
                <w:rFonts w:ascii="Arial" w:hAnsi="Arial" w:cs="Arial"/>
                <w:sz w:val="18"/>
                <w:szCs w:val="18"/>
              </w:rPr>
            </w:pPr>
            <w:r>
              <w:rPr>
                <w:rFonts w:ascii="Arial" w:hAnsi="Arial" w:cs="Arial"/>
                <w:sz w:val="18"/>
                <w:szCs w:val="18"/>
              </w:rPr>
              <w:t>328</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Egresos presupuestarios no contables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Más Gastos contables no Presupuestales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Estimaciones, depreciaciones, deterioros, obsolescencia y amortizaciones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Aumento por insuficiencia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gastos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Gastos contables no presupuestales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Total de Gasto Contable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AD6049" w:rsidRDefault="00E3397C" w:rsidP="00794ECE">
            <w:pPr>
              <w:jc w:val="right"/>
              <w:rPr>
                <w:rFonts w:ascii="Arial" w:hAnsi="Arial" w:cs="Arial"/>
                <w:b/>
                <w:sz w:val="18"/>
                <w:szCs w:val="18"/>
              </w:rPr>
            </w:pPr>
            <w:r>
              <w:rPr>
                <w:rFonts w:ascii="Arial" w:hAnsi="Arial" w:cs="Arial"/>
                <w:b/>
                <w:sz w:val="18"/>
                <w:szCs w:val="18"/>
              </w:rPr>
              <w:t>3,968,953</w:t>
            </w:r>
          </w:p>
        </w:tc>
      </w:tr>
    </w:tbl>
    <w:p w:rsidR="00F77D28" w:rsidRPr="008C17CB" w:rsidRDefault="00F77D28"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8,343,673</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AA3681" w:rsidP="00FF3643">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4,1</w:t>
            </w:r>
            <w:r w:rsidR="00FF3643">
              <w:rPr>
                <w:rFonts w:ascii="Arial" w:eastAsia="Times New Roman" w:hAnsi="Arial" w:cs="Arial"/>
                <w:color w:val="333333"/>
                <w:sz w:val="18"/>
                <w:szCs w:val="18"/>
                <w:lang w:eastAsia="es-ES"/>
              </w:rPr>
              <w:t>4</w:t>
            </w:r>
            <w:r>
              <w:rPr>
                <w:rFonts w:ascii="Arial" w:eastAsia="Times New Roman" w:hAnsi="Arial" w:cs="Arial"/>
                <w:color w:val="333333"/>
                <w:sz w:val="18"/>
                <w:szCs w:val="18"/>
                <w:lang w:eastAsia="es-ES"/>
              </w:rPr>
              <w:t>3,1</w:t>
            </w:r>
            <w:r w:rsidR="00FF3643">
              <w:rPr>
                <w:rFonts w:ascii="Arial" w:eastAsia="Times New Roman" w:hAnsi="Arial" w:cs="Arial"/>
                <w:color w:val="333333"/>
                <w:sz w:val="18"/>
                <w:szCs w:val="18"/>
                <w:lang w:eastAsia="es-ES"/>
              </w:rPr>
              <w:t>80</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2D3DAA">
            <w:pPr>
              <w:jc w:val="right"/>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E529A0" w:rsidRDefault="00E529A0" w:rsidP="00FF3643">
            <w:pPr>
              <w:jc w:val="right"/>
            </w:pPr>
            <w:r w:rsidRPr="00B95217">
              <w:rPr>
                <w:rFonts w:ascii="Arial" w:eastAsia="Times New Roman" w:hAnsi="Arial" w:cs="Arial"/>
                <w:color w:val="333333"/>
                <w:sz w:val="18"/>
                <w:szCs w:val="18"/>
                <w:lang w:eastAsia="es-ES"/>
              </w:rPr>
              <w:t>$</w:t>
            </w:r>
            <w:r w:rsidR="00AA3681">
              <w:rPr>
                <w:rFonts w:ascii="Arial" w:eastAsia="Times New Roman" w:hAnsi="Arial" w:cs="Arial"/>
                <w:color w:val="333333"/>
                <w:sz w:val="18"/>
                <w:szCs w:val="18"/>
                <w:lang w:eastAsia="es-ES"/>
              </w:rPr>
              <w:t>4,2</w:t>
            </w:r>
            <w:r w:rsidR="00FF3643">
              <w:rPr>
                <w:rFonts w:ascii="Arial" w:eastAsia="Times New Roman" w:hAnsi="Arial" w:cs="Arial"/>
                <w:color w:val="333333"/>
                <w:sz w:val="18"/>
                <w:szCs w:val="18"/>
                <w:lang w:eastAsia="es-ES"/>
              </w:rPr>
              <w:t>0</w:t>
            </w:r>
            <w:r w:rsidR="00AA3681">
              <w:rPr>
                <w:rFonts w:ascii="Arial" w:eastAsia="Times New Roman" w:hAnsi="Arial" w:cs="Arial"/>
                <w:color w:val="333333"/>
                <w:sz w:val="18"/>
                <w:szCs w:val="18"/>
                <w:lang w:eastAsia="es-ES"/>
              </w:rPr>
              <w:t>0,</w:t>
            </w:r>
            <w:r w:rsidR="00FF3643">
              <w:rPr>
                <w:rFonts w:ascii="Arial" w:eastAsia="Times New Roman" w:hAnsi="Arial" w:cs="Arial"/>
                <w:color w:val="333333"/>
                <w:sz w:val="18"/>
                <w:szCs w:val="18"/>
                <w:lang w:eastAsia="es-ES"/>
              </w:rPr>
              <w:t>493</w:t>
            </w:r>
          </w:p>
        </w:tc>
        <w:tc>
          <w:tcPr>
            <w:tcW w:w="1942" w:type="dxa"/>
            <w:shd w:val="clear" w:color="auto" w:fill="auto"/>
          </w:tcPr>
          <w:p w:rsidR="00E529A0" w:rsidRDefault="00E529A0" w:rsidP="00E529A0">
            <w:pPr>
              <w:jc w:val="right"/>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E529A0" w:rsidRDefault="00794ECE" w:rsidP="00FF3643">
            <w:pPr>
              <w:jc w:val="right"/>
            </w:pPr>
            <w:r w:rsidRPr="00B95217">
              <w:rPr>
                <w:rFonts w:ascii="Arial" w:eastAsia="Times New Roman" w:hAnsi="Arial" w:cs="Arial"/>
                <w:color w:val="333333"/>
                <w:sz w:val="18"/>
                <w:szCs w:val="18"/>
                <w:lang w:eastAsia="es-ES"/>
              </w:rPr>
              <w:t>$</w:t>
            </w:r>
            <w:r w:rsidR="00AA3681">
              <w:rPr>
                <w:rFonts w:ascii="Arial" w:eastAsia="Times New Roman" w:hAnsi="Arial" w:cs="Arial"/>
                <w:color w:val="333333"/>
                <w:sz w:val="18"/>
                <w:szCs w:val="18"/>
                <w:lang w:eastAsia="es-ES"/>
              </w:rPr>
              <w:t>4,</w:t>
            </w:r>
            <w:r w:rsidR="00FF3643">
              <w:rPr>
                <w:rFonts w:ascii="Arial" w:eastAsia="Times New Roman" w:hAnsi="Arial" w:cs="Arial"/>
                <w:color w:val="333333"/>
                <w:sz w:val="18"/>
                <w:szCs w:val="18"/>
                <w:lang w:eastAsia="es-ES"/>
              </w:rPr>
              <w:t>20</w:t>
            </w:r>
            <w:r w:rsidR="00AA3681">
              <w:rPr>
                <w:rFonts w:ascii="Arial" w:eastAsia="Times New Roman" w:hAnsi="Arial" w:cs="Arial"/>
                <w:color w:val="333333"/>
                <w:sz w:val="18"/>
                <w:szCs w:val="18"/>
                <w:lang w:eastAsia="es-ES"/>
              </w:rPr>
              <w:t>0,4</w:t>
            </w:r>
            <w:r w:rsidR="00FF3643">
              <w:rPr>
                <w:rFonts w:ascii="Arial" w:eastAsia="Times New Roman" w:hAnsi="Arial" w:cs="Arial"/>
                <w:color w:val="333333"/>
                <w:sz w:val="18"/>
                <w:szCs w:val="18"/>
                <w:lang w:eastAsia="es-ES"/>
              </w:rPr>
              <w:t>93</w:t>
            </w:r>
          </w:p>
        </w:tc>
        <w:tc>
          <w:tcPr>
            <w:tcW w:w="1942" w:type="dxa"/>
            <w:shd w:val="clear" w:color="auto" w:fill="auto"/>
          </w:tcPr>
          <w:p w:rsidR="00E529A0" w:rsidRDefault="00E529A0" w:rsidP="00E529A0">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AA3681" w:rsidRDefault="00AA3681" w:rsidP="009D4A32">
      <w:pPr>
        <w:spacing w:before="80" w:after="80" w:line="250" w:lineRule="exact"/>
        <w:jc w:val="both"/>
        <w:rPr>
          <w:rFonts w:ascii="Arial" w:eastAsia="Times New Roman" w:hAnsi="Arial" w:cs="Arial"/>
          <w:sz w:val="18"/>
          <w:szCs w:val="18"/>
          <w:lang w:val="es-ES" w:eastAsia="es-ES"/>
        </w:rPr>
      </w:pPr>
    </w:p>
    <w:p w:rsidR="00AA3681" w:rsidRDefault="00AA3681"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FF3643" w:rsidRDefault="00FF3643"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9D4A32"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8,343,673</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FF364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AA3681">
              <w:rPr>
                <w:rFonts w:ascii="Arial" w:eastAsia="Times New Roman" w:hAnsi="Arial" w:cs="Arial"/>
                <w:color w:val="333333"/>
                <w:sz w:val="18"/>
                <w:szCs w:val="18"/>
                <w:lang w:eastAsia="es-ES"/>
              </w:rPr>
              <w:t>4,374,39</w:t>
            </w:r>
            <w:r w:rsidR="00FF3643">
              <w:rPr>
                <w:rFonts w:ascii="Arial" w:eastAsia="Times New Roman" w:hAnsi="Arial" w:cs="Arial"/>
                <w:color w:val="333333"/>
                <w:sz w:val="18"/>
                <w:szCs w:val="18"/>
                <w:lang w:eastAsia="es-ES"/>
              </w:rPr>
              <w:t>3</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F4137A" w:rsidP="00AD6049">
            <w:pPr>
              <w:jc w:val="right"/>
            </w:pPr>
            <w:r>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FF3643">
            <w:pPr>
              <w:jc w:val="right"/>
            </w:pPr>
            <w:r w:rsidRPr="00C6311B">
              <w:rPr>
                <w:rFonts w:ascii="Arial" w:eastAsia="Times New Roman" w:hAnsi="Arial" w:cs="Arial"/>
                <w:color w:val="333333"/>
                <w:sz w:val="18"/>
                <w:szCs w:val="18"/>
                <w:lang w:eastAsia="es-ES"/>
              </w:rPr>
              <w:t xml:space="preserve"> $</w:t>
            </w:r>
            <w:r w:rsidR="00AA3681">
              <w:rPr>
                <w:rFonts w:ascii="Arial" w:eastAsia="Times New Roman" w:hAnsi="Arial" w:cs="Arial"/>
                <w:color w:val="333333"/>
                <w:sz w:val="18"/>
                <w:szCs w:val="18"/>
                <w:lang w:eastAsia="es-ES"/>
              </w:rPr>
              <w:t>3,969,28</w:t>
            </w:r>
            <w:r w:rsidR="00FF3643">
              <w:rPr>
                <w:rFonts w:ascii="Arial" w:eastAsia="Times New Roman" w:hAnsi="Arial" w:cs="Arial"/>
                <w:color w:val="333333"/>
                <w:sz w:val="18"/>
                <w:szCs w:val="18"/>
                <w:lang w:eastAsia="es-ES"/>
              </w:rPr>
              <w:t>0</w:t>
            </w:r>
          </w:p>
        </w:tc>
      </w:tr>
      <w:tr w:rsidR="00DC60F5" w:rsidRPr="00F80A76" w:rsidTr="00595321">
        <w:trPr>
          <w:jc w:val="center"/>
        </w:trPr>
        <w:tc>
          <w:tcPr>
            <w:tcW w:w="5226" w:type="dxa"/>
            <w:shd w:val="clear" w:color="auto" w:fill="auto"/>
          </w:tcPr>
          <w:p w:rsidR="00DC60F5" w:rsidRPr="00F80A76" w:rsidRDefault="00DC60F5" w:rsidP="00DC60F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DC60F5" w:rsidRPr="00F80A76" w:rsidRDefault="00DC60F5" w:rsidP="00DC60F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C60F5" w:rsidRDefault="002D3DAA" w:rsidP="00DC60F5">
            <w:pPr>
              <w:jc w:val="right"/>
            </w:pPr>
            <w:r>
              <w:rPr>
                <w:rFonts w:ascii="Arial" w:eastAsia="Times New Roman" w:hAnsi="Arial" w:cs="Arial"/>
                <w:color w:val="333333"/>
                <w:sz w:val="18"/>
                <w:szCs w:val="18"/>
                <w:lang w:eastAsia="es-ES"/>
              </w:rPr>
              <w:t>$</w:t>
            </w:r>
            <w:r w:rsidR="00FF3643">
              <w:rPr>
                <w:rFonts w:ascii="Arial" w:eastAsia="Times New Roman" w:hAnsi="Arial" w:cs="Arial"/>
                <w:color w:val="333333"/>
                <w:sz w:val="18"/>
                <w:szCs w:val="18"/>
                <w:lang w:eastAsia="es-ES"/>
              </w:rPr>
              <w:t>3,969,280</w:t>
            </w:r>
          </w:p>
        </w:tc>
      </w:tr>
      <w:tr w:rsidR="00DC60F5" w:rsidRPr="00F80A76" w:rsidTr="00595321">
        <w:trPr>
          <w:jc w:val="center"/>
        </w:trPr>
        <w:tc>
          <w:tcPr>
            <w:tcW w:w="5226" w:type="dxa"/>
            <w:shd w:val="clear" w:color="auto" w:fill="auto"/>
          </w:tcPr>
          <w:p w:rsidR="00DC60F5" w:rsidRPr="00F80A76" w:rsidRDefault="00DC60F5" w:rsidP="00DC60F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DC60F5" w:rsidRPr="00F80A76" w:rsidRDefault="00DC60F5" w:rsidP="00DC60F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C60F5" w:rsidRDefault="00DC60F5" w:rsidP="00DC60F5">
            <w:pPr>
              <w:jc w:val="right"/>
            </w:pPr>
            <w:r w:rsidRPr="00846F45">
              <w:rPr>
                <w:rFonts w:ascii="Arial" w:eastAsia="Times New Roman" w:hAnsi="Arial" w:cs="Arial"/>
                <w:color w:val="333333"/>
                <w:sz w:val="18"/>
                <w:szCs w:val="18"/>
                <w:lang w:eastAsia="es-ES"/>
              </w:rPr>
              <w:t>$</w:t>
            </w:r>
            <w:r w:rsidR="00FF3643">
              <w:rPr>
                <w:rFonts w:ascii="Arial" w:eastAsia="Times New Roman" w:hAnsi="Arial" w:cs="Arial"/>
                <w:color w:val="333333"/>
                <w:sz w:val="18"/>
                <w:szCs w:val="18"/>
                <w:lang w:eastAsia="es-ES"/>
              </w:rPr>
              <w:t>3,969,280</w:t>
            </w:r>
          </w:p>
        </w:tc>
      </w:tr>
      <w:tr w:rsidR="00DC60F5" w:rsidRPr="00F80A76" w:rsidTr="00595321">
        <w:trPr>
          <w:jc w:val="center"/>
        </w:trPr>
        <w:tc>
          <w:tcPr>
            <w:tcW w:w="5226" w:type="dxa"/>
            <w:shd w:val="clear" w:color="auto" w:fill="auto"/>
          </w:tcPr>
          <w:p w:rsidR="00DC60F5" w:rsidRPr="00F80A76" w:rsidRDefault="00DC60F5" w:rsidP="00DC60F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DC60F5" w:rsidRPr="00F80A76" w:rsidRDefault="00DC60F5" w:rsidP="00DC60F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C60F5" w:rsidRDefault="00DC60F5" w:rsidP="00DC60F5">
            <w:pPr>
              <w:jc w:val="right"/>
            </w:pPr>
            <w:r w:rsidRPr="00846F45">
              <w:rPr>
                <w:rFonts w:ascii="Arial" w:eastAsia="Times New Roman" w:hAnsi="Arial" w:cs="Arial"/>
                <w:color w:val="333333"/>
                <w:sz w:val="18"/>
                <w:szCs w:val="18"/>
                <w:lang w:eastAsia="es-ES"/>
              </w:rPr>
              <w:t>$</w:t>
            </w:r>
            <w:r w:rsidR="00FF3643">
              <w:rPr>
                <w:rFonts w:ascii="Arial" w:eastAsia="Times New Roman" w:hAnsi="Arial" w:cs="Arial"/>
                <w:color w:val="333333"/>
                <w:sz w:val="18"/>
                <w:szCs w:val="18"/>
                <w:lang w:eastAsia="es-ES"/>
              </w:rPr>
              <w:t>3,969,280</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BB54A1" w:rsidRPr="008C17CB" w:rsidRDefault="00BB54A1" w:rsidP="00540418">
      <w:pPr>
        <w:pStyle w:val="Texto"/>
        <w:spacing w:after="0" w:line="240" w:lineRule="exact"/>
        <w:rPr>
          <w:szCs w:val="18"/>
        </w:rPr>
      </w:pPr>
    </w:p>
    <w:p w:rsidR="00AA3952" w:rsidRDefault="00AA3952" w:rsidP="00540418">
      <w:pPr>
        <w:pStyle w:val="Texto"/>
        <w:spacing w:after="0" w:line="240" w:lineRule="exact"/>
        <w:ind w:firstLine="0"/>
        <w:jc w:val="center"/>
        <w:rPr>
          <w:b/>
          <w:szCs w:val="18"/>
          <w:lang w:val="es-MX"/>
        </w:rPr>
      </w:pPr>
    </w:p>
    <w:p w:rsidR="00AA3952" w:rsidRDefault="00AA3952"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En el Estado de Tlaxcala de acuerdo al último Censo de Población -INEGI 2010-, </w:t>
      </w:r>
      <w:r w:rsidR="00B52985" w:rsidRPr="006F0BF2">
        <w:rPr>
          <w:rFonts w:ascii="Arial" w:hAnsi="Arial" w:cs="Arial"/>
          <w:sz w:val="18"/>
          <w:szCs w:val="18"/>
        </w:rPr>
        <w:t>viven un</w:t>
      </w:r>
      <w:r w:rsidRPr="006F0BF2">
        <w:rPr>
          <w:rFonts w:ascii="Arial" w:hAnsi="Arial" w:cs="Arial"/>
          <w:sz w:val="18"/>
          <w:szCs w:val="18"/>
        </w:rPr>
        <w:t xml:space="preserve"> millón 169 mil 936 personas, de las cuales 604 mil 161 son mujeres (51 %) y 565 mil 775 son hombres (49 %). En relación a las Personas con Discapacidad esta institución, identificó solo a  43 mil 837 residentes en Tlaxcala con alguna dificultad física o mental para realizar actividades de la vida cotidiana, lo que representa el 3.7 por ciento de la población total y si bien es cierto que esa información nos permitió contar con datos sobre edad, sexo, ubicación, causas y tipo de discapacidad, también lo es que esa información no arrojó datos que nos permitiera conocer las condiciones y características de la  discapacidad, lo que impide el diseño de estrategias para generar propuestas de atención y gestión; la imposibilidad de levantar un censo (por falta de recursos para llevarlo a cabo) ha impedido abordar el fenómeno de la discapacidad en toda su dimensión, los servicios hasta ahora implementados se han centrado en las demandas de las personas que acuden al Instituto y los planteamientos que realizan algunas organizaciones de personas con discapacidad. Aún y a pesar de estas limitantes el gobierno que encabeza el Lic. Mariano González </w:t>
      </w:r>
      <w:proofErr w:type="spellStart"/>
      <w:r w:rsidRPr="006F0BF2">
        <w:rPr>
          <w:rFonts w:ascii="Arial" w:hAnsi="Arial" w:cs="Arial"/>
          <w:sz w:val="18"/>
          <w:szCs w:val="18"/>
        </w:rPr>
        <w:t>Zarur</w:t>
      </w:r>
      <w:proofErr w:type="spellEnd"/>
      <w:r w:rsidRPr="006F0BF2">
        <w:rPr>
          <w:rFonts w:ascii="Arial" w:hAnsi="Arial" w:cs="Arial"/>
          <w:sz w:val="18"/>
          <w:szCs w:val="18"/>
        </w:rPr>
        <w:t xml:space="preserve"> </w:t>
      </w:r>
      <w:r w:rsidR="00595321" w:rsidRPr="006F0BF2">
        <w:rPr>
          <w:rFonts w:ascii="Arial" w:hAnsi="Arial" w:cs="Arial"/>
          <w:sz w:val="18"/>
          <w:szCs w:val="18"/>
        </w:rPr>
        <w:t>ha</w:t>
      </w:r>
      <w:r w:rsidRPr="006F0BF2">
        <w:rPr>
          <w:rFonts w:ascii="Arial" w:hAnsi="Arial" w:cs="Arial"/>
          <w:sz w:val="18"/>
          <w:szCs w:val="18"/>
        </w:rPr>
        <w:t xml:space="preserve"> impulsado una serie de políticas públicas que coadyuven en todo momento legitimar y sustentar los derechos humanos de las personas con discapacidad y así logren su plena integración al entorno social, al mundo cultural y a las actividades productivas. El Instituto Tlaxcalteca para Personas  con Discapacidad (ITPCD), es la instancia responsable de formular, coordinar y dar seguimiento a los programas y acciones, encaminados a la integración social de las personas con discapacidad; y su incorporación al desarrollo, garantizando el pleno respeto y ejercicio de sus derechos humanos, políticos y sociales, la igualdad de oportunidades y la equidad en el acceso a todo tipo de servicios, Para ello, el H. Congreso del Estado de Tlaxcala, autorizó para el ejercicio fiscal 2014, 7 millones tres mil, dos pesos, para atender a la población con discapacidad, sin embargo, de acuerdo a las estadísticas preliminares que se llevan como parte del control interno de este Instituto, se incrementó en un 69% la población que se tenía programada atender para este ejercicio, y aunado a ello la inflación que presentó el país del 4.19% al cierre del mes de diciembre y la cual se mantuvo p</w:t>
      </w:r>
      <w:r w:rsidR="003B2088">
        <w:rPr>
          <w:rFonts w:ascii="Arial" w:hAnsi="Arial" w:cs="Arial"/>
          <w:sz w:val="18"/>
          <w:szCs w:val="18"/>
        </w:rPr>
        <w:t>or todo el ejercicio fiscal 2016</w:t>
      </w:r>
      <w:r w:rsidRPr="006F0BF2">
        <w:rPr>
          <w:rFonts w:ascii="Arial" w:hAnsi="Arial" w:cs="Arial"/>
          <w:sz w:val="18"/>
          <w:szCs w:val="18"/>
        </w:rPr>
        <w:t xml:space="preserve"> tuvo un efecto negativo directo en los recursos financieros ya que la demanda fue al alza y por lo tanto la cobertura de atención que pudo brindarse fue menor.  </w:t>
      </w:r>
    </w:p>
    <w:p w:rsidR="00522EF3" w:rsidRDefault="00522EF3" w:rsidP="00540418">
      <w:pPr>
        <w:pStyle w:val="Texto"/>
        <w:spacing w:after="0" w:line="240" w:lineRule="exact"/>
        <w:rPr>
          <w:szCs w:val="18"/>
        </w:rPr>
      </w:pPr>
    </w:p>
    <w:p w:rsidR="00E705AA" w:rsidRDefault="00E705AA" w:rsidP="00540418">
      <w:pPr>
        <w:pStyle w:val="Texto"/>
        <w:spacing w:after="0" w:line="240" w:lineRule="exact"/>
        <w:rPr>
          <w:szCs w:val="18"/>
        </w:rPr>
      </w:pPr>
    </w:p>
    <w:p w:rsidR="00612482" w:rsidRDefault="00612482" w:rsidP="00540418">
      <w:pPr>
        <w:pStyle w:val="Texto"/>
        <w:spacing w:after="0" w:line="240" w:lineRule="exact"/>
        <w:rPr>
          <w:szCs w:val="18"/>
        </w:rPr>
      </w:pPr>
    </w:p>
    <w:p w:rsidR="00612482" w:rsidRDefault="00612482" w:rsidP="00540418">
      <w:pPr>
        <w:pStyle w:val="Texto"/>
        <w:spacing w:after="0" w:line="240" w:lineRule="exact"/>
        <w:rPr>
          <w:szCs w:val="18"/>
        </w:rPr>
      </w:pPr>
    </w:p>
    <w:p w:rsidR="00612482" w:rsidRDefault="00612482" w:rsidP="00540418">
      <w:pPr>
        <w:pStyle w:val="Texto"/>
        <w:spacing w:after="0" w:line="240" w:lineRule="exact"/>
        <w:rPr>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2E3681" w:rsidRDefault="002E3681" w:rsidP="00540418">
      <w:pPr>
        <w:pStyle w:val="INCISO"/>
        <w:spacing w:after="0" w:line="240" w:lineRule="exact"/>
      </w:pPr>
    </w:p>
    <w:p w:rsidR="002E3681" w:rsidRDefault="00215150"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1826812</wp:posOffset>
                </wp:positionH>
                <wp:positionV relativeFrom="paragraph">
                  <wp:posOffset>10657</wp:posOffset>
                </wp:positionV>
                <wp:extent cx="5796391" cy="3760470"/>
                <wp:effectExtent l="0" t="0" r="13970" b="11430"/>
                <wp:wrapNone/>
                <wp:docPr id="33" name="Grupo 19"/>
                <wp:cNvGraphicFramePr/>
                <a:graphic xmlns:a="http://schemas.openxmlformats.org/drawingml/2006/main">
                  <a:graphicData uri="http://schemas.microsoft.com/office/word/2010/wordprocessingGroup">
                    <wpg:wgp>
                      <wpg:cNvGrpSpPr/>
                      <wpg:grpSpPr bwMode="auto">
                        <a:xfrm>
                          <a:off x="0" y="0"/>
                          <a:ext cx="5796391" cy="3760470"/>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36975" y="577920"/>
                            <a:ext cx="1970087" cy="3905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2D01AA" w:rsidRDefault="002D01AA"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wps:txbx>
                        <wps:bodyPr anchor="ctr"/>
                      </wps:wsp>
                      <wps:wsp>
                        <wps:cNvPr id="37" name="8 Rectángulo redondeado"/>
                        <wps:cNvSpPr/>
                        <wps:spPr>
                          <a:xfrm>
                            <a:off x="2000211" y="2635569"/>
                            <a:ext cx="1800225" cy="5080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43.85pt;margin-top:.85pt;width:456.4pt;height:296.1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369;top:5779;width:1970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2D01AA" w:rsidRDefault="002D01AA"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v:textbox>
                </v:roundrect>
                <v:roundrect id="8 Rectángulo redondeado" o:spid="_x0000_s1030" style="position:absolute;left:20002;top:26355;width:18002;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2D01AA" w:rsidRDefault="002D01AA"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A04B6B" w:rsidRDefault="00A04B6B" w:rsidP="00540418">
      <w:pPr>
        <w:pStyle w:val="INCISO"/>
        <w:spacing w:after="0" w:line="240" w:lineRule="exact"/>
      </w:pPr>
    </w:p>
    <w:p w:rsidR="002E3681" w:rsidRDefault="002E3681" w:rsidP="00540418">
      <w:pPr>
        <w:pStyle w:val="INCISO"/>
        <w:spacing w:after="0" w:line="240" w:lineRule="exact"/>
      </w:pPr>
    </w:p>
    <w:p w:rsidR="00612482" w:rsidRDefault="00612482"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AA3681">
        <w:rPr>
          <w:rFonts w:ascii="Arial" w:hAnsi="Arial" w:cs="Arial"/>
          <w:sz w:val="18"/>
          <w:szCs w:val="18"/>
        </w:rPr>
        <w:t>segundo</w:t>
      </w:r>
      <w:r w:rsidR="00AD604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201</w:t>
      </w:r>
      <w:r w:rsidR="00D21FEE">
        <w:rPr>
          <w:rFonts w:ascii="Arial" w:hAnsi="Arial" w:cs="Arial"/>
          <w:sz w:val="18"/>
          <w:szCs w:val="18"/>
        </w:rPr>
        <w:t>8</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FA7CFE" w:rsidRDefault="00FA7CFE"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AA3681">
        <w:t>0</w:t>
      </w:r>
      <w:r w:rsidR="001F3099">
        <w:t xml:space="preserve"> de </w:t>
      </w:r>
      <w:r w:rsidR="00AA3681">
        <w:t>juni</w:t>
      </w:r>
      <w:r w:rsidR="00D21FEE">
        <w:t>o</w:t>
      </w:r>
      <w:r w:rsidR="00AD6049">
        <w:t xml:space="preserve"> </w:t>
      </w:r>
      <w:r w:rsidR="00F4137A">
        <w:t>de 201</w:t>
      </w:r>
      <w:r w:rsidR="00D21FEE">
        <w:t>8</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AA3681">
        <w:t>0</w:t>
      </w:r>
      <w:r w:rsidR="00AD6049">
        <w:t xml:space="preserve"> de </w:t>
      </w:r>
      <w:r w:rsidR="00AA3681">
        <w:t>juni</w:t>
      </w:r>
      <w:r w:rsidR="00D21FEE">
        <w:t xml:space="preserve">o </w:t>
      </w:r>
      <w:r w:rsidR="00AD6049">
        <w:t>de 201</w:t>
      </w:r>
      <w:r w:rsidR="00D21FEE">
        <w:t>8</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CE25DB" w:rsidRPr="008C17CB" w:rsidRDefault="00CE25DB"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AA3681">
        <w:t>0</w:t>
      </w:r>
      <w:r w:rsidR="00AD6049">
        <w:t xml:space="preserve"> de </w:t>
      </w:r>
      <w:r w:rsidR="00AA3681">
        <w:t>juni</w:t>
      </w:r>
      <w:r w:rsidR="00D21FEE">
        <w:t>o de 2018</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AA3681">
        <w:t>segundo</w:t>
      </w:r>
      <w:r w:rsidR="00AD6049">
        <w:t xml:space="preserve"> trimestre del </w:t>
      </w:r>
      <w:r w:rsidR="00F4137A">
        <w:t>ejercicio 201</w:t>
      </w:r>
      <w:r w:rsidR="00D21FEE">
        <w:t>8</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FA7CFE" w:rsidRDefault="00612482" w:rsidP="00BB54A1">
      <w:pPr>
        <w:tabs>
          <w:tab w:val="left" w:pos="2430"/>
        </w:tabs>
        <w:ind w:left="708"/>
        <w:rPr>
          <w:rFonts w:ascii="Arial" w:hAnsi="Arial" w:cs="Arial"/>
          <w:sz w:val="18"/>
          <w:szCs w:val="18"/>
        </w:rPr>
      </w:pPr>
      <w:r>
        <w:rPr>
          <w:rFonts w:ascii="Arial" w:hAnsi="Arial" w:cs="Arial"/>
          <w:sz w:val="18"/>
          <w:szCs w:val="18"/>
        </w:rPr>
        <w:t xml:space="preserve">Con fecha 04 de diciembre se llevó a cabo la cuarta sesión ordinaria del Comité de Control Interno en el que quedó aprobado por unanimidad la matriz de riesgos, misma que se elaboró con las áreas sustantivas del Instituto para detectar aquellos riesgos más relevantes que pudieran incidir directamente en el logro de los objetivos institucionales, esto servirá de fundamento para llevar un mejor seguimiento y actuar en aquellas áreas de oportunidad que se focalicen. </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El Instituto Tlaxcalteca para Personas con Discapacidad concluyó sus actividades con éxito y no se prevé ningún evento que pueda afectar las cifras reflejadas en los Estados Financieros.</w:t>
      </w:r>
    </w:p>
    <w:p w:rsidR="00FA7CFE" w:rsidRDefault="00FA7CFE" w:rsidP="00540418">
      <w:pPr>
        <w:pStyle w:val="Texto"/>
        <w:spacing w:after="0" w:line="240" w:lineRule="exact"/>
        <w:ind w:firstLine="0"/>
        <w:rPr>
          <w:szCs w:val="18"/>
        </w:rPr>
      </w:pPr>
    </w:p>
    <w:p w:rsidR="00AA3952" w:rsidRDefault="00AA3952"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bookmarkStart w:id="6" w:name="_GoBack"/>
      <w:bookmarkEnd w:id="6"/>
    </w:p>
    <w:p w:rsidR="00574266" w:rsidRPr="008C17CB" w:rsidRDefault="002D01AA" w:rsidP="00540418">
      <w:pPr>
        <w:pStyle w:val="Texto"/>
        <w:spacing w:after="0" w:line="240" w:lineRule="exact"/>
        <w:rPr>
          <w:szCs w:val="18"/>
        </w:rPr>
      </w:pPr>
      <w:r>
        <w:rPr>
          <w:noProof/>
          <w:szCs w:val="18"/>
        </w:rPr>
        <w:object w:dxaOrig="23529" w:dyaOrig="15516">
          <v:shape id="_x0000_s1038" type="#_x0000_t75" style="position:absolute;left:0;text-align:left;margin-left:48.2pt;margin-top:21.6pt;width:733.05pt;height:37.75pt;z-index:251662336">
            <v:imagedata r:id="rId22" o:title=""/>
            <w10:wrap type="topAndBottom"/>
          </v:shape>
          <o:OLEObject Type="Embed" ProgID="Excel.Sheet.12" ShapeID="_x0000_s1038" DrawAspect="Content" ObjectID="_1592383439"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4"/>
      <w:headerReference w:type="default" r:id="rId25"/>
      <w:footerReference w:type="even" r:id="rId26"/>
      <w:footerReference w:type="default" r:id="rId27"/>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A4" w:rsidRDefault="005876A4" w:rsidP="00EA5418">
      <w:pPr>
        <w:spacing w:after="0" w:line="240" w:lineRule="auto"/>
      </w:pPr>
      <w:r>
        <w:separator/>
      </w:r>
    </w:p>
  </w:endnote>
  <w:endnote w:type="continuationSeparator" w:id="0">
    <w:p w:rsidR="005876A4" w:rsidRDefault="005876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AA" w:rsidRPr="0013011C" w:rsidRDefault="002D01A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F3643" w:rsidRPr="00FF3643">
          <w:rPr>
            <w:rFonts w:ascii="Soberana Sans Light" w:hAnsi="Soberana Sans Light"/>
            <w:noProof/>
            <w:lang w:val="es-ES"/>
          </w:rPr>
          <w:t>20</w:t>
        </w:r>
        <w:r w:rsidRPr="0013011C">
          <w:rPr>
            <w:rFonts w:ascii="Soberana Sans Light" w:hAnsi="Soberana Sans Light"/>
          </w:rPr>
          <w:fldChar w:fldCharType="end"/>
        </w:r>
      </w:sdtContent>
    </w:sdt>
  </w:p>
  <w:p w:rsidR="002D01AA" w:rsidRDefault="002D01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AA" w:rsidRPr="008E3652" w:rsidRDefault="002D01A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F3643" w:rsidRPr="00FF3643">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A4" w:rsidRDefault="005876A4" w:rsidP="00EA5418">
      <w:pPr>
        <w:spacing w:after="0" w:line="240" w:lineRule="auto"/>
      </w:pPr>
      <w:r>
        <w:separator/>
      </w:r>
    </w:p>
  </w:footnote>
  <w:footnote w:type="continuationSeparator" w:id="0">
    <w:p w:rsidR="005876A4" w:rsidRDefault="005876A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AA" w:rsidRDefault="002D01A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1970405</wp:posOffset>
              </wp:positionH>
              <wp:positionV relativeFrom="paragraph">
                <wp:posOffset>-278765</wp:posOffset>
              </wp:positionV>
              <wp:extent cx="4210050" cy="533400"/>
              <wp:effectExtent l="0" t="0" r="0" b="0"/>
              <wp:wrapNone/>
              <wp:docPr id="6" name="6 Grupo"/>
              <wp:cNvGraphicFramePr/>
              <a:graphic xmlns:a="http://schemas.openxmlformats.org/drawingml/2006/main">
                <a:graphicData uri="http://schemas.microsoft.com/office/word/2010/wordprocessingGroup">
                  <wpg:wgp>
                    <wpg:cNvGrpSpPr/>
                    <wpg:grpSpPr>
                      <a:xfrm>
                        <a:off x="0" y="0"/>
                        <a:ext cx="4210050" cy="53340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1AA" w:rsidRDefault="002D01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D01AA" w:rsidRDefault="002D01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D01AA" w:rsidRPr="00275FC6" w:rsidRDefault="002D01A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1AA" w:rsidRDefault="002D01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2D01AA" w:rsidRDefault="002D01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D01AA" w:rsidRPr="00275FC6" w:rsidRDefault="002D01A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48" style="position:absolute;margin-left:155.15pt;margin-top:-21.95pt;width:331.5pt;height:42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BP&#10;h88Z2QQAAOMOAAAOAAAAAAAAAAAAAAAAADwCAABkcnMvZTJvRG9jLnhtbFBLAQItABQABgAIAAAA&#10;IQBYYLMbugAAACIBAAAZAAAAAAAAAAAAAAAAAEEHAABkcnMvX3JlbHMvZTJvRG9jLnhtbC5yZWxz&#10;UEsBAi0AFAAGAAgAAAAhAP2i8EDhAAAACg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63B15" w:rsidRDefault="00063B1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3B15" w:rsidRDefault="00063B1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3B15" w:rsidRPr="00275FC6" w:rsidRDefault="00063B15"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63B15" w:rsidRDefault="00063B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063B15" w:rsidRDefault="00063B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3B15" w:rsidRPr="00275FC6" w:rsidRDefault="00063B1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AA" w:rsidRPr="0013011C" w:rsidRDefault="002D01A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45E7B"/>
    <w:rsid w:val="000516BE"/>
    <w:rsid w:val="000611ED"/>
    <w:rsid w:val="00063729"/>
    <w:rsid w:val="00063B15"/>
    <w:rsid w:val="00067EC1"/>
    <w:rsid w:val="00073E72"/>
    <w:rsid w:val="0007579C"/>
    <w:rsid w:val="000B0B48"/>
    <w:rsid w:val="000D66FD"/>
    <w:rsid w:val="001063BA"/>
    <w:rsid w:val="00106C4F"/>
    <w:rsid w:val="0011369E"/>
    <w:rsid w:val="00113D75"/>
    <w:rsid w:val="001232AD"/>
    <w:rsid w:val="0013011C"/>
    <w:rsid w:val="00152C7B"/>
    <w:rsid w:val="00157A06"/>
    <w:rsid w:val="00165BB4"/>
    <w:rsid w:val="00171DDA"/>
    <w:rsid w:val="00196CB0"/>
    <w:rsid w:val="001B1B72"/>
    <w:rsid w:val="001C6FD8"/>
    <w:rsid w:val="001D305C"/>
    <w:rsid w:val="001D5CE2"/>
    <w:rsid w:val="001E12CE"/>
    <w:rsid w:val="001E55BC"/>
    <w:rsid w:val="001E7072"/>
    <w:rsid w:val="001F3099"/>
    <w:rsid w:val="00204C86"/>
    <w:rsid w:val="00206E11"/>
    <w:rsid w:val="00215150"/>
    <w:rsid w:val="00230BFA"/>
    <w:rsid w:val="00240C7A"/>
    <w:rsid w:val="00253DBA"/>
    <w:rsid w:val="00254DD7"/>
    <w:rsid w:val="00262C70"/>
    <w:rsid w:val="002634C8"/>
    <w:rsid w:val="00264426"/>
    <w:rsid w:val="00284DBD"/>
    <w:rsid w:val="002A70B3"/>
    <w:rsid w:val="002A7BAE"/>
    <w:rsid w:val="002B16BE"/>
    <w:rsid w:val="002C2070"/>
    <w:rsid w:val="002D01AA"/>
    <w:rsid w:val="002D3DAA"/>
    <w:rsid w:val="002E3681"/>
    <w:rsid w:val="002E76C9"/>
    <w:rsid w:val="002F6B52"/>
    <w:rsid w:val="00320C83"/>
    <w:rsid w:val="00324BD4"/>
    <w:rsid w:val="003269CA"/>
    <w:rsid w:val="00331548"/>
    <w:rsid w:val="00343C3B"/>
    <w:rsid w:val="00351D55"/>
    <w:rsid w:val="00360546"/>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56D0"/>
    <w:rsid w:val="003D5DBF"/>
    <w:rsid w:val="003E7FD0"/>
    <w:rsid w:val="003F0EA4"/>
    <w:rsid w:val="003F1ACF"/>
    <w:rsid w:val="003F2139"/>
    <w:rsid w:val="003F29C7"/>
    <w:rsid w:val="003F599C"/>
    <w:rsid w:val="00420D2F"/>
    <w:rsid w:val="00427A9B"/>
    <w:rsid w:val="00430000"/>
    <w:rsid w:val="004311BE"/>
    <w:rsid w:val="00432A52"/>
    <w:rsid w:val="0044253C"/>
    <w:rsid w:val="00454EBA"/>
    <w:rsid w:val="00466D20"/>
    <w:rsid w:val="004701C0"/>
    <w:rsid w:val="004710A9"/>
    <w:rsid w:val="004714CF"/>
    <w:rsid w:val="00475452"/>
    <w:rsid w:val="00484C0D"/>
    <w:rsid w:val="004912C1"/>
    <w:rsid w:val="00494379"/>
    <w:rsid w:val="00497D8B"/>
    <w:rsid w:val="004A19E9"/>
    <w:rsid w:val="004A4542"/>
    <w:rsid w:val="004C2168"/>
    <w:rsid w:val="004D41B8"/>
    <w:rsid w:val="004F09F0"/>
    <w:rsid w:val="004F5641"/>
    <w:rsid w:val="005000F6"/>
    <w:rsid w:val="00500DE7"/>
    <w:rsid w:val="00513779"/>
    <w:rsid w:val="00522632"/>
    <w:rsid w:val="00522EF3"/>
    <w:rsid w:val="0052319A"/>
    <w:rsid w:val="00540418"/>
    <w:rsid w:val="00550F7D"/>
    <w:rsid w:val="005639EC"/>
    <w:rsid w:val="005701B5"/>
    <w:rsid w:val="00572549"/>
    <w:rsid w:val="00574266"/>
    <w:rsid w:val="00574B74"/>
    <w:rsid w:val="00577BAB"/>
    <w:rsid w:val="005870AE"/>
    <w:rsid w:val="005876A4"/>
    <w:rsid w:val="0059178D"/>
    <w:rsid w:val="00595321"/>
    <w:rsid w:val="005A420E"/>
    <w:rsid w:val="005A5DA7"/>
    <w:rsid w:val="005A5DCD"/>
    <w:rsid w:val="005B1FBD"/>
    <w:rsid w:val="005D3D25"/>
    <w:rsid w:val="00612482"/>
    <w:rsid w:val="00625D85"/>
    <w:rsid w:val="006411CE"/>
    <w:rsid w:val="00643065"/>
    <w:rsid w:val="00643927"/>
    <w:rsid w:val="00644B54"/>
    <w:rsid w:val="006472F7"/>
    <w:rsid w:val="0067397E"/>
    <w:rsid w:val="00691EC1"/>
    <w:rsid w:val="006A2694"/>
    <w:rsid w:val="006A3B25"/>
    <w:rsid w:val="006B1FE7"/>
    <w:rsid w:val="006B5438"/>
    <w:rsid w:val="006C0F25"/>
    <w:rsid w:val="006C6509"/>
    <w:rsid w:val="006D7871"/>
    <w:rsid w:val="006E77DD"/>
    <w:rsid w:val="007024B9"/>
    <w:rsid w:val="0071165D"/>
    <w:rsid w:val="00711C7E"/>
    <w:rsid w:val="00732D88"/>
    <w:rsid w:val="0073472A"/>
    <w:rsid w:val="00736E01"/>
    <w:rsid w:val="007437DD"/>
    <w:rsid w:val="007452CB"/>
    <w:rsid w:val="00763FD2"/>
    <w:rsid w:val="00794ECE"/>
    <w:rsid w:val="0079582C"/>
    <w:rsid w:val="007C316B"/>
    <w:rsid w:val="007D069C"/>
    <w:rsid w:val="007D189F"/>
    <w:rsid w:val="007D6C7E"/>
    <w:rsid w:val="007D6E9A"/>
    <w:rsid w:val="007D7DA5"/>
    <w:rsid w:val="007E2974"/>
    <w:rsid w:val="007E60C3"/>
    <w:rsid w:val="00811DAC"/>
    <w:rsid w:val="00827C86"/>
    <w:rsid w:val="008315CB"/>
    <w:rsid w:val="00835CAD"/>
    <w:rsid w:val="008550C2"/>
    <w:rsid w:val="008676FF"/>
    <w:rsid w:val="0089054E"/>
    <w:rsid w:val="008A6E4D"/>
    <w:rsid w:val="008A793D"/>
    <w:rsid w:val="008B0017"/>
    <w:rsid w:val="008B479D"/>
    <w:rsid w:val="008B5F07"/>
    <w:rsid w:val="008C17CB"/>
    <w:rsid w:val="008E0307"/>
    <w:rsid w:val="008E3652"/>
    <w:rsid w:val="008F3768"/>
    <w:rsid w:val="008F6D58"/>
    <w:rsid w:val="009013B0"/>
    <w:rsid w:val="0091599E"/>
    <w:rsid w:val="00917D17"/>
    <w:rsid w:val="009267AF"/>
    <w:rsid w:val="009331B5"/>
    <w:rsid w:val="009331E4"/>
    <w:rsid w:val="0093492C"/>
    <w:rsid w:val="00957043"/>
    <w:rsid w:val="009605F1"/>
    <w:rsid w:val="009662C5"/>
    <w:rsid w:val="009836F1"/>
    <w:rsid w:val="009B172B"/>
    <w:rsid w:val="009B4B2A"/>
    <w:rsid w:val="009C0100"/>
    <w:rsid w:val="009D4A32"/>
    <w:rsid w:val="009D5D4C"/>
    <w:rsid w:val="009F23C4"/>
    <w:rsid w:val="00A04B6B"/>
    <w:rsid w:val="00A14448"/>
    <w:rsid w:val="00A34F28"/>
    <w:rsid w:val="00A363B6"/>
    <w:rsid w:val="00A3723F"/>
    <w:rsid w:val="00A46BF5"/>
    <w:rsid w:val="00A57D9B"/>
    <w:rsid w:val="00A65E70"/>
    <w:rsid w:val="00A747B2"/>
    <w:rsid w:val="00A7572F"/>
    <w:rsid w:val="00AA1261"/>
    <w:rsid w:val="00AA3681"/>
    <w:rsid w:val="00AA3952"/>
    <w:rsid w:val="00AA4ECF"/>
    <w:rsid w:val="00AD6049"/>
    <w:rsid w:val="00AE13BF"/>
    <w:rsid w:val="00B06E3D"/>
    <w:rsid w:val="00B146E2"/>
    <w:rsid w:val="00B23FCF"/>
    <w:rsid w:val="00B25D03"/>
    <w:rsid w:val="00B40BD3"/>
    <w:rsid w:val="00B41A67"/>
    <w:rsid w:val="00B51F85"/>
    <w:rsid w:val="00B52985"/>
    <w:rsid w:val="00B67AA9"/>
    <w:rsid w:val="00B67F64"/>
    <w:rsid w:val="00B7009E"/>
    <w:rsid w:val="00B849EE"/>
    <w:rsid w:val="00B84D02"/>
    <w:rsid w:val="00B87587"/>
    <w:rsid w:val="00B90C8E"/>
    <w:rsid w:val="00B949BA"/>
    <w:rsid w:val="00BA2940"/>
    <w:rsid w:val="00BA3A4D"/>
    <w:rsid w:val="00BB22D1"/>
    <w:rsid w:val="00BB425D"/>
    <w:rsid w:val="00BB54A1"/>
    <w:rsid w:val="00BD5BA2"/>
    <w:rsid w:val="00BE7250"/>
    <w:rsid w:val="00BF10D6"/>
    <w:rsid w:val="00C008DE"/>
    <w:rsid w:val="00C03314"/>
    <w:rsid w:val="00C04F66"/>
    <w:rsid w:val="00C16E53"/>
    <w:rsid w:val="00C171C5"/>
    <w:rsid w:val="00C23712"/>
    <w:rsid w:val="00C431B4"/>
    <w:rsid w:val="00C6641A"/>
    <w:rsid w:val="00C86C59"/>
    <w:rsid w:val="00C91C5A"/>
    <w:rsid w:val="00CA3099"/>
    <w:rsid w:val="00CA54F2"/>
    <w:rsid w:val="00CB34B4"/>
    <w:rsid w:val="00CB3D9D"/>
    <w:rsid w:val="00CC7904"/>
    <w:rsid w:val="00CD66AD"/>
    <w:rsid w:val="00CD6D9A"/>
    <w:rsid w:val="00CD7EE7"/>
    <w:rsid w:val="00CE00DF"/>
    <w:rsid w:val="00CE0A13"/>
    <w:rsid w:val="00CE25DB"/>
    <w:rsid w:val="00CE6567"/>
    <w:rsid w:val="00CF2C7C"/>
    <w:rsid w:val="00D00E92"/>
    <w:rsid w:val="00D055EC"/>
    <w:rsid w:val="00D0688B"/>
    <w:rsid w:val="00D1022B"/>
    <w:rsid w:val="00D21FEE"/>
    <w:rsid w:val="00D31FBB"/>
    <w:rsid w:val="00D44728"/>
    <w:rsid w:val="00D45B53"/>
    <w:rsid w:val="00D562FF"/>
    <w:rsid w:val="00D640B6"/>
    <w:rsid w:val="00D674BA"/>
    <w:rsid w:val="00D707A4"/>
    <w:rsid w:val="00D721A5"/>
    <w:rsid w:val="00D75867"/>
    <w:rsid w:val="00D85D82"/>
    <w:rsid w:val="00DA1696"/>
    <w:rsid w:val="00DC60F5"/>
    <w:rsid w:val="00DD347E"/>
    <w:rsid w:val="00DF56C9"/>
    <w:rsid w:val="00DF7FDD"/>
    <w:rsid w:val="00E003D4"/>
    <w:rsid w:val="00E05C8A"/>
    <w:rsid w:val="00E078B8"/>
    <w:rsid w:val="00E13046"/>
    <w:rsid w:val="00E2444D"/>
    <w:rsid w:val="00E26616"/>
    <w:rsid w:val="00E27FEE"/>
    <w:rsid w:val="00E30318"/>
    <w:rsid w:val="00E32708"/>
    <w:rsid w:val="00E3397C"/>
    <w:rsid w:val="00E430C7"/>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31A4"/>
    <w:rsid w:val="00EC63E9"/>
    <w:rsid w:val="00ED1F2B"/>
    <w:rsid w:val="00EE0D26"/>
    <w:rsid w:val="00EE332B"/>
    <w:rsid w:val="00EE46FB"/>
    <w:rsid w:val="00EE7D5B"/>
    <w:rsid w:val="00EF5E55"/>
    <w:rsid w:val="00F03C4D"/>
    <w:rsid w:val="00F17C0D"/>
    <w:rsid w:val="00F306B5"/>
    <w:rsid w:val="00F3309A"/>
    <w:rsid w:val="00F4137A"/>
    <w:rsid w:val="00F6139B"/>
    <w:rsid w:val="00F720AC"/>
    <w:rsid w:val="00F7374E"/>
    <w:rsid w:val="00F755D0"/>
    <w:rsid w:val="00F77D28"/>
    <w:rsid w:val="00F80A76"/>
    <w:rsid w:val="00FA756F"/>
    <w:rsid w:val="00FA7CFE"/>
    <w:rsid w:val="00FB1010"/>
    <w:rsid w:val="00FB6517"/>
    <w:rsid w:val="00FD1024"/>
    <w:rsid w:val="00FD1F90"/>
    <w:rsid w:val="00FD5A63"/>
    <w:rsid w:val="00FD5D99"/>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0A8B-63E5-4BBC-9F72-74169195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22</Pages>
  <Words>3718</Words>
  <Characters>20449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21</cp:revision>
  <cp:lastPrinted>2018-04-06T03:33:00Z</cp:lastPrinted>
  <dcterms:created xsi:type="dcterms:W3CDTF">2017-12-18T22:47:00Z</dcterms:created>
  <dcterms:modified xsi:type="dcterms:W3CDTF">2018-07-06T16:57:00Z</dcterms:modified>
</cp:coreProperties>
</file>