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68A32D" w14:textId="359EBC7C" w:rsidR="00374F42" w:rsidRDefault="005212BE" w:rsidP="00665157">
      <w:pPr>
        <w:pStyle w:val="Textoindependiente3"/>
        <w:spacing w:line="240" w:lineRule="auto"/>
        <w:ind w:left="5041" w:hanging="5041"/>
        <w:rPr>
          <w:b/>
          <w:bCs/>
          <w:lang w:val="es-MX"/>
        </w:rPr>
      </w:pPr>
      <w:r>
        <w:rPr>
          <w:b/>
          <w:bCs/>
          <w:noProof/>
          <w:lang w:val="es-MX" w:eastAsia="es-MX"/>
        </w:rPr>
        <mc:AlternateContent>
          <mc:Choice Requires="wps">
            <w:drawing>
              <wp:anchor distT="0" distB="0" distL="114300" distR="114300" simplePos="0" relativeHeight="251654144" behindDoc="0" locked="0" layoutInCell="1" allowOverlap="1" wp14:anchorId="13197E2E" wp14:editId="1641C157">
                <wp:simplePos x="0" y="0"/>
                <wp:positionH relativeFrom="margin">
                  <wp:align>right</wp:align>
                </wp:positionH>
                <wp:positionV relativeFrom="paragraph">
                  <wp:posOffset>-317805</wp:posOffset>
                </wp:positionV>
                <wp:extent cx="2057400" cy="685800"/>
                <wp:effectExtent l="0" t="0" r="0" b="0"/>
                <wp:wrapNone/>
                <wp:docPr id="26"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85800"/>
                        </a:xfrm>
                        <a:prstGeom prst="rect">
                          <a:avLst/>
                        </a:prstGeom>
                        <a:noFill/>
                        <a:ln>
                          <a:noFill/>
                        </a:ln>
                        <a:extLst>
                          <a:ext uri="{909E8E84-426E-40DD-AFC4-6F175D3DCCD1}">
                            <a14:hiddenFill xmlns:a14="http://schemas.microsoft.com/office/drawing/2010/main">
                              <a:solidFill>
                                <a:srgbClr val="FFFFFF">
                                  <a:alpha val="50000"/>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383386" w14:textId="0C0124EA" w:rsidR="002C73EF" w:rsidRDefault="002C73EF" w:rsidP="00F8315F">
                            <w:pPr>
                              <w:pStyle w:val="Textoindependiente3"/>
                              <w:spacing w:line="240" w:lineRule="auto"/>
                            </w:pPr>
                            <w:r w:rsidRPr="0035353B">
                              <w:rPr>
                                <w:rFonts w:ascii="Times New Roman" w:hAnsi="Times New Roman"/>
                                <w:b/>
                              </w:rPr>
                              <w:t>Iniciativa de Ley de Ingresos del Estado de Tlaxcala para el Ejercicio Fiscal 2023.</w:t>
                            </w:r>
                          </w:p>
                          <w:p w14:paraId="741D8001" w14:textId="77777777" w:rsidR="002C73EF" w:rsidRDefault="002C73EF" w:rsidP="00F8315F">
                            <w:pPr>
                              <w:pStyle w:val="Textoindependiente3"/>
                              <w:spacing w:line="240" w:lineRule="auto"/>
                            </w:pPr>
                          </w:p>
                          <w:p w14:paraId="2AC4AEE2" w14:textId="77777777" w:rsidR="002C73EF" w:rsidRDefault="002C73EF" w:rsidP="00F8315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197E2E" id="_x0000_t202" coordsize="21600,21600" o:spt="202" path="m,l,21600r21600,l21600,xe">
                <v:stroke joinstyle="miter"/>
                <v:path gradientshapeok="t" o:connecttype="rect"/>
              </v:shapetype>
              <v:shape id="Text Box 65" o:spid="_x0000_s1026" type="#_x0000_t202" style="position:absolute;left:0;text-align:left;margin-left:110.8pt;margin-top:-25pt;width:162pt;height:54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" filled="f" stroked="f">
                <v:fill opacity="32896f"/>
                <v:textbox>
                  <w:txbxContent>
                    <w:p w14:paraId="51383386" w14:textId="0C0124EA" w:rsidR="002C73EF" w:rsidRDefault="002C73EF" w:rsidP="00F8315F">
                      <w:pPr>
                        <w:pStyle w:val="Textoindependiente3"/>
                        <w:spacing w:line="240" w:lineRule="auto"/>
                      </w:pPr>
                      <w:r w:rsidRPr="0035353B">
                        <w:rPr>
                          <w:rFonts w:ascii="Times New Roman" w:hAnsi="Times New Roman"/>
                          <w:b/>
                        </w:rPr>
                        <w:t>Iniciativa de Ley de Ingresos del Estado de Tlaxcala para el Ejercicio Fiscal 2023.</w:t>
                      </w:r>
                    </w:p>
                    <w:p w14:paraId="741D8001" w14:textId="77777777" w:rsidR="002C73EF" w:rsidRDefault="002C73EF" w:rsidP="00F8315F">
                      <w:pPr>
                        <w:pStyle w:val="Textoindependiente3"/>
                        <w:spacing w:line="240" w:lineRule="auto"/>
                      </w:pPr>
                    </w:p>
                    <w:p w14:paraId="2AC4AEE2" w14:textId="77777777" w:rsidR="002C73EF" w:rsidRDefault="002C73EF" w:rsidP="00F8315F"/>
                  </w:txbxContent>
                </v:textbox>
                <w10:wrap anchorx="margin"/>
              </v:shape>
            </w:pict>
          </mc:Fallback>
        </mc:AlternateContent>
      </w:r>
    </w:p>
    <w:p w14:paraId="3CFE2771" w14:textId="77777777" w:rsidR="00374F42" w:rsidRDefault="00374F42" w:rsidP="00665157">
      <w:pPr>
        <w:pStyle w:val="Textoindependiente3"/>
        <w:spacing w:line="240" w:lineRule="auto"/>
        <w:ind w:left="5041" w:hanging="5041"/>
        <w:rPr>
          <w:b/>
          <w:bCs/>
          <w:lang w:val="es-MX"/>
        </w:rPr>
      </w:pPr>
    </w:p>
    <w:p w14:paraId="5A9D402D" w14:textId="77777777" w:rsidR="00374F42" w:rsidRDefault="00374F42" w:rsidP="00665157">
      <w:pPr>
        <w:pStyle w:val="Textoindependiente3"/>
        <w:spacing w:line="240" w:lineRule="auto"/>
        <w:ind w:left="5041" w:hanging="5041"/>
        <w:rPr>
          <w:b/>
          <w:bCs/>
          <w:lang w:val="es-MX"/>
        </w:rPr>
      </w:pPr>
    </w:p>
    <w:p w14:paraId="567AD941" w14:textId="455D9682" w:rsidR="00665157" w:rsidRDefault="00665157" w:rsidP="00665157">
      <w:pPr>
        <w:pStyle w:val="Textoindependiente3"/>
        <w:spacing w:line="240" w:lineRule="auto"/>
        <w:ind w:left="5041" w:hanging="5041"/>
        <w:rPr>
          <w:b/>
          <w:bCs/>
          <w:lang w:val="es-MX"/>
        </w:rPr>
      </w:pPr>
    </w:p>
    <w:p w14:paraId="3263CF78" w14:textId="470111E1" w:rsidR="008853F5" w:rsidRDefault="008853F5" w:rsidP="00665157">
      <w:pPr>
        <w:pStyle w:val="Textoindependiente3"/>
        <w:spacing w:line="240" w:lineRule="auto"/>
        <w:ind w:left="5041" w:hanging="5041"/>
        <w:rPr>
          <w:b/>
          <w:bCs/>
          <w:lang w:val="es-MX"/>
        </w:rPr>
      </w:pPr>
    </w:p>
    <w:p w14:paraId="0F17BEF5" w14:textId="77777777" w:rsidR="008853F5" w:rsidRDefault="008853F5" w:rsidP="00665157">
      <w:pPr>
        <w:pStyle w:val="Textoindependiente3"/>
        <w:spacing w:line="240" w:lineRule="auto"/>
        <w:ind w:left="5041" w:hanging="5041"/>
        <w:rPr>
          <w:b/>
          <w:bCs/>
          <w:lang w:val="es-MX"/>
        </w:rPr>
      </w:pPr>
    </w:p>
    <w:p w14:paraId="41ED75AB" w14:textId="77777777" w:rsidR="00700E81" w:rsidRDefault="00700E81" w:rsidP="00665157">
      <w:pPr>
        <w:pStyle w:val="Textoindependiente3"/>
        <w:spacing w:line="240" w:lineRule="auto"/>
        <w:ind w:left="5041" w:hanging="5041"/>
        <w:rPr>
          <w:b/>
          <w:bCs/>
          <w:lang w:val="es-MX"/>
        </w:rPr>
      </w:pPr>
    </w:p>
    <w:p w14:paraId="4DC7FFE8" w14:textId="77777777" w:rsidR="00700E81" w:rsidRDefault="00700E81" w:rsidP="00665157">
      <w:pPr>
        <w:pStyle w:val="Textoindependiente3"/>
        <w:spacing w:line="240" w:lineRule="auto"/>
        <w:ind w:left="5041" w:hanging="5041"/>
        <w:rPr>
          <w:b/>
          <w:bCs/>
          <w:lang w:val="es-MX"/>
        </w:rPr>
      </w:pPr>
    </w:p>
    <w:p w14:paraId="2B33A47E" w14:textId="77777777" w:rsidR="0035353B" w:rsidRPr="0035353B" w:rsidRDefault="0035353B" w:rsidP="0035353B">
      <w:pPr>
        <w:spacing w:line="360" w:lineRule="auto"/>
        <w:jc w:val="both"/>
        <w:rPr>
          <w:b/>
          <w:bCs/>
          <w:sz w:val="20"/>
          <w:szCs w:val="20"/>
          <w:lang w:val="es-MX"/>
        </w:rPr>
      </w:pPr>
      <w:r w:rsidRPr="0035353B">
        <w:rPr>
          <w:b/>
          <w:bCs/>
          <w:sz w:val="20"/>
          <w:szCs w:val="20"/>
          <w:lang w:val="es-MX"/>
        </w:rPr>
        <w:t>DIP. LETICIA MARTÍNEZ CERÓN</w:t>
      </w:r>
    </w:p>
    <w:p w14:paraId="773A4412" w14:textId="77777777" w:rsidR="0035353B" w:rsidRPr="0035353B" w:rsidRDefault="0035353B" w:rsidP="0035353B">
      <w:pPr>
        <w:spacing w:line="360" w:lineRule="auto"/>
        <w:jc w:val="both"/>
        <w:rPr>
          <w:b/>
          <w:bCs/>
          <w:sz w:val="20"/>
          <w:szCs w:val="20"/>
          <w:lang w:val="es-MX"/>
        </w:rPr>
      </w:pPr>
      <w:r w:rsidRPr="0035353B">
        <w:rPr>
          <w:b/>
          <w:bCs/>
          <w:sz w:val="20"/>
          <w:szCs w:val="20"/>
          <w:lang w:val="es-MX"/>
        </w:rPr>
        <w:t>PRESIDENTA DE LA MESA DIRECTIVA</w:t>
      </w:r>
    </w:p>
    <w:p w14:paraId="11525FA0" w14:textId="77777777" w:rsidR="0035353B" w:rsidRPr="0035353B" w:rsidRDefault="0035353B" w:rsidP="0035353B">
      <w:pPr>
        <w:spacing w:line="360" w:lineRule="auto"/>
        <w:jc w:val="both"/>
        <w:rPr>
          <w:b/>
          <w:bCs/>
          <w:sz w:val="20"/>
          <w:szCs w:val="20"/>
          <w:lang w:val="es-MX"/>
        </w:rPr>
      </w:pPr>
      <w:r w:rsidRPr="0035353B">
        <w:rPr>
          <w:b/>
          <w:bCs/>
          <w:sz w:val="20"/>
          <w:szCs w:val="20"/>
          <w:lang w:val="es-MX"/>
        </w:rPr>
        <w:t xml:space="preserve">DE LA LXIV LEGISLATURA DEL CONGRESO </w:t>
      </w:r>
    </w:p>
    <w:p w14:paraId="202B44FC" w14:textId="77777777" w:rsidR="0035353B" w:rsidRPr="0035353B" w:rsidRDefault="0035353B" w:rsidP="0035353B">
      <w:pPr>
        <w:spacing w:line="360" w:lineRule="auto"/>
        <w:jc w:val="both"/>
        <w:rPr>
          <w:b/>
          <w:bCs/>
          <w:sz w:val="20"/>
          <w:szCs w:val="20"/>
          <w:lang w:val="es-MX"/>
        </w:rPr>
      </w:pPr>
      <w:r w:rsidRPr="0035353B">
        <w:rPr>
          <w:b/>
          <w:bCs/>
          <w:sz w:val="20"/>
          <w:szCs w:val="20"/>
          <w:lang w:val="es-MX"/>
        </w:rPr>
        <w:t>DEL ESTADO DE TLAXCALA</w:t>
      </w:r>
    </w:p>
    <w:p w14:paraId="6F5D3292" w14:textId="37023271" w:rsidR="00D12F9A" w:rsidRDefault="0035353B" w:rsidP="0035353B">
      <w:pPr>
        <w:spacing w:line="360" w:lineRule="auto"/>
        <w:jc w:val="both"/>
        <w:rPr>
          <w:rFonts w:ascii="Arial" w:hAnsi="Arial" w:cs="Arial"/>
          <w:sz w:val="20"/>
          <w:lang w:val="es-MX"/>
        </w:rPr>
      </w:pPr>
      <w:r w:rsidRPr="0035353B">
        <w:rPr>
          <w:b/>
          <w:bCs/>
          <w:sz w:val="20"/>
          <w:szCs w:val="20"/>
          <w:lang w:val="es-MX"/>
        </w:rPr>
        <w:t>P R E S E N T E.</w:t>
      </w:r>
    </w:p>
    <w:p w14:paraId="6569F476" w14:textId="77777777" w:rsidR="00D12F9A" w:rsidRDefault="00D12F9A" w:rsidP="00D12F9A">
      <w:pPr>
        <w:spacing w:line="360" w:lineRule="auto"/>
        <w:jc w:val="both"/>
        <w:rPr>
          <w:rFonts w:ascii="Arial" w:hAnsi="Arial" w:cs="Arial"/>
          <w:sz w:val="20"/>
          <w:lang w:val="es-MX"/>
        </w:rPr>
      </w:pPr>
    </w:p>
    <w:p w14:paraId="2CD44296" w14:textId="3687EC97" w:rsidR="00D12F9A" w:rsidRPr="00F379B2" w:rsidRDefault="0035353B" w:rsidP="00D12F9A">
      <w:pPr>
        <w:spacing w:line="360" w:lineRule="auto"/>
        <w:jc w:val="both"/>
        <w:rPr>
          <w:bCs/>
          <w:sz w:val="20"/>
          <w:szCs w:val="20"/>
        </w:rPr>
      </w:pPr>
      <w:r w:rsidRPr="0035353B">
        <w:rPr>
          <w:bCs/>
          <w:sz w:val="20"/>
          <w:szCs w:val="20"/>
        </w:rPr>
        <w:t>Lorena Cuéllar Cisneros, Gobernadora del Estado, en uso de las facultades que me confieren los artículos 46 fracción II y 70, fracciones IV y VIII, de la Constitución Política del Estado Libre y Soberano de Tlaxcala, y en cumplimiento a lo dispuesto por el artículo 86 del Código Financiero para el Estado de Tlaxcala y sus Municipios, me permito someter al análisis, discusión y aprobación de ese Congreso, la Iniciativa de Ley de Ingresos del Estado de Tlaxcala, para el Ejercicio Fiscal 2023, de conformidad con la siguiente:</w:t>
      </w:r>
    </w:p>
    <w:p w14:paraId="3255E685" w14:textId="069EE13B" w:rsidR="005212BE" w:rsidRPr="00F379B2" w:rsidRDefault="005212BE" w:rsidP="00D12F9A">
      <w:pPr>
        <w:spacing w:line="360" w:lineRule="auto"/>
        <w:jc w:val="center"/>
        <w:rPr>
          <w:b/>
          <w:sz w:val="20"/>
          <w:szCs w:val="20"/>
        </w:rPr>
      </w:pPr>
    </w:p>
    <w:p w14:paraId="18333973" w14:textId="77777777" w:rsidR="005212BE" w:rsidRPr="00F379B2" w:rsidRDefault="005212BE" w:rsidP="00D12F9A">
      <w:pPr>
        <w:spacing w:line="360" w:lineRule="auto"/>
        <w:jc w:val="center"/>
        <w:rPr>
          <w:b/>
          <w:sz w:val="20"/>
          <w:szCs w:val="20"/>
        </w:rPr>
      </w:pPr>
    </w:p>
    <w:p w14:paraId="1179FE59" w14:textId="0D91EDA1" w:rsidR="00D12F9A" w:rsidRPr="00F379B2" w:rsidRDefault="00D12F9A" w:rsidP="00D12F9A">
      <w:pPr>
        <w:spacing w:line="360" w:lineRule="auto"/>
        <w:jc w:val="center"/>
        <w:rPr>
          <w:b/>
          <w:sz w:val="20"/>
          <w:szCs w:val="20"/>
        </w:rPr>
      </w:pPr>
      <w:r w:rsidRPr="00F379B2">
        <w:rPr>
          <w:b/>
          <w:sz w:val="20"/>
          <w:szCs w:val="20"/>
        </w:rPr>
        <w:t>EXPOSICIÓN DE MOTIVOS</w:t>
      </w:r>
    </w:p>
    <w:p w14:paraId="101F4938" w14:textId="77777777" w:rsidR="007713BE" w:rsidRPr="00F379B2" w:rsidRDefault="007713BE" w:rsidP="00D12F9A">
      <w:pPr>
        <w:spacing w:line="360" w:lineRule="auto"/>
        <w:jc w:val="center"/>
        <w:rPr>
          <w:sz w:val="20"/>
          <w:szCs w:val="20"/>
        </w:rPr>
      </w:pPr>
    </w:p>
    <w:p w14:paraId="1B489541" w14:textId="77777777" w:rsidR="00F329D9" w:rsidRPr="00F379B2" w:rsidRDefault="006234E9" w:rsidP="00FD71AE">
      <w:pPr>
        <w:pStyle w:val="PRIMERAPLANA"/>
        <w:numPr>
          <w:ilvl w:val="0"/>
          <w:numId w:val="8"/>
        </w:numPr>
        <w:spacing w:line="360" w:lineRule="auto"/>
        <w:ind w:left="567" w:hanging="567"/>
        <w:rPr>
          <w:rFonts w:ascii="Times New Roman" w:hAnsi="Times New Roman"/>
          <w:b/>
          <w:lang w:val="es-ES"/>
        </w:rPr>
      </w:pPr>
      <w:r w:rsidRPr="00F379B2">
        <w:rPr>
          <w:rFonts w:ascii="Times New Roman" w:hAnsi="Times New Roman"/>
          <w:b/>
          <w:lang w:val="es-ES"/>
        </w:rPr>
        <w:t>CONSIDERACIONES GENERALES</w:t>
      </w:r>
    </w:p>
    <w:p w14:paraId="2E682C73" w14:textId="59DB1ECA" w:rsidR="003A4F1C" w:rsidRPr="00F379B2" w:rsidRDefault="003A4F1C" w:rsidP="00AA2E86">
      <w:pPr>
        <w:pStyle w:val="PRIMERAPLANA"/>
        <w:spacing w:line="360" w:lineRule="auto"/>
        <w:rPr>
          <w:rFonts w:ascii="Times New Roman" w:hAnsi="Times New Roman"/>
          <w:bCs/>
          <w:lang w:val="es-ES"/>
        </w:rPr>
      </w:pPr>
    </w:p>
    <w:p w14:paraId="13C07F6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Ley de Ingresos del Estado de Tlaxcala, es el instrumento jurídico mediante el cual se establecen las fuentes de ingresos y los recursos que anualmente son necesarios para satisfacer los requerimientos y demandas de la población tlaxcalteca, que permitan garantizar el respeto absoluto a los principios fundamentales de proporcionalidad, equidad y legalidad consagrados en nuestra Carta Magna.</w:t>
      </w:r>
    </w:p>
    <w:p w14:paraId="5AE4783F" w14:textId="77777777" w:rsidR="009274F7" w:rsidRPr="009274F7" w:rsidRDefault="009274F7" w:rsidP="009274F7">
      <w:pPr>
        <w:pStyle w:val="PRIMERAPLANA"/>
        <w:spacing w:line="360" w:lineRule="auto"/>
        <w:rPr>
          <w:rFonts w:ascii="Times New Roman" w:hAnsi="Times New Roman"/>
          <w:bCs/>
          <w:lang w:val="es-ES"/>
        </w:rPr>
      </w:pPr>
    </w:p>
    <w:p w14:paraId="09E5DCF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iniciativa de Ley de Ingresos del Estado de Tlaxcala, para el Ejercicio Fiscal 2023, que se somete a la consideración de ese Congreso, es una propuesta objetiva, responsable y sobre todo, comprometida con el bienestar de las familias tlaxcaltecas, que garantizan finanzas públicas estatales sanas, a través </w:t>
      </w:r>
      <w:r w:rsidRPr="009274F7">
        <w:rPr>
          <w:rFonts w:ascii="Times New Roman" w:hAnsi="Times New Roman"/>
          <w:bCs/>
          <w:lang w:val="es-ES"/>
        </w:rPr>
        <w:lastRenderedPageBreak/>
        <w:t>de un presupuesto equilibrado y del manejo responsable de los recursos públicos, que estimulen la actividad económica de la entidad.</w:t>
      </w:r>
    </w:p>
    <w:p w14:paraId="525A7533" w14:textId="77777777" w:rsidR="009274F7" w:rsidRPr="009274F7" w:rsidRDefault="009274F7" w:rsidP="009274F7">
      <w:pPr>
        <w:pStyle w:val="PRIMERAPLANA"/>
        <w:spacing w:line="360" w:lineRule="auto"/>
        <w:rPr>
          <w:rFonts w:ascii="Times New Roman" w:hAnsi="Times New Roman"/>
          <w:bCs/>
          <w:lang w:val="es-ES"/>
        </w:rPr>
      </w:pPr>
    </w:p>
    <w:p w14:paraId="734F0954"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presente Administración, tiene como prioridad el desarrollo de la infraestructura y la prestación de servicios públicos de calidad, al considerar que la adecuada dotación de infraestructura y servicios públicos genera un desarrollo positivo en la Entidad, repercutiendo en el crecimiento económico, mejoras en la competitividad, productividad y sobre todo, en un mayor bienestar social.</w:t>
      </w:r>
    </w:p>
    <w:p w14:paraId="3A25D99F" w14:textId="77777777" w:rsidR="009274F7" w:rsidRPr="009274F7" w:rsidRDefault="009274F7" w:rsidP="009274F7">
      <w:pPr>
        <w:pStyle w:val="PRIMERAPLANA"/>
        <w:spacing w:line="360" w:lineRule="auto"/>
        <w:rPr>
          <w:rFonts w:ascii="Times New Roman" w:hAnsi="Times New Roman"/>
          <w:bCs/>
          <w:lang w:val="es-ES"/>
        </w:rPr>
      </w:pPr>
    </w:p>
    <w:p w14:paraId="591A773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Nos hemos propuesto implementar un nuevo modelo de Gobierno, basado en la construcción de una sociedad más justa y más humana, orientado a la mejora en los procesos de la administración tributaria y a una forma de gestión más participativa, encauzado hacia la mejora en los niveles de desarrollo humano y de la productividad. Por lo que, las propuestas contenidas en la presente Iniciativa reflejan el que los esfuerzos gubernamentales se encaminen al aprovechamiento adecuado de los espacios de oportunidad que el marco legal brinda para fortalecer sus finanzas, y con ello su capacidad de respuesta a las crecientes demandas de la sociedad, por lo que la adecuación del marco jurídico tributario del ámbito local adquiere relevancia para avanzar hacia un fortalecimiento basado en unas finanzas públicas sostenibles.</w:t>
      </w:r>
    </w:p>
    <w:p w14:paraId="675C3346" w14:textId="77777777" w:rsidR="009274F7" w:rsidRPr="009274F7" w:rsidRDefault="009274F7" w:rsidP="009274F7">
      <w:pPr>
        <w:pStyle w:val="PRIMERAPLANA"/>
        <w:spacing w:line="360" w:lineRule="auto"/>
        <w:rPr>
          <w:rFonts w:ascii="Times New Roman" w:hAnsi="Times New Roman"/>
          <w:bCs/>
          <w:lang w:val="es-ES"/>
        </w:rPr>
      </w:pPr>
    </w:p>
    <w:p w14:paraId="5727EA6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Desde el inicio de nuestro encargo, hemos sido congruentes con los objetivos planteados en el Plan Estatal de Desarrollo 2021-2027, a través de las estrategias puestas en marcha por las Dependencias que conforman la estructura gubernamental, siendo evaluadas en sus funciones a fin de poder ofrecer a la ciudadanía, calidad en la prestación de sus servicios, modernizando la operatividad administrativa, facilitando la gestión de trámites y el cumplimiento de las obligaciones fiscales, con innovación tecnológica y digital para la asesoría fiscal y el pago de las contribuciones locales, eficientando la recaudación sin aumentar las cargas tributarias a la ciudadanía.</w:t>
      </w:r>
    </w:p>
    <w:p w14:paraId="315879CA" w14:textId="77777777" w:rsidR="009274F7" w:rsidRPr="009274F7" w:rsidRDefault="009274F7" w:rsidP="009274F7">
      <w:pPr>
        <w:pStyle w:val="PRIMERAPLANA"/>
        <w:spacing w:line="360" w:lineRule="auto"/>
        <w:rPr>
          <w:rFonts w:ascii="Times New Roman" w:hAnsi="Times New Roman"/>
          <w:bCs/>
          <w:lang w:val="es-ES"/>
        </w:rPr>
      </w:pPr>
    </w:p>
    <w:p w14:paraId="2A450457"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El ejercicio transparente del gasto público, es uno de los reclamos fundamentales de la sociedad, pues de ello depende que los servicios públicos que el Estado proporciona sean de calidad, aplicando los ingresos obtenidos mediante la contribución de sus habitantes, materializándose en beneficio de la ciudadanía, lo que implica que, a partir de una adecuada planeación, la presupuestación y la programación de las acciones a ejecutar se efectúen orientadas en favor de la población en general.</w:t>
      </w:r>
    </w:p>
    <w:p w14:paraId="34C43BCC" w14:textId="77777777" w:rsidR="009274F7" w:rsidRPr="009274F7" w:rsidRDefault="009274F7" w:rsidP="009274F7">
      <w:pPr>
        <w:pStyle w:val="PRIMERAPLANA"/>
        <w:spacing w:line="360" w:lineRule="auto"/>
        <w:rPr>
          <w:rFonts w:ascii="Times New Roman" w:hAnsi="Times New Roman"/>
          <w:bCs/>
          <w:lang w:val="es-ES"/>
        </w:rPr>
      </w:pPr>
    </w:p>
    <w:p w14:paraId="6736D1C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La rendición de cuentas responsable y transparente de las finanzas públicas, fortalece la credibilidad de los Tlaxcaltecas en la gestión gubernamental; facilita la recaudación de las contribuciones locales, e incentiva el cumplimiento de las obligaciones fiscales.</w:t>
      </w:r>
    </w:p>
    <w:p w14:paraId="3D1BBDBA" w14:textId="77777777" w:rsidR="009274F7" w:rsidRPr="009274F7" w:rsidRDefault="009274F7" w:rsidP="009274F7">
      <w:pPr>
        <w:pStyle w:val="PRIMERAPLANA"/>
        <w:spacing w:line="360" w:lineRule="auto"/>
        <w:rPr>
          <w:rFonts w:ascii="Times New Roman" w:hAnsi="Times New Roman"/>
          <w:bCs/>
          <w:lang w:val="es-ES"/>
        </w:rPr>
      </w:pPr>
    </w:p>
    <w:p w14:paraId="6C4A6601"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El Gobierno del Estado, en el cumplimiento de sus objetivos, mantiene el equilibrio y la solidez de sus finanzas públicas, la racionalización del gasto es prueba de que es posible la calidad en la gestión pública con eficacia y eficiencia; el fortalecimiento de la recaudación de ingresos es primordial para atender los planes estratégicos de la administración en materia de seguridad, salud, bienestar social y recuperación económica.</w:t>
      </w:r>
    </w:p>
    <w:p w14:paraId="7D38219B" w14:textId="77777777" w:rsidR="009274F7" w:rsidRPr="009274F7" w:rsidRDefault="009274F7" w:rsidP="009274F7">
      <w:pPr>
        <w:pStyle w:val="PRIMERAPLANA"/>
        <w:spacing w:line="360" w:lineRule="auto"/>
        <w:rPr>
          <w:rFonts w:ascii="Times New Roman" w:hAnsi="Times New Roman"/>
          <w:bCs/>
          <w:lang w:val="es-ES"/>
        </w:rPr>
      </w:pPr>
    </w:p>
    <w:p w14:paraId="6D6E3137"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El Gobierno de la Cuarta Transformación de la vida pública, consciente de los grandes retos que enfrenta nuestra Entidad, está absolutamente comprometido en responder a la confianza de la población en la que el conjunto de políticas, objetivos, estrategias y líneas de acción en materia de ingresos públicos, están dirigidas a consolidar el desarrollo de nuestra Entidad.</w:t>
      </w:r>
    </w:p>
    <w:p w14:paraId="3762F933" w14:textId="77777777" w:rsidR="009274F7" w:rsidRPr="009274F7" w:rsidRDefault="009274F7" w:rsidP="009274F7">
      <w:pPr>
        <w:pStyle w:val="PRIMERAPLANA"/>
        <w:spacing w:line="360" w:lineRule="auto"/>
        <w:rPr>
          <w:rFonts w:ascii="Times New Roman" w:hAnsi="Times New Roman"/>
          <w:bCs/>
          <w:lang w:val="es-ES"/>
        </w:rPr>
      </w:pPr>
    </w:p>
    <w:p w14:paraId="6AFEFAD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iniciativa de Ley de Ingresos del Estado de Tlaxcala, para el Ejercicio Fiscal 2023, que presenta el Poder Ejecutivo al Congreso del Estado, se encuentra enmarcada en un periodo de recuperación económica, derivada de la pandemia por la COVID-19, esperando un crecimiento de la economía del país; sin embargo, debemos destacar que aún prevalece un entorno complejo, volátil y de bajo crecimiento global al esperado.</w:t>
      </w:r>
    </w:p>
    <w:p w14:paraId="52EAA1E3" w14:textId="77777777" w:rsidR="009274F7" w:rsidRPr="009274F7" w:rsidRDefault="009274F7" w:rsidP="009274F7">
      <w:pPr>
        <w:pStyle w:val="PRIMERAPLANA"/>
        <w:spacing w:line="360" w:lineRule="auto"/>
        <w:rPr>
          <w:rFonts w:ascii="Times New Roman" w:hAnsi="Times New Roman"/>
          <w:bCs/>
          <w:lang w:val="es-ES"/>
        </w:rPr>
      </w:pPr>
    </w:p>
    <w:p w14:paraId="0E5164E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Ley de Ingresos del Estado de Tlaxcala, para el Ejercicio Fiscal 2023 es el instrumento jurídico que establece los ingresos del Gobierno del Estado, que se recaudarán por concepto de impuestos, derechos, productos, aprovechamientos, participaciones federales, incentivos económicos, aportaciones federales y otros ingresos federales transferidos; que serán destinados a cubrir los gastos públicos en las cantidades estimadas en la misma. Este documento presupuestario ofrece información valiosa para identificar las prioridades del gobierno, además de ser una importante herramienta de transparencia y rendición de cuentas a la ciudadanía.</w:t>
      </w:r>
    </w:p>
    <w:p w14:paraId="63988074" w14:textId="77777777" w:rsidR="009274F7" w:rsidRPr="009274F7" w:rsidRDefault="009274F7" w:rsidP="009274F7">
      <w:pPr>
        <w:pStyle w:val="PRIMERAPLANA"/>
        <w:spacing w:line="360" w:lineRule="auto"/>
        <w:rPr>
          <w:rFonts w:ascii="Times New Roman" w:hAnsi="Times New Roman"/>
          <w:bCs/>
          <w:lang w:val="es-ES"/>
        </w:rPr>
      </w:pPr>
    </w:p>
    <w:p w14:paraId="6C84C51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política fiscal del Gobierno del Estado, se enfocará en recaudar los ingresos presupuestarios que le corresponden, así como en el manejo eficiente del gasto público, que contribuya a un balance presupuestario positivo.</w:t>
      </w:r>
    </w:p>
    <w:p w14:paraId="3C8B0E14" w14:textId="77777777" w:rsidR="009274F7" w:rsidRPr="009274F7" w:rsidRDefault="009274F7" w:rsidP="009274F7">
      <w:pPr>
        <w:pStyle w:val="PRIMERAPLANA"/>
        <w:spacing w:line="360" w:lineRule="auto"/>
        <w:rPr>
          <w:rFonts w:ascii="Times New Roman" w:hAnsi="Times New Roman"/>
          <w:bCs/>
          <w:lang w:val="es-ES"/>
        </w:rPr>
      </w:pPr>
    </w:p>
    <w:p w14:paraId="6DE0383D" w14:textId="02273ABA"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política de ingresos para el ejercicio 2023, está definida en el marco de la actividad económica de nuestro país, que será impulsada por la mejoría de las condiciones de trabajo y la inclusión de regiones y sectores de las poblaciones históricamente desatendidas. El crecimiento con un desarrollo incluyente y sostenido continuará favorecido por el consumo interno y la paz social. Se estima que la actividad económica continuará mostrando crecimientos trimestrales superiores al promedio histórico de 2011 a 2019, con lo cual se tendría una expansión de 3.0% anual para todo el año, en el escenario donde todos los factores internos y externos contribuyan de manera positiva, por lo que los esfuerzos del Gobierno del Estado se centrarán en:</w:t>
      </w:r>
    </w:p>
    <w:p w14:paraId="4DDA66A2" w14:textId="77777777" w:rsidR="009274F7" w:rsidRPr="009274F7" w:rsidRDefault="009274F7" w:rsidP="009274F7">
      <w:pPr>
        <w:pStyle w:val="Prrafodelista"/>
        <w:numPr>
          <w:ilvl w:val="0"/>
          <w:numId w:val="13"/>
        </w:numPr>
        <w:spacing w:line="360" w:lineRule="auto"/>
        <w:jc w:val="both"/>
        <w:rPr>
          <w:sz w:val="20"/>
          <w:szCs w:val="20"/>
        </w:rPr>
      </w:pPr>
      <w:r w:rsidRPr="009274F7">
        <w:rPr>
          <w:sz w:val="20"/>
          <w:szCs w:val="20"/>
        </w:rPr>
        <w:t>Incrementar los Ingresos Propios o de Gestión; a través de un mayor esfuerzo recaudatorio y en la implementación de la modernización integral de la administración tributaria.</w:t>
      </w:r>
    </w:p>
    <w:p w14:paraId="72D2C678" w14:textId="77777777" w:rsidR="009274F7" w:rsidRPr="009274F7" w:rsidRDefault="009274F7" w:rsidP="009274F7">
      <w:pPr>
        <w:pStyle w:val="Prrafodelista"/>
        <w:numPr>
          <w:ilvl w:val="0"/>
          <w:numId w:val="13"/>
        </w:numPr>
        <w:spacing w:line="360" w:lineRule="auto"/>
        <w:jc w:val="both"/>
        <w:rPr>
          <w:sz w:val="20"/>
          <w:szCs w:val="20"/>
        </w:rPr>
      </w:pPr>
      <w:r w:rsidRPr="009274F7">
        <w:rPr>
          <w:sz w:val="20"/>
          <w:szCs w:val="20"/>
        </w:rPr>
        <w:t>Fortalecer los Ingresos Ordinarios del Estado; teniendo como finalidad la mejora del Balance Presupuestario de Recursos Disponibles y el consecuente financiamiento del gasto en desarrollo social e inversión en obra pública.</w:t>
      </w:r>
    </w:p>
    <w:p w14:paraId="0AF598E5" w14:textId="77777777" w:rsidR="009274F7" w:rsidRPr="009274F7" w:rsidRDefault="009274F7" w:rsidP="009274F7">
      <w:pPr>
        <w:pStyle w:val="Prrafodelista"/>
        <w:numPr>
          <w:ilvl w:val="0"/>
          <w:numId w:val="13"/>
        </w:numPr>
        <w:spacing w:line="360" w:lineRule="auto"/>
        <w:jc w:val="both"/>
        <w:rPr>
          <w:sz w:val="20"/>
          <w:szCs w:val="20"/>
        </w:rPr>
      </w:pPr>
      <w:r w:rsidRPr="009274F7">
        <w:rPr>
          <w:sz w:val="20"/>
          <w:szCs w:val="20"/>
        </w:rPr>
        <w:t>Cumplir con las metas de Ingresos Presupuestarios; que permitan mantener finanzas públicas sanas.</w:t>
      </w:r>
    </w:p>
    <w:p w14:paraId="0AF74F7A" w14:textId="77777777" w:rsidR="009274F7" w:rsidRPr="009274F7" w:rsidRDefault="009274F7" w:rsidP="009274F7">
      <w:pPr>
        <w:spacing w:line="360" w:lineRule="auto"/>
        <w:ind w:left="-11"/>
        <w:jc w:val="both"/>
        <w:rPr>
          <w:sz w:val="20"/>
          <w:szCs w:val="20"/>
        </w:rPr>
      </w:pPr>
    </w:p>
    <w:p w14:paraId="4CB0BD55" w14:textId="77777777" w:rsidR="009274F7" w:rsidRPr="009274F7" w:rsidRDefault="009274F7" w:rsidP="009274F7">
      <w:pPr>
        <w:spacing w:line="360" w:lineRule="auto"/>
        <w:ind w:left="-11"/>
        <w:jc w:val="both"/>
        <w:rPr>
          <w:sz w:val="20"/>
          <w:szCs w:val="20"/>
        </w:rPr>
      </w:pPr>
      <w:r w:rsidRPr="009274F7">
        <w:rPr>
          <w:sz w:val="20"/>
          <w:szCs w:val="20"/>
        </w:rPr>
        <w:t xml:space="preserve">Para tales fines, se propone la consolidación de un gobierno cercano con visión extendida, comprometido y de resultados, transparente y de rendición de cuentas, de cero tolerancia a la corrupción y sensible a las necesidades sociales, como principal medida para transformar las condiciones de desarrollo de Tlaxcala, a través de acciones contundentes que consoliden las bases de un Estado sólido, garanticen la seguridad y la paz, mejoren la prevención en situaciones de emergencia sanitaria y promuevan el empleo, a fin de que su gente disfrute de una vida digna y segura, moderna y en unidad, con progresión de los derechos, la vigencia de la perspectiva de género y la felicidad de las familias y las personas </w:t>
      </w:r>
    </w:p>
    <w:p w14:paraId="335C40B1" w14:textId="77777777" w:rsidR="009274F7" w:rsidRPr="009274F7" w:rsidRDefault="009274F7" w:rsidP="009274F7">
      <w:pPr>
        <w:spacing w:line="360" w:lineRule="auto"/>
        <w:ind w:left="-11"/>
        <w:jc w:val="both"/>
        <w:rPr>
          <w:sz w:val="20"/>
          <w:szCs w:val="20"/>
        </w:rPr>
      </w:pPr>
    </w:p>
    <w:p w14:paraId="752AA5D5" w14:textId="77777777" w:rsid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Iniciativa de Ley de Ingresos del Estado de Tlaxcala, para el Ejercicio Fiscal 2023, que se presenta ante ese Congreso del Estado, se elaboró tomando en consideración las proyecciones económicas previstas por la Secretaría de Hacienda y Crédito Público (SHCP), en los Criterios Generales de Política Económica para la Iniciativa de Ley de Ingresos y el Proyecto de Presupuesto de Egresos de la Federación correspondientes al Ejercicio Fiscal 2023, por lo que se estima que los ingresos presupuestarios observen un crecimiento respecto al presupuesto aprobado en 2022, teniendo el reto </w:t>
      </w:r>
      <w:r w:rsidRPr="009274F7">
        <w:rPr>
          <w:rFonts w:ascii="Times New Roman" w:hAnsi="Times New Roman"/>
          <w:bCs/>
          <w:lang w:val="es-ES"/>
        </w:rPr>
        <w:lastRenderedPageBreak/>
        <w:t>de impulsar la actividad económica estatal y mejorar la gestión tributaria a través de mejoras en los sistemas recaudatorios, la ampliación de la base de contribuyentes y del aumento de la recaudación fiscal, para generar los recursos necesarios para el financiamiento del gasto público, para lograr un balance presupuestario sostenible.</w:t>
      </w:r>
    </w:p>
    <w:p w14:paraId="51313C87" w14:textId="77777777" w:rsidR="000A311E" w:rsidRPr="009274F7" w:rsidRDefault="000A311E" w:rsidP="009274F7">
      <w:pPr>
        <w:pStyle w:val="PRIMERAPLANA"/>
        <w:spacing w:line="360" w:lineRule="auto"/>
        <w:rPr>
          <w:rFonts w:ascii="Times New Roman" w:hAnsi="Times New Roman"/>
          <w:bCs/>
          <w:lang w:val="es-ES"/>
        </w:rPr>
      </w:pPr>
    </w:p>
    <w:p w14:paraId="0028CCE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Los objetivos del Gobierno del Estado en materia de planeación, programación y presupuestación, consideran metas en ingresos prudentes y realistas, en referencia a los supuestos del marco macroeconómico y fiscal que ha definido el Gobierno Federal en el Documento relativo al Cumplimiento de las Disposiciones Contenidas en el artículo 42, fracción I, de la Ley Federal de Presupuesto y Responsabilidad Hacendaria (Pre-Criterios 2023) y de los Criterios Generales de Política Económica para la Iniciativa de Ley de Ingresos y el Proyecto de Presupuesto de Egresos de la Federación correspondientes al Ejercicio Fiscal 2023 (CGPE 2023).</w:t>
      </w:r>
    </w:p>
    <w:p w14:paraId="384A4CFB" w14:textId="77777777" w:rsidR="009274F7" w:rsidRPr="009274F7" w:rsidRDefault="009274F7" w:rsidP="009274F7">
      <w:pPr>
        <w:pStyle w:val="PRIMERAPLANA"/>
        <w:spacing w:line="360" w:lineRule="auto"/>
        <w:rPr>
          <w:rFonts w:ascii="Times New Roman" w:hAnsi="Times New Roman"/>
          <w:bCs/>
          <w:lang w:val="es-ES"/>
        </w:rPr>
      </w:pPr>
    </w:p>
    <w:p w14:paraId="395C5A4D" w14:textId="5408E675"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Ley de Disciplina Financiera de las Entidades Federativas y los Municipios, en su artículo 5, establece que las iniciativas de la Ley de Ingresos y el Proyecto de Presupuesto de Egresos deben elaborarse conforme a lo establecido en la legislación local. Además, contendrán entre otros los apartados siguientes: </w:t>
      </w:r>
    </w:p>
    <w:p w14:paraId="27010ACD" w14:textId="77777777" w:rsidR="009274F7" w:rsidRPr="009274F7" w:rsidRDefault="009274F7" w:rsidP="009274F7">
      <w:pPr>
        <w:pStyle w:val="PRIMERAPLANA"/>
        <w:numPr>
          <w:ilvl w:val="0"/>
          <w:numId w:val="10"/>
        </w:numPr>
        <w:spacing w:line="360" w:lineRule="auto"/>
        <w:rPr>
          <w:rFonts w:ascii="Times New Roman" w:hAnsi="Times New Roman"/>
          <w:bCs/>
          <w:lang w:val="es-ES"/>
        </w:rPr>
      </w:pPr>
      <w:r w:rsidRPr="009274F7">
        <w:rPr>
          <w:rFonts w:ascii="Times New Roman" w:hAnsi="Times New Roman"/>
          <w:bCs/>
          <w:lang w:val="es-ES"/>
        </w:rPr>
        <w:t xml:space="preserve">Los objetivos anuales, las estrategias y las metas; </w:t>
      </w:r>
    </w:p>
    <w:p w14:paraId="468A6F42" w14:textId="77777777" w:rsidR="009274F7" w:rsidRPr="009274F7" w:rsidRDefault="009274F7" w:rsidP="009274F7">
      <w:pPr>
        <w:pStyle w:val="PRIMERAPLANA"/>
        <w:numPr>
          <w:ilvl w:val="0"/>
          <w:numId w:val="10"/>
        </w:numPr>
        <w:spacing w:line="360" w:lineRule="auto"/>
        <w:rPr>
          <w:rFonts w:ascii="Times New Roman" w:hAnsi="Times New Roman"/>
          <w:bCs/>
          <w:lang w:val="es-ES"/>
        </w:rPr>
      </w:pPr>
      <w:r w:rsidRPr="009274F7">
        <w:rPr>
          <w:rFonts w:ascii="Times New Roman" w:hAnsi="Times New Roman"/>
          <w:bCs/>
          <w:lang w:val="es-ES"/>
        </w:rPr>
        <w:t xml:space="preserve">Las proyecciones de finanzas públicas a partir de los Criterios Generales de Política Económica del Gobierno Federal, así como la estimación de las transferencias federales etiquetadas y no etiquetadas; y </w:t>
      </w:r>
    </w:p>
    <w:p w14:paraId="3BA7E203" w14:textId="77777777" w:rsidR="009274F7" w:rsidRPr="009274F7" w:rsidRDefault="009274F7" w:rsidP="009274F7">
      <w:pPr>
        <w:pStyle w:val="PRIMERAPLANA"/>
        <w:numPr>
          <w:ilvl w:val="0"/>
          <w:numId w:val="10"/>
        </w:numPr>
        <w:spacing w:line="360" w:lineRule="auto"/>
        <w:rPr>
          <w:rFonts w:ascii="Times New Roman" w:hAnsi="Times New Roman"/>
          <w:bCs/>
          <w:lang w:val="es-ES"/>
        </w:rPr>
      </w:pPr>
      <w:r w:rsidRPr="009274F7">
        <w:rPr>
          <w:rFonts w:ascii="Times New Roman" w:hAnsi="Times New Roman"/>
          <w:bCs/>
          <w:lang w:val="es-ES"/>
        </w:rPr>
        <w:t xml:space="preserve">La identificación de los riesgos relevantes para las finanzas públicas, incluyendo los montos de la deuda contingente. </w:t>
      </w:r>
    </w:p>
    <w:p w14:paraId="32964F1A" w14:textId="77777777" w:rsidR="009274F7" w:rsidRPr="009274F7" w:rsidRDefault="009274F7" w:rsidP="009274F7">
      <w:pPr>
        <w:pStyle w:val="PRIMERAPLANA"/>
        <w:spacing w:line="360" w:lineRule="auto"/>
        <w:rPr>
          <w:rFonts w:ascii="Times New Roman" w:hAnsi="Times New Roman"/>
          <w:bCs/>
        </w:rPr>
      </w:pPr>
    </w:p>
    <w:p w14:paraId="4B657342"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Se somete a la consideración de esa Legislatura, la presente Iniciativa de Ley en el formato aprobado por el Consejo Nacional de Armonización Contable (CONAC), de conformidad con las Normas emitidas por este organismo, en términos de lo dispuesto por los artículos 9, fracciones I y IX; 14 y 61 de la Ley General de Contabilidad Gubernamental, donde se desglosan los rubros e importes que el Estado estima percibir de conformidad con el Clasificador por Rubro de Ingresos. Por lo anterior, y con la finalidad de proveer los recursos necesarios para la consecución de los objetivos planteados por esta administración, se exponen las políticas económicas y financieras que sustentan la Iniciativa de Ley de Ingresos, considerando los principios de la propia Ley General de Contabilidad </w:t>
      </w:r>
      <w:r w:rsidRPr="009274F7">
        <w:rPr>
          <w:rFonts w:ascii="Times New Roman" w:hAnsi="Times New Roman"/>
          <w:bCs/>
          <w:lang w:val="es-ES"/>
        </w:rPr>
        <w:lastRenderedPageBreak/>
        <w:t>Gubernamental, la Ley de Disciplina Financiera de las Entidades Federativas y los Municipios y el Código Financiero para el Estado de Tlaxcala y sus Municipios; así como el entorno económico internacional, nacional y local, para realizar la propuesta de los montos que en ingresos federales y locales estima recibir el Estado en el ejercicio fiscal 2023.</w:t>
      </w:r>
    </w:p>
    <w:p w14:paraId="0E038A83" w14:textId="77777777" w:rsidR="009274F7" w:rsidRPr="009274F7" w:rsidRDefault="009274F7" w:rsidP="009274F7">
      <w:pPr>
        <w:pStyle w:val="PRIMERAPLANA"/>
        <w:spacing w:line="360" w:lineRule="auto"/>
        <w:rPr>
          <w:rFonts w:ascii="Times New Roman" w:hAnsi="Times New Roman"/>
          <w:bCs/>
          <w:lang w:val="es-ES"/>
        </w:rPr>
      </w:pPr>
    </w:p>
    <w:p w14:paraId="38E58DC5"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Iniciativa de Ley de Ingresos del Estado de Tlaxcala, para el Ejercicio Fiscal 2023; considera el crecimiento y desarrollo económico de 2022 que continuó reflejando las secuelas económicas ocasionadas por la pandemia de la COVID-19 y los crecientes conflictos geopolíticos, los cuales han generado una fragmentación del comercio y del sistema financiero internacional. El conflicto bélico de Europa del Este incrementó el desabasto de insumos y exacerbó las disrupciones en las cadenas globales de valor, lo cual contribuyó al incremento adicional en el precio de las materias primas y generó presiones inflacionarias en la economía global, las cuales han alcanzado niveles no vistos en décadas. </w:t>
      </w:r>
    </w:p>
    <w:p w14:paraId="597C91A9" w14:textId="77777777" w:rsidR="009274F7" w:rsidRPr="009274F7" w:rsidRDefault="009274F7" w:rsidP="009274F7">
      <w:pPr>
        <w:pStyle w:val="PRIMERAPLANA"/>
        <w:spacing w:line="360" w:lineRule="auto"/>
        <w:rPr>
          <w:rFonts w:ascii="Times New Roman" w:hAnsi="Times New Roman"/>
          <w:bCs/>
          <w:lang w:val="es-ES"/>
        </w:rPr>
      </w:pPr>
    </w:p>
    <w:p w14:paraId="1AECEB1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Estos impactos generaron que muchos bancos centrales, incluyendo el Banco de México, incrementarán las tasas de interés con el objetivo de moderar la inflación mediante la contención del gasto ante la imposibilidad de que la oferta global pudiera satisfacer la demanda. Como resultado de lo anterior, se espera un menor ritmo de crecimiento global al que se anticipaba al inicio del año. </w:t>
      </w:r>
    </w:p>
    <w:p w14:paraId="0E03C460" w14:textId="77777777" w:rsidR="009274F7" w:rsidRPr="009274F7" w:rsidRDefault="009274F7" w:rsidP="009274F7">
      <w:pPr>
        <w:pStyle w:val="PRIMERAPLANA"/>
        <w:spacing w:line="360" w:lineRule="auto"/>
        <w:rPr>
          <w:rFonts w:ascii="Times New Roman" w:hAnsi="Times New Roman"/>
          <w:bCs/>
          <w:lang w:val="es-ES"/>
        </w:rPr>
      </w:pPr>
    </w:p>
    <w:p w14:paraId="41914362"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Si bien en Estados Unidos de Norteamérica (EE.UU.), nuestro principal socio comercial, se registraron indicios de desaceleración económica, aún no existe evidencia contundente de una recesión. Lo anterior, principalmente, en un contexto de fortaleza de la producción industrial, el mercado laboral y el crecimiento del consumo privado en la primera mitad del año. En particular, la producción industrial de este país continuó creciendo en julio con un avance en las manufacturas, causado por una mayor producción automotriz y buen dinamismo en los sectores aeroespacial, de ropa y plásticos. De mantenerse este dinamismo para el cierre de año, el crecimiento anual de la producción industrial ascendería a 4.2% anual, en línea con lo que el consenso de analistas anticipaba en agosto.</w:t>
      </w:r>
    </w:p>
    <w:p w14:paraId="7CD2DC64" w14:textId="77777777" w:rsidR="009274F7" w:rsidRPr="009274F7" w:rsidRDefault="009274F7" w:rsidP="009274F7">
      <w:pPr>
        <w:pStyle w:val="PRIMERAPLANA"/>
        <w:spacing w:line="360" w:lineRule="auto"/>
        <w:rPr>
          <w:rFonts w:ascii="Times New Roman" w:hAnsi="Times New Roman"/>
          <w:bCs/>
          <w:lang w:val="es-ES"/>
        </w:rPr>
      </w:pPr>
    </w:p>
    <w:p w14:paraId="405DE7B5"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Por el contrario, en la zona del euro el panorama se ha tornado más complejo y los riesgos de una recesión económica se materializan a pasos acelerados. Europa está siendo impactada por la falta de gas y mayores costos de energía que están afectando directamente el funcionamiento de empresas y el consumo de los hogares. En particular, la respuesta de Rusia de suspender la provisión de gas a </w:t>
      </w:r>
      <w:r w:rsidRPr="009274F7">
        <w:rPr>
          <w:rFonts w:ascii="Times New Roman" w:hAnsi="Times New Roman"/>
          <w:bCs/>
          <w:lang w:val="es-ES"/>
        </w:rPr>
        <w:lastRenderedPageBreak/>
        <w:t>Alemania está obligando a la interrupción de la actividad industrial y, por lo tanto, a una caída abrupta de la actividad económica y el comercio de la región europea. Esta situación se acrecentará a medida que se aproxime el invierno y la demanda de gas aumente.</w:t>
      </w:r>
    </w:p>
    <w:p w14:paraId="6D8EDC80" w14:textId="77777777" w:rsidR="009274F7" w:rsidRPr="009274F7" w:rsidRDefault="009274F7" w:rsidP="009274F7">
      <w:pPr>
        <w:pStyle w:val="PRIMERAPLANA"/>
        <w:spacing w:line="360" w:lineRule="auto"/>
        <w:rPr>
          <w:rFonts w:ascii="Times New Roman" w:hAnsi="Times New Roman"/>
          <w:bCs/>
          <w:lang w:val="es-ES"/>
        </w:rPr>
      </w:pPr>
    </w:p>
    <w:p w14:paraId="1CADFAD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Por su parte, economías emergentes como China mantienen perspectivas de crecimiento a la baja hacia el cierre del año ante un menor dinamismo en la demanda interna y en la producción de sectores estratégicos, como el caso de la construcción. En un contexto de precios altos y un mayor riesgo de desanclaje de las expectativas de inflación, los bancos centrales de países avanzados continuarán con los ajustes a la política monetaria y podrían acelerar los incrementos en las tasas de interés hacia un nivel restrictivo, con lo cual afectarán el ritmo de crecimiento global. Por ejemplo, la Reserva Federal en EE.UU. (FED, por sus siglas en inglés) puso fin a su ciclo monetario acomodaticio en marzo de 2022, aumentando su tasa de referencia en cuatro ocasiones, donde los dos últimos aumentos fueron de 75 puntos base (pb); estos últimos, los mayores incrementos no vistos desde 1994.</w:t>
      </w:r>
    </w:p>
    <w:p w14:paraId="597D942D" w14:textId="77777777" w:rsidR="009274F7" w:rsidRPr="009274F7" w:rsidRDefault="009274F7" w:rsidP="009274F7">
      <w:pPr>
        <w:pStyle w:val="PRIMERAPLANA"/>
        <w:spacing w:line="360" w:lineRule="auto"/>
        <w:rPr>
          <w:rFonts w:ascii="Times New Roman" w:hAnsi="Times New Roman"/>
          <w:bCs/>
          <w:lang w:val="es-ES"/>
        </w:rPr>
      </w:pPr>
    </w:p>
    <w:p w14:paraId="41AA5C69"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En este contexto, los precios del petróleo y otras materias primas han comenzado a descender en los últimos meses. Algunos de estos insumos regresaron a los niveles observados antes de la guerra debido a los temores de una desaceleración global. En el mercado de alimentos, por ejemplo, se espera que los precios comiencen a bajar debido a una mayor cosecha de granos y cereales en países como Brasil, Australia y EE.UU., así como al más reciente acuerdo entre Rusia y Ucrania para permitir el transporte de granos. Adicionalmente, los costos de transporte a través de las principales vías marítimas del mundo han comenzado a descender mejorando con ello la expectativa del comercio global y la presión en los precios. </w:t>
      </w:r>
    </w:p>
    <w:p w14:paraId="3FA80EB9" w14:textId="77777777" w:rsidR="009274F7" w:rsidRPr="009274F7" w:rsidRDefault="009274F7" w:rsidP="009274F7">
      <w:pPr>
        <w:pStyle w:val="PRIMERAPLANA"/>
        <w:spacing w:line="360" w:lineRule="auto"/>
        <w:rPr>
          <w:rFonts w:ascii="Times New Roman" w:hAnsi="Times New Roman"/>
          <w:bCs/>
          <w:lang w:val="es-ES"/>
        </w:rPr>
      </w:pPr>
    </w:p>
    <w:p w14:paraId="2D499C3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lo que resta del año se prevé que continúen los episodios de volatilidad en los mercados financieros internacionales derivado del ambiente de presiones inflacionarias y la persistencia de choques adicionales que obliguen a la FED a revisar el nivel de tasa de interés terminal. Esto podrá ser acrecentado por la percepción de riesgo que influya en el rebalanceo de portafolios. Este último fenómeno es particularmente relevante para los países emergentes, aunque hasta ahora el monto de movimientos de flujos se ubica por debajo de periodos anteriores de estrés financiero.</w:t>
      </w:r>
    </w:p>
    <w:p w14:paraId="7BFB7925" w14:textId="77777777" w:rsidR="009274F7" w:rsidRPr="009274F7" w:rsidRDefault="009274F7" w:rsidP="009274F7">
      <w:pPr>
        <w:pStyle w:val="PRIMERAPLANA"/>
        <w:spacing w:line="360" w:lineRule="auto"/>
        <w:rPr>
          <w:rFonts w:ascii="Times New Roman" w:hAnsi="Times New Roman"/>
          <w:bCs/>
          <w:lang w:val="es-ES"/>
        </w:rPr>
      </w:pPr>
    </w:p>
    <w:p w14:paraId="796367F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Para 2022, se prevé que los sectores relacionados con el mercado interno registren avances importantes, lo que permitirá que las actividades más rezagadas respecto a sus niveles prepandemia </w:t>
      </w:r>
      <w:r w:rsidRPr="009274F7">
        <w:rPr>
          <w:rFonts w:ascii="Times New Roman" w:hAnsi="Times New Roman"/>
          <w:bCs/>
          <w:lang w:val="es-ES"/>
        </w:rPr>
        <w:lastRenderedPageBreak/>
        <w:t xml:space="preserve">puedan cerrar esa brecha y aquellas que ya se han recuperado continúen creciendo. En relación con la estimación de las principales variables del marco macroeconómico, la Secretaría de Hacienda y Crédito Público (SHCP) estima un precio de la mezcla mexicana de exportación de petróleo (MME) de 93.6 dólares por barril (dpb), que toma en cuenta la información observada a julio, así como la dinámica global de la cotización del hidrocarburo, los pronósticos de analistas y los precios del mercado de futuros en los precios de referencia Brent y WTI. La producción total de crudo en el país usada en los cálculos se ajusta ligeramente a 1,835 miles de barriles diarios (mbd), cifra prudente y consistente con el desempeño de la producción de Pemex y los productores privados observada durante la primera mitad de 2022. </w:t>
      </w:r>
    </w:p>
    <w:p w14:paraId="7599564F" w14:textId="77777777" w:rsidR="009274F7" w:rsidRPr="009274F7" w:rsidRDefault="009274F7" w:rsidP="009274F7">
      <w:pPr>
        <w:pStyle w:val="PRIMERAPLANA"/>
        <w:spacing w:line="360" w:lineRule="auto"/>
        <w:rPr>
          <w:rFonts w:ascii="Times New Roman" w:hAnsi="Times New Roman"/>
          <w:bCs/>
          <w:lang w:val="es-ES"/>
        </w:rPr>
      </w:pPr>
    </w:p>
    <w:p w14:paraId="16910937"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Se incorpora, además, una proyección de 7.8% para la inflación promedio, la cual se espera alcance su pico más alto en el tercer trimestre de 2022 y que comience a descender a partir de ese periodo e iniciar la convergencia hacia el objetivo del Banco de México. Además, la moderación en los precios internacionales de algunos combustibles fósiles y fertilizantes, así como las materias primas, y una mayor oferta de productos agropecuarios durante la segunda mitad del año podrían ser factores que propicien la disminución de ciertos rubros que componen o bien presionan por el lado del costo de los productores a la inflación. </w:t>
      </w:r>
    </w:p>
    <w:p w14:paraId="551B47D7" w14:textId="77777777" w:rsidR="009274F7" w:rsidRPr="009274F7" w:rsidRDefault="009274F7" w:rsidP="009274F7">
      <w:pPr>
        <w:pStyle w:val="PRIMERAPLANA"/>
        <w:spacing w:line="360" w:lineRule="auto"/>
        <w:rPr>
          <w:rFonts w:ascii="Times New Roman" w:hAnsi="Times New Roman"/>
          <w:bCs/>
          <w:lang w:val="es-ES"/>
        </w:rPr>
      </w:pPr>
    </w:p>
    <w:p w14:paraId="129FDA2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Por otra parte, se estima un tipo de cambio promedio de 20.4 pesos por dólar, el cual es consistente con los fundamentales macroeconómicos y en línea con el presentado en el Paquete Económico 2022. Cabe destacar que no se descartan nuevos episodios de incertidumbre relacionados al conflicto bélico en Europa del Este y otros conflictos geopolíticos, así como la evolución de los costos marítimos y la resolución de los problemas logísticos en puertos que afecten las presiones inflacionarias, positiva o negativamente, de tal forma que lleven a cambios no anticipados en el ritmo de incremento de las tasas de interés por parte de los bancos centrales. </w:t>
      </w:r>
    </w:p>
    <w:p w14:paraId="1981A660" w14:textId="77777777" w:rsidR="009274F7" w:rsidRPr="009274F7" w:rsidRDefault="009274F7" w:rsidP="009274F7">
      <w:pPr>
        <w:pStyle w:val="PRIMERAPLANA"/>
        <w:spacing w:line="360" w:lineRule="auto"/>
        <w:rPr>
          <w:rFonts w:ascii="Times New Roman" w:hAnsi="Times New Roman"/>
          <w:bCs/>
          <w:lang w:val="es-ES"/>
        </w:rPr>
      </w:pPr>
    </w:p>
    <w:p w14:paraId="1DD862E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Se prevé además que la tasa de interés será mayor a la proyectada en el Paquete Económico 2022, principalmente por los choques externos que han afectado el nivel y la persistencia de inflación y que han llevado a que el Banco de México suba de forma acelerada su tasa de interés de referencia, aun cuando las expectativas de inflación de mediano plazo se mantengan ancladas. De esta manera, la SHCP prevé que, para el cierre del año, la tasa de interés se ubique alrededor de un nivel de 9.50%.</w:t>
      </w:r>
    </w:p>
    <w:p w14:paraId="115804D4" w14:textId="77777777" w:rsidR="009274F7" w:rsidRPr="009274F7" w:rsidRDefault="009274F7" w:rsidP="009274F7">
      <w:pPr>
        <w:pStyle w:val="PRIMERAPLANA"/>
        <w:spacing w:line="360" w:lineRule="auto"/>
        <w:rPr>
          <w:rFonts w:ascii="Times New Roman" w:hAnsi="Times New Roman"/>
          <w:bCs/>
          <w:lang w:val="es-ES"/>
        </w:rPr>
      </w:pPr>
    </w:p>
    <w:p w14:paraId="78BDED9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Hacia 2023, México seguirá creciendo y consolidando su transformación económica. Se estima que la actividad económica de nuestro país será impulsada por la mejoría de las condiciones de trabajo y la inclusión de regiones y sectores de las poblaciones históricamente desatendidas. El crecimiento con un desarrollo incluyente y sostenido continuará favorecido por el consumo interno y la paz social. Se estima que la actividad económica continuará mostrando crecimientos trimestrales superiores al promedio histórico de 2011 a 2019, con lo cual se tendría una expansión de 3.0% anual para todo el año, en el escenario donde todos los factores internos y externos contribuyan de manera positiva.</w:t>
      </w:r>
    </w:p>
    <w:p w14:paraId="29518D82" w14:textId="77777777" w:rsidR="009274F7" w:rsidRPr="009274F7" w:rsidRDefault="009274F7" w:rsidP="009274F7">
      <w:pPr>
        <w:pStyle w:val="PRIMERAPLANA"/>
        <w:spacing w:line="360" w:lineRule="auto"/>
        <w:rPr>
          <w:rFonts w:ascii="Times New Roman" w:hAnsi="Times New Roman"/>
          <w:bCs/>
          <w:lang w:val="es-ES"/>
        </w:rPr>
      </w:pPr>
    </w:p>
    <w:p w14:paraId="38AE763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El crecimiento del país estará basado en la inversión estratégica en infraestructura que se ha estado llevando a cabo en la región sur-sureste del país desde 2019, con lo cual se espera incrementar el crecimiento económico promedio de la región, lo cual a su vez abona a la contabilidad de crecimiento nacional. Los proyectos insignia se encuentran ya iniciando su fase de conclusión y han empezado a generar efectos positivos sobre el empleo, el crecimiento regional y el combate a la pobreza. En este sentido, se estima que, mediante los proyectos del Corredor Interoceánico del Istmo de Tehuantepec y el Tren Maya, casi 6 millones de habitantes del sur-sureste del país se verán beneficiados directamente mediante la transformación económica regional que generarán dichos proyectos en sus comunidades. </w:t>
      </w:r>
    </w:p>
    <w:p w14:paraId="17FADCFA" w14:textId="77777777" w:rsidR="009274F7" w:rsidRPr="009274F7" w:rsidRDefault="009274F7" w:rsidP="009274F7">
      <w:pPr>
        <w:pStyle w:val="PRIMERAPLANA"/>
        <w:spacing w:line="360" w:lineRule="auto"/>
        <w:rPr>
          <w:rFonts w:ascii="Times New Roman" w:hAnsi="Times New Roman"/>
          <w:bCs/>
          <w:lang w:val="es-ES"/>
        </w:rPr>
      </w:pPr>
    </w:p>
    <w:p w14:paraId="0DFC1BF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Estos proyectos permitirán conectar el nuevo enclave industrial y turístico del sureste con el resto de la República ya que actualmente, la relocalización de empresas se está materializando en los enclaves manufactureros y logísticos del norte y centro del país. Para potenciar estas inversiones, se está negociando y movilizando un paquete de financiamiento para facilitar la inversión privada en el sureste. De esta forma, más de 1.3 millones de empresas podrán, por primera vez, tener acceso a la red comercial nacional e internacional, que incluye el fortalecimiento de la red portuaria, así como de la infraestructura de carreteras, fibra óptica y caminos rurales.</w:t>
      </w:r>
    </w:p>
    <w:p w14:paraId="1BCAA974" w14:textId="77777777" w:rsidR="009274F7" w:rsidRPr="009274F7" w:rsidRDefault="009274F7" w:rsidP="009274F7">
      <w:pPr>
        <w:pStyle w:val="PRIMERAPLANA"/>
        <w:spacing w:line="360" w:lineRule="auto"/>
        <w:rPr>
          <w:rFonts w:ascii="Times New Roman" w:hAnsi="Times New Roman"/>
          <w:bCs/>
          <w:lang w:val="es-ES"/>
        </w:rPr>
      </w:pPr>
    </w:p>
    <w:p w14:paraId="48D39A3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Un elemento que continuará contribuyendo de manera activa al crecimiento de la economía nacional son las perspectivas de relocalización de cadenas de valor de Asia hacia América, lo cual impulsará la inversión y el sector exportador del país. La economía mexicana, mediante su robusta red de tratados comerciales y sus múltiples ventajas comparativas geográficas, demográficas y económicas, será el mayor beneficiado de la región de América Latina y el Caribe.</w:t>
      </w:r>
    </w:p>
    <w:p w14:paraId="78D0DA7E" w14:textId="77777777" w:rsidR="009274F7" w:rsidRPr="009274F7" w:rsidRDefault="009274F7" w:rsidP="009274F7">
      <w:pPr>
        <w:pStyle w:val="PRIMERAPLANA"/>
        <w:spacing w:line="360" w:lineRule="auto"/>
        <w:rPr>
          <w:rFonts w:ascii="Times New Roman" w:hAnsi="Times New Roman"/>
          <w:bCs/>
          <w:lang w:val="es-ES"/>
        </w:rPr>
      </w:pPr>
    </w:p>
    <w:p w14:paraId="7F5B06C9"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 xml:space="preserve">En este contexto, dentro de las variables clave del marco macroeconómico, se prevé que la inflación convergerá al objetivo del banco central como resultado de las distintas medidas en materia fiscal y monetaria, como son el Paquete Contra la Inflación y la Carestía (PACIC) y los incrementos de tasa de interés realizados por el banco central. Se prevé además la reducción de las presiones internacionales, particularmente en los precios de materias primas como el trigo, el maíz y el petróleo. De este modo, se espera que la inflación cierre 2023 en 3.2%, en línea con lo estimado por el banco central. </w:t>
      </w:r>
    </w:p>
    <w:p w14:paraId="62204654" w14:textId="77777777" w:rsidR="009274F7" w:rsidRPr="009274F7" w:rsidRDefault="009274F7" w:rsidP="009274F7">
      <w:pPr>
        <w:pStyle w:val="PRIMERAPLANA"/>
        <w:spacing w:line="360" w:lineRule="auto"/>
        <w:rPr>
          <w:rFonts w:ascii="Times New Roman" w:hAnsi="Times New Roman"/>
          <w:bCs/>
          <w:lang w:val="es-ES"/>
        </w:rPr>
      </w:pPr>
    </w:p>
    <w:p w14:paraId="0B36E15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En este marco, se anticipa que la tasa de interés alcance un nivel de 8.5% al cierre de 2023, el cual contrasta con lo estimado previamente en los CGPE 2022, donde se preveía una tasa de 5.3%. En el caso del tipo de cambio, se estima que alcance un nivel de 20.6 pesos por dólar al cierre del año. </w:t>
      </w:r>
    </w:p>
    <w:p w14:paraId="5370158E" w14:textId="77777777" w:rsidR="009274F7" w:rsidRPr="009274F7" w:rsidRDefault="009274F7" w:rsidP="009274F7">
      <w:pPr>
        <w:pStyle w:val="PRIMERAPLANA"/>
        <w:spacing w:line="360" w:lineRule="auto"/>
        <w:rPr>
          <w:rFonts w:ascii="Times New Roman" w:hAnsi="Times New Roman"/>
          <w:bCs/>
          <w:lang w:val="es-ES"/>
        </w:rPr>
      </w:pPr>
    </w:p>
    <w:p w14:paraId="0DF7DCF4"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Respecto al precio del petróleo, se estima un precio de la mezcla mexicana de crudo de exportación de 68.7 dpb, en línea con la metodología establecida en los artículos 31 de la Ley Federal de Presupuesto y Responsabilidad Hacendaria (LFPRH) y 15 de su Reglamento. En cuanto a la producción del hidrocarburo, se prevé que la plataforma para el próximo ejercicio fiscal ascienda a 1,872 mbd. El pronóstico se basa en un escenario conservador de la producción de Pemex y las proyecciones de las empresas privadas. </w:t>
      </w:r>
    </w:p>
    <w:p w14:paraId="78E4337C" w14:textId="77777777" w:rsidR="009274F7" w:rsidRPr="009274F7" w:rsidRDefault="009274F7" w:rsidP="009274F7">
      <w:pPr>
        <w:pStyle w:val="PRIMERAPLANA"/>
        <w:spacing w:line="360" w:lineRule="auto"/>
        <w:rPr>
          <w:rFonts w:ascii="Times New Roman" w:hAnsi="Times New Roman"/>
          <w:bCs/>
          <w:lang w:val="es-ES"/>
        </w:rPr>
      </w:pPr>
    </w:p>
    <w:p w14:paraId="65981AC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Otras variables de interés para las estimaciones presentadas en el Paquete Económico 2023 son el PIB y la producción industrial de los EE.UU; en particular esta última es la variable que está más correlacionada con el PIB de México. Respecto a la producción industrial, se anticipa un crecimiento de 2.3% anual, en línea con lo estimado en el Paquete Económico 2022, ya que se prevé que la actividad sea favorecida por menores distorsiones en las cadenas globales de valor, lo que apoyaría el reabastecimiento del nivel de inventarios y la mayor proveeduría de insumos y productos al resto del mundo. Derivado de lo anterior, la industria estadounidense requerirá productos intermedios que México seguirá exportando dada la estrecha relación comercial entre ambos países. Respecto al PIB de EE.UU., el escenario base para las estimaciones realizadas por la SHCP considera que en la economía estadounidense no existen desequilibrios estructurales o factores subyacentes que compliquen su evolución económica sino más bien una política monetaria más restrictiva que busca la estabilidad en el nivel de precios. Así, se prevé un crecimiento de 1.8% anual, inferior en 0.3 pp a lo previsto en el Paquete Económico de 2022.</w:t>
      </w:r>
    </w:p>
    <w:p w14:paraId="17471796" w14:textId="77777777" w:rsidR="009274F7" w:rsidRPr="009274F7" w:rsidRDefault="009274F7" w:rsidP="009274F7">
      <w:pPr>
        <w:pStyle w:val="PRIMERAPLANA"/>
        <w:tabs>
          <w:tab w:val="left" w:pos="4830"/>
        </w:tabs>
        <w:spacing w:line="360" w:lineRule="auto"/>
        <w:rPr>
          <w:rFonts w:ascii="Times New Roman" w:hAnsi="Times New Roman"/>
          <w:bCs/>
          <w:lang w:val="es-ES"/>
        </w:rPr>
      </w:pPr>
    </w:p>
    <w:p w14:paraId="1D47EEB0" w14:textId="747DF489" w:rsidR="009274F7" w:rsidRPr="009274F7" w:rsidRDefault="009274F7" w:rsidP="009274F7">
      <w:pPr>
        <w:pStyle w:val="PRIMERAPLANA"/>
        <w:tabs>
          <w:tab w:val="left" w:pos="4830"/>
        </w:tabs>
        <w:spacing w:line="360" w:lineRule="auto"/>
        <w:rPr>
          <w:rFonts w:ascii="Times New Roman" w:hAnsi="Times New Roman"/>
          <w:bCs/>
          <w:lang w:val="es-ES"/>
        </w:rPr>
      </w:pPr>
      <w:r w:rsidRPr="009274F7">
        <w:rPr>
          <w:rFonts w:ascii="Times New Roman" w:hAnsi="Times New Roman"/>
          <w:bCs/>
          <w:lang w:val="es-ES"/>
        </w:rPr>
        <w:t>Cabe señalar que el entorno macroeconómico previsto para 2023 se encuentra sujeto a diversos riesgos tanto al alza como a la baja. Entre los primeros destacan:</w:t>
      </w:r>
    </w:p>
    <w:p w14:paraId="6B9C9BC5"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Disminución sostenida de los precios de las materias primas que favorezca la disminución de la inflación y su persistencia, lo cual resulte en ajustes a la baja de las expectativas inflacionarias de mediano plazo y tasas de interés.</w:t>
      </w:r>
    </w:p>
    <w:p w14:paraId="06A90A64"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Resolución de conflictos geopolíticos y tensiones comerciales, particularmente entre Rusia y Ucrania, así como la eliminación de las sanciones económicas y las restricciones de exportación con una menor incertidumbre y volatilidad en los precios de activos y materias primas.</w:t>
      </w:r>
    </w:p>
    <w:p w14:paraId="0EE18B68"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Aceleración del nearshoring y las oportunidades de inversión en México a lo largo de la frontera norte y de la región central por el aprovechamiento de la mano de obra mexicana, la geolocalización, los tratados comerciales y la coyuntura económica.</w:t>
      </w:r>
    </w:p>
    <w:p w14:paraId="0E9DA104"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En el marco de cambios legislativos en EE.UU. y de cambios en los patrones de consumo, podría acelerarse la recomposición de plantas automotrices hacia vehículos eléctricos, lo cual beneficiaría en mayor medida a la IED y a las exportaciones mexicanas. Adicionalmente, una mayor producción de energías renovables que se refleje inicialmente en la IED</w:t>
      </w:r>
    </w:p>
    <w:p w14:paraId="5FAB8F9E"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Aceleración de los efectos de las inversiones públicas y privadas realizadas a lo largo de la presente administración en los puertos marítimos de México, lo cual incrementaría la eficiencia y productividad del transporte de mercancías, así como una mayor integración regional, principalmente en el continente americano, con beneficios puntuales en el sector manufacturero de exportación, en la inflación y en mayores inversiones.</w:t>
      </w:r>
    </w:p>
    <w:p w14:paraId="5AC8068A" w14:textId="77777777" w:rsidR="009274F7" w:rsidRPr="009274F7" w:rsidRDefault="009274F7" w:rsidP="009274F7">
      <w:pPr>
        <w:pStyle w:val="PRIMERAPLANA"/>
        <w:numPr>
          <w:ilvl w:val="0"/>
          <w:numId w:val="38"/>
        </w:numPr>
        <w:tabs>
          <w:tab w:val="left" w:pos="4830"/>
        </w:tabs>
        <w:spacing w:line="360" w:lineRule="auto"/>
        <w:rPr>
          <w:rFonts w:ascii="Times New Roman" w:hAnsi="Times New Roman"/>
          <w:bCs/>
          <w:lang w:val="es-ES"/>
        </w:rPr>
      </w:pPr>
      <w:r w:rsidRPr="009274F7">
        <w:rPr>
          <w:rFonts w:ascii="Times New Roman" w:hAnsi="Times New Roman"/>
          <w:bCs/>
          <w:lang w:val="es-ES"/>
        </w:rPr>
        <w:t>Mejores condiciones climatológicas junto con la aparición de nueva tecnología que permita una mayor estabilidad en la producción agrícola e impactos limitados en otras industrias como las intensivas en agua, en el marco de una rápida contención de los efectos del cambio climático en la actividad económica mundial.</w:t>
      </w:r>
    </w:p>
    <w:p w14:paraId="46AFB2AD" w14:textId="77777777" w:rsidR="009274F7" w:rsidRPr="009274F7" w:rsidRDefault="009274F7" w:rsidP="009274F7">
      <w:pPr>
        <w:pStyle w:val="PRIMERAPLANA"/>
        <w:tabs>
          <w:tab w:val="left" w:pos="4830"/>
        </w:tabs>
        <w:spacing w:line="360" w:lineRule="auto"/>
        <w:ind w:left="720"/>
        <w:rPr>
          <w:rFonts w:ascii="Times New Roman" w:hAnsi="Times New Roman"/>
          <w:bCs/>
          <w:lang w:val="es-ES"/>
        </w:rPr>
      </w:pPr>
    </w:p>
    <w:p w14:paraId="5D6668D1" w14:textId="77777777" w:rsidR="009274F7" w:rsidRPr="009274F7" w:rsidRDefault="009274F7" w:rsidP="009274F7">
      <w:pPr>
        <w:pStyle w:val="PRIMERAPLANA"/>
        <w:tabs>
          <w:tab w:val="left" w:pos="4830"/>
        </w:tabs>
        <w:spacing w:line="360" w:lineRule="auto"/>
        <w:rPr>
          <w:rFonts w:ascii="Times New Roman" w:hAnsi="Times New Roman"/>
          <w:bCs/>
          <w:lang w:val="es-ES"/>
        </w:rPr>
      </w:pPr>
      <w:r w:rsidRPr="009274F7">
        <w:rPr>
          <w:rFonts w:ascii="Times New Roman" w:hAnsi="Times New Roman"/>
          <w:bCs/>
          <w:lang w:val="es-ES"/>
        </w:rPr>
        <w:t>Entre los segundos resaltan:</w:t>
      </w:r>
    </w:p>
    <w:p w14:paraId="3CD00F30" w14:textId="77777777" w:rsidR="009274F7" w:rsidRPr="009274F7" w:rsidRDefault="009274F7" w:rsidP="009274F7">
      <w:pPr>
        <w:pStyle w:val="PRIMERAPLANA"/>
        <w:tabs>
          <w:tab w:val="left" w:pos="4830"/>
        </w:tabs>
        <w:spacing w:line="360" w:lineRule="auto"/>
        <w:rPr>
          <w:rFonts w:ascii="Times New Roman" w:hAnsi="Times New Roman"/>
          <w:bCs/>
          <w:lang w:val="es-ES"/>
        </w:rPr>
      </w:pPr>
    </w:p>
    <w:p w14:paraId="77FA09BE" w14:textId="05AAEFB3"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Tensiones geopolíticas, incluido el conflicto Rusia-Ucrania, que repercutan vía menor abasto de insumos y por las sanciones económicas impuestas por diversos países a Rusia.</w:t>
      </w:r>
    </w:p>
    <w:p w14:paraId="4E54C8A4"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lastRenderedPageBreak/>
        <w:t>Un débil crecimiento económico global derivado de los fuertes incrementos en la tasa de interés de referencia de los bancos centrales, junto con una alta inflación, explicada principalmente por factores de oferta.</w:t>
      </w:r>
    </w:p>
    <w:p w14:paraId="5655F8F5"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Falta de resolución de discrepancias en materia comercial entre los países del T-MEC que desencadene sanciones relacionadas a aranceles.</w:t>
      </w:r>
    </w:p>
    <w:p w14:paraId="203A82BF"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Tensiones sociales y políticas ocasionadas por un ambiente de alta inflación global y/o desabasto de alimentos.</w:t>
      </w:r>
    </w:p>
    <w:p w14:paraId="1DDB9732"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 xml:space="preserve">Las negociaciones en curso para reactivar el acuerdo nuclear de 2015 que se llevan actualmente entre Irán, por un lado, y EE.UU., Reino Unido, Francia y Alemania, por el otro, podría permitir el retorno del crudo iraní, adicionando 1 mbd al mercado global, lo que podría reducir el precio del petróleo a nivel internacional.  </w:t>
      </w:r>
    </w:p>
    <w:p w14:paraId="2A973663"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Incremento en la producción de petróleo de países no pertenecientes a la OPEP+ que podría reducir los precios internacionales, como es el caso de EE.UU. y Noruega. El primero se espera que alcance un récord de 12.7 mbd en 2023, después del último máximo de 12.3 mbd establecido en 2019. Mientras que Noruega, con sus nuevos proyectos en marcha, podría aumentar su producción en 200 mbd.</w:t>
      </w:r>
    </w:p>
    <w:p w14:paraId="6D97EBD5" w14:textId="77777777" w:rsidR="009274F7" w:rsidRPr="009274F7" w:rsidRDefault="009274F7" w:rsidP="009274F7">
      <w:pPr>
        <w:pStyle w:val="PRIMERAPLANA"/>
        <w:numPr>
          <w:ilvl w:val="0"/>
          <w:numId w:val="39"/>
        </w:numPr>
        <w:tabs>
          <w:tab w:val="left" w:pos="4830"/>
        </w:tabs>
        <w:spacing w:line="360" w:lineRule="auto"/>
        <w:rPr>
          <w:rFonts w:ascii="Times New Roman" w:hAnsi="Times New Roman"/>
          <w:bCs/>
          <w:lang w:val="es-ES"/>
        </w:rPr>
      </w:pPr>
      <w:r w:rsidRPr="009274F7">
        <w:rPr>
          <w:rFonts w:ascii="Times New Roman" w:hAnsi="Times New Roman"/>
          <w:bCs/>
          <w:lang w:val="es-ES"/>
        </w:rPr>
        <w:t>Continuación de las políticas de liberación de reservas estratégicas de petróleo por parte de los países de la Agencia Internacional de Energía, una vez que finalice el plan actual en noviembre.</w:t>
      </w:r>
    </w:p>
    <w:p w14:paraId="783F4795" w14:textId="77777777" w:rsidR="009274F7" w:rsidRPr="009274F7" w:rsidRDefault="009274F7" w:rsidP="009274F7">
      <w:pPr>
        <w:pStyle w:val="PRIMERAPLANA"/>
        <w:spacing w:line="360" w:lineRule="auto"/>
        <w:rPr>
          <w:rFonts w:ascii="Times New Roman" w:hAnsi="Times New Roman"/>
          <w:bCs/>
          <w:lang w:val="es-ES"/>
        </w:rPr>
      </w:pPr>
    </w:p>
    <w:p w14:paraId="2EAA0D0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Se espera que la inflación converja muy cerca del objetivo de Banxico apoyado de las medidas en materia fiscal y monetaria, una alta base de comparación, así como la reducción de las presiones internacionales, particularmente de los precios de las materias primas como el trigo, el maíz y energéticos como el petróleo y gas. Así, la inflación cerrará 2023 en 3.2%. Se estima que la tasa de interés podría comenzar a disminuir, por lo que se prevé que en 2023 se encuentre en niveles de 8.5%. La estimación del tipo de cambio de 20.6 pesos por dólar al cierre de año es consistente con los fundamentales macroeconómicos y con una trayectoria de las tasas de interés internas y la postura relativa con la FED. En materia de petróleo, se estima un precio de la mezcla mexicana de crudo de exportación de 68.7 dpb, en línea con la metodología establecida en el artículo 31 de la LFPRH y el artículo 15 de su Reglamento. La plataforma de producción de petróleo estimada es de 1,872 mbd para 2023. los CGPE 2023 plantean un balance público de -3.6% del PIB; un déficit primario de 0.2% del PIB; y RFSP de 4.1% del PIB, nivel que mantiene la deuda en una trayectoria estable y sostenible de </w:t>
      </w:r>
      <w:r w:rsidRPr="009274F7">
        <w:rPr>
          <w:rFonts w:ascii="Times New Roman" w:hAnsi="Times New Roman"/>
          <w:bCs/>
          <w:lang w:val="es-ES"/>
        </w:rPr>
        <w:lastRenderedPageBreak/>
        <w:t>49.4%. Con respecto a los RFSP, se estima que las necesidades de financiamiento fuera del presupuesto contribuyan en un 0.50% del PIB.</w:t>
      </w:r>
    </w:p>
    <w:p w14:paraId="4CC3712E" w14:textId="77777777" w:rsidR="009274F7" w:rsidRPr="009274F7" w:rsidRDefault="009274F7" w:rsidP="009274F7">
      <w:pPr>
        <w:pStyle w:val="PRIMERAPLANA"/>
        <w:tabs>
          <w:tab w:val="left" w:pos="4830"/>
        </w:tabs>
        <w:spacing w:line="360" w:lineRule="auto"/>
        <w:rPr>
          <w:rFonts w:ascii="Times New Roman" w:hAnsi="Times New Roman"/>
          <w:bCs/>
          <w:lang w:val="es-ES"/>
        </w:rPr>
      </w:pPr>
    </w:p>
    <w:p w14:paraId="00D9DA2A"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En el periodo 2024-2028, se prevé que la mayoría de los países logren un crecimiento económico estable cercano a su PIB potencial en ausencia de nuevos choques por factores políticos, climatológicos o sanitarios. Si bien algunos países han aumentado su nivel de endeudamiento de forma notable particularmente desde 2020 a raíz de la pandemia de la COVID-19, no se pueden anticipar problemas estructurales que lleven a un crecimiento menor de la economía global o un riesgo sistémico en el sistema financiero internacional. </w:t>
      </w:r>
    </w:p>
    <w:p w14:paraId="409338AD" w14:textId="77777777" w:rsidR="009274F7" w:rsidRPr="009274F7" w:rsidRDefault="009274F7" w:rsidP="009274F7">
      <w:pPr>
        <w:pStyle w:val="PRIMERAPLANA"/>
        <w:spacing w:line="360" w:lineRule="auto"/>
        <w:rPr>
          <w:rFonts w:ascii="Times New Roman" w:hAnsi="Times New Roman"/>
          <w:bCs/>
          <w:lang w:val="es-ES"/>
        </w:rPr>
      </w:pPr>
    </w:p>
    <w:p w14:paraId="6AF22042"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el caso del PIB de EE.UU., el escenario central indica que la senda de crecimiento regresará a la trayectoria de tendencia previa a la pandemia. En esa línea, los analistas encuestados por Blue Chip, en la edición de marzo de 2022, pronosticaron que entre 2024 y 2028 el PIB real del país se expandirá a un ritmo anual promedio de 2.0%. De acuerdo con la misma encuesta, la tasa de desempleo promedio en este país se ubicará en 2.8%, mientras que la inflación se situaría en 2.2% y los rendimientos de los bonos del Tesoro a tres meses y diez años en promedio alcanzarán niveles de 2.1 y 3.0%, respectivamente. En este contexto, México se verá favorecido por factores externos dada la estrecha integración comercial que existe con la economía global y con EE.UU. en particular. Por ende, se prevé un desempeño positivo para las exportaciones, en particular, para equipo de transporte, aparatos electrónicos, minería no petrolera, alimentos procesados y comercio electrónico. Las recientes inversiones de diversas empresas para localizarse en México sustentan la mayor capacidad del país para aumentar dicha exportación. Asimismo, un buen desempeño de la economía estadounidense apoyará a la inversión extranjera, el turismo y el flujo de remesas.</w:t>
      </w:r>
    </w:p>
    <w:p w14:paraId="65CC805B" w14:textId="77777777" w:rsidR="009274F7" w:rsidRPr="009274F7" w:rsidRDefault="009274F7" w:rsidP="009274F7">
      <w:pPr>
        <w:pStyle w:val="PRIMERAPLANA"/>
        <w:spacing w:line="360" w:lineRule="auto"/>
        <w:rPr>
          <w:rFonts w:ascii="Times New Roman" w:hAnsi="Times New Roman"/>
          <w:bCs/>
          <w:lang w:val="es-ES"/>
        </w:rPr>
      </w:pPr>
    </w:p>
    <w:p w14:paraId="716510FA"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Respecto a la demanda interna, se prevé que la economía mexicana mantenga un sólido dinamismo principalmente como resultado de las reformas al mercado laboral que se han implementado en beneficio de mayores ingresos y mejores condiciones para los trabajadores; un mayor crecimiento económico en la región sur-sureste que aumentará el mercado interno, la conectividad entre regiones, así como la reducción de la pobreza y de la desigualdad en esta región; y finalmente, una mayor profundidad del sistema financiero derivado de las acciones impulsadas para fortalecer el ahorro y la inclusión financiera, cuyo principal resultado es que más personas y empresas tengan acceso a crédito y a otros servicios bancarios. </w:t>
      </w:r>
    </w:p>
    <w:p w14:paraId="4D493291" w14:textId="77777777" w:rsidR="009274F7" w:rsidRPr="009274F7" w:rsidRDefault="009274F7" w:rsidP="009274F7">
      <w:pPr>
        <w:pStyle w:val="PRIMERAPLANA"/>
        <w:spacing w:line="360" w:lineRule="auto"/>
        <w:rPr>
          <w:rFonts w:ascii="Times New Roman" w:hAnsi="Times New Roman"/>
          <w:bCs/>
          <w:lang w:val="es-ES"/>
        </w:rPr>
      </w:pPr>
    </w:p>
    <w:p w14:paraId="0C25C65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Derivado de lo anterior, se estima que en el periodo 2024-2028 el PIB de México registrará un crecimiento real anual de entre 1.9 y 2.9%. De manera puntual, se proyecta una expansión de 2.4% para el periodo en cuestión. Estas estimaciones se encuentran en línea con las estimaciones del PIB potencial establecidas en el art. 11 C del Reglamento de la Ley Federal de Presupuesto y Responsabilidad Hacendaria (LFPRH), aunque ligeramente por arriba de lo publicado en la encuesta de expectativas del sector privado del 1 de julio de 2022 que realizó el Banco de México, en donde la mediana del pronóstico del PIB para los próximos diez años es de 2.0%. </w:t>
      </w:r>
    </w:p>
    <w:p w14:paraId="2035922D" w14:textId="77777777" w:rsidR="009274F7" w:rsidRPr="009274F7" w:rsidRDefault="009274F7" w:rsidP="009274F7">
      <w:pPr>
        <w:pStyle w:val="PRIMERAPLANA"/>
        <w:spacing w:line="360" w:lineRule="auto"/>
        <w:rPr>
          <w:rFonts w:ascii="Times New Roman" w:hAnsi="Times New Roman"/>
          <w:bCs/>
          <w:lang w:val="es-ES"/>
        </w:rPr>
      </w:pPr>
    </w:p>
    <w:p w14:paraId="42359B25"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Consistente con el escenario de crecimiento de tendencia, en materia de precios se estima que la inflación se ubicará en la meta establecida por el Banco de México de 3.0% durante el periodo 2024-2028. Asimismo, para el tipo de cambio nominal, se prevé una ligera depreciación en el horizonte de pronóstico, congruente con una trayectoria constante del tipo de cambio real y tomando en cuenta el comportamiento esperado de mediano plazo para la inflación de EE.UU.</w:t>
      </w:r>
    </w:p>
    <w:p w14:paraId="1D8DA945" w14:textId="77777777" w:rsidR="009274F7" w:rsidRPr="009274F7" w:rsidRDefault="009274F7" w:rsidP="009274F7">
      <w:pPr>
        <w:pStyle w:val="PRIMERAPLANA"/>
        <w:spacing w:line="360" w:lineRule="auto"/>
        <w:rPr>
          <w:rFonts w:ascii="Times New Roman" w:hAnsi="Times New Roman"/>
          <w:bCs/>
          <w:lang w:val="es-ES"/>
        </w:rPr>
      </w:pPr>
    </w:p>
    <w:p w14:paraId="5EA372D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Al considerar dichas proyecciones, se asume que continuará la disminución gradual de la tasa de Cetes a 28 días hasta situarse en 5.5% en 2026. Lo anterior es consistente con una postura monetaria neutral de equilibrio y resultaría que el diferencial entre la tasa de interés de México y EE.UU. se reduzca desde 2025 y logre estabilizarse posteriormente. </w:t>
      </w:r>
    </w:p>
    <w:p w14:paraId="3F79737A" w14:textId="77777777" w:rsidR="009274F7" w:rsidRPr="009274F7" w:rsidRDefault="009274F7" w:rsidP="009274F7">
      <w:pPr>
        <w:pStyle w:val="PRIMERAPLANA"/>
        <w:spacing w:line="360" w:lineRule="auto"/>
        <w:rPr>
          <w:rFonts w:ascii="Times New Roman" w:hAnsi="Times New Roman"/>
          <w:bCs/>
          <w:lang w:val="es-ES"/>
        </w:rPr>
      </w:pPr>
    </w:p>
    <w:p w14:paraId="314FF333"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w:t>
      </w:r>
    </w:p>
    <w:p w14:paraId="6331CA3C" w14:textId="77777777" w:rsidR="009274F7" w:rsidRPr="009274F7" w:rsidRDefault="009274F7" w:rsidP="009274F7">
      <w:pPr>
        <w:pStyle w:val="PRIMERAPLANA"/>
        <w:spacing w:line="360" w:lineRule="auto"/>
        <w:rPr>
          <w:rFonts w:ascii="Times New Roman" w:hAnsi="Times New Roman"/>
          <w:bCs/>
          <w:lang w:val="es-ES"/>
        </w:rPr>
      </w:pPr>
    </w:p>
    <w:p w14:paraId="0828506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El marco macroeconómico descrito se encuentra sujeto a riesgos que podrían modificar las trayectorias estimadas. Los riesgos a la baja se presentan a continuación: </w:t>
      </w:r>
    </w:p>
    <w:p w14:paraId="0DA1CC93" w14:textId="77777777" w:rsidR="009274F7" w:rsidRPr="009274F7" w:rsidRDefault="009274F7" w:rsidP="009274F7">
      <w:pPr>
        <w:pStyle w:val="PRIMERAPLANA"/>
        <w:spacing w:line="360" w:lineRule="auto"/>
        <w:rPr>
          <w:rFonts w:ascii="Times New Roman" w:hAnsi="Times New Roman"/>
          <w:bCs/>
          <w:lang w:val="es-ES"/>
        </w:rPr>
      </w:pPr>
    </w:p>
    <w:p w14:paraId="1331E39E" w14:textId="77777777" w:rsidR="009274F7" w:rsidRPr="009274F7" w:rsidRDefault="009274F7" w:rsidP="009274F7">
      <w:pPr>
        <w:pStyle w:val="PRIMERAPLANA"/>
        <w:numPr>
          <w:ilvl w:val="0"/>
          <w:numId w:val="40"/>
        </w:numPr>
        <w:spacing w:line="360" w:lineRule="auto"/>
        <w:rPr>
          <w:rFonts w:ascii="Times New Roman" w:hAnsi="Times New Roman"/>
          <w:bCs/>
          <w:lang w:val="es-ES"/>
        </w:rPr>
      </w:pPr>
      <w:r w:rsidRPr="009274F7">
        <w:rPr>
          <w:rFonts w:ascii="Times New Roman" w:hAnsi="Times New Roman"/>
          <w:bCs/>
          <w:lang w:val="es-ES"/>
        </w:rPr>
        <w:lastRenderedPageBreak/>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253BB1F3" w14:textId="77777777" w:rsidR="009274F7" w:rsidRPr="009274F7" w:rsidRDefault="009274F7" w:rsidP="009274F7">
      <w:pPr>
        <w:pStyle w:val="PRIMERAPLANA"/>
        <w:numPr>
          <w:ilvl w:val="0"/>
          <w:numId w:val="40"/>
        </w:numPr>
        <w:spacing w:line="360" w:lineRule="auto"/>
        <w:rPr>
          <w:rFonts w:ascii="Times New Roman" w:hAnsi="Times New Roman"/>
          <w:bCs/>
          <w:lang w:val="es-ES"/>
        </w:rPr>
      </w:pPr>
      <w:r w:rsidRPr="009274F7">
        <w:rPr>
          <w:rFonts w:ascii="Times New Roman" w:hAnsi="Times New Roman"/>
          <w:bCs/>
          <w:lang w:val="es-ES"/>
        </w:rPr>
        <w:t>Una política monetaria restrictiva prolongada, que presione las condiciones financieras y contribuya a un crecimiento global por abajo del promedio histórico.</w:t>
      </w:r>
    </w:p>
    <w:p w14:paraId="24EB27FE" w14:textId="77777777" w:rsidR="009274F7" w:rsidRPr="009274F7" w:rsidRDefault="009274F7" w:rsidP="009274F7">
      <w:pPr>
        <w:pStyle w:val="PRIMERAPLANA"/>
        <w:numPr>
          <w:ilvl w:val="0"/>
          <w:numId w:val="40"/>
        </w:numPr>
        <w:spacing w:line="360" w:lineRule="auto"/>
        <w:rPr>
          <w:rFonts w:ascii="Times New Roman" w:hAnsi="Times New Roman"/>
          <w:bCs/>
          <w:lang w:val="es-ES"/>
        </w:rPr>
      </w:pPr>
      <w:r w:rsidRPr="009274F7">
        <w:rPr>
          <w:rFonts w:ascii="Times New Roman" w:hAnsi="Times New Roman"/>
          <w:bCs/>
          <w:lang w:val="es-ES"/>
        </w:rPr>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38467E6C" w14:textId="77777777" w:rsidR="009274F7" w:rsidRPr="009274F7" w:rsidRDefault="009274F7" w:rsidP="009274F7">
      <w:pPr>
        <w:pStyle w:val="PRIMERAPLANA"/>
        <w:numPr>
          <w:ilvl w:val="0"/>
          <w:numId w:val="40"/>
        </w:numPr>
        <w:spacing w:line="360" w:lineRule="auto"/>
        <w:rPr>
          <w:rFonts w:ascii="Times New Roman" w:hAnsi="Times New Roman"/>
          <w:bCs/>
          <w:lang w:val="es-ES"/>
        </w:rPr>
      </w:pPr>
      <w:r w:rsidRPr="009274F7">
        <w:rPr>
          <w:rFonts w:ascii="Times New Roman" w:hAnsi="Times New Roman"/>
          <w:bCs/>
          <w:lang w:val="es-ES"/>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036CBD18" w14:textId="77777777" w:rsidR="009274F7" w:rsidRPr="009274F7" w:rsidRDefault="009274F7" w:rsidP="009274F7">
      <w:pPr>
        <w:pStyle w:val="PRIMERAPLANA"/>
        <w:spacing w:line="360" w:lineRule="auto"/>
        <w:rPr>
          <w:rFonts w:ascii="Times New Roman" w:hAnsi="Times New Roman"/>
          <w:bCs/>
          <w:lang w:val="es-ES"/>
        </w:rPr>
      </w:pPr>
    </w:p>
    <w:p w14:paraId="7D9EFC9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Los riesgos al alza a considerar, son los siguientes:</w:t>
      </w:r>
    </w:p>
    <w:p w14:paraId="574DE408" w14:textId="77777777" w:rsidR="009274F7" w:rsidRPr="009274F7" w:rsidRDefault="009274F7" w:rsidP="009274F7">
      <w:pPr>
        <w:pStyle w:val="PRIMERAPLANA"/>
        <w:spacing w:line="360" w:lineRule="auto"/>
        <w:rPr>
          <w:rFonts w:ascii="Times New Roman" w:hAnsi="Times New Roman"/>
          <w:bCs/>
          <w:lang w:val="es-ES"/>
        </w:rPr>
      </w:pPr>
    </w:p>
    <w:p w14:paraId="6231EE61" w14:textId="77777777" w:rsidR="009274F7" w:rsidRPr="009274F7" w:rsidRDefault="009274F7" w:rsidP="009274F7">
      <w:pPr>
        <w:pStyle w:val="PRIMERAPLANA"/>
        <w:numPr>
          <w:ilvl w:val="0"/>
          <w:numId w:val="41"/>
        </w:numPr>
        <w:spacing w:line="360" w:lineRule="auto"/>
        <w:rPr>
          <w:rFonts w:ascii="Times New Roman" w:hAnsi="Times New Roman"/>
          <w:bCs/>
          <w:lang w:val="es-ES"/>
        </w:rPr>
      </w:pPr>
      <w:r w:rsidRPr="009274F7">
        <w:rPr>
          <w:rFonts w:ascii="Times New Roman" w:hAnsi="Times New Roman"/>
          <w:bCs/>
          <w:lang w:val="es-ES"/>
        </w:rPr>
        <w:t>Mejoras importantes en las condiciones de informalidad derivado de las reformas en materia laboral implementadas desde el inicio de la administración, las cuales beneficiarían al consumo, la productividad y a la recaudación tributaria.</w:t>
      </w:r>
    </w:p>
    <w:p w14:paraId="117B4DF1" w14:textId="77777777" w:rsidR="009274F7" w:rsidRPr="009274F7" w:rsidRDefault="009274F7" w:rsidP="009274F7">
      <w:pPr>
        <w:pStyle w:val="PRIMERAPLANA"/>
        <w:numPr>
          <w:ilvl w:val="0"/>
          <w:numId w:val="41"/>
        </w:numPr>
        <w:spacing w:line="360" w:lineRule="auto"/>
        <w:rPr>
          <w:rFonts w:ascii="Times New Roman" w:hAnsi="Times New Roman"/>
          <w:bCs/>
          <w:lang w:val="es-ES"/>
        </w:rPr>
      </w:pPr>
      <w:r w:rsidRPr="009274F7">
        <w:rPr>
          <w:rFonts w:ascii="Times New Roman" w:hAnsi="Times New Roman"/>
          <w:bCs/>
          <w:lang w:val="es-ES"/>
        </w:rPr>
        <w:t>Aumentos en la productividad de factores por una mayor innovación, que permitiría una distribución más eficiente del empleo y el capital.</w:t>
      </w:r>
    </w:p>
    <w:p w14:paraId="7232C0C9" w14:textId="77777777" w:rsidR="009274F7" w:rsidRPr="009274F7" w:rsidRDefault="009274F7" w:rsidP="009274F7">
      <w:pPr>
        <w:pStyle w:val="PRIMERAPLANA"/>
        <w:numPr>
          <w:ilvl w:val="0"/>
          <w:numId w:val="41"/>
        </w:numPr>
        <w:spacing w:line="360" w:lineRule="auto"/>
        <w:rPr>
          <w:rFonts w:ascii="Times New Roman" w:hAnsi="Times New Roman"/>
          <w:bCs/>
          <w:lang w:val="es-ES"/>
        </w:rPr>
      </w:pPr>
      <w:r w:rsidRPr="009274F7">
        <w:rPr>
          <w:rFonts w:ascii="Times New Roman" w:hAnsi="Times New Roman"/>
          <w:bCs/>
          <w:lang w:val="es-ES"/>
        </w:rPr>
        <w:t>Una mayor competencia económica que contribuya a la disminución de las presiones inflacionarias, fomente la mayor disponibilidad de productos y, mejore la calidad de los servicios y la competitividad de México en el ámbito internacional.</w:t>
      </w:r>
    </w:p>
    <w:p w14:paraId="201ADACE" w14:textId="77777777" w:rsidR="009274F7" w:rsidRPr="009274F7" w:rsidRDefault="009274F7" w:rsidP="009274F7">
      <w:pPr>
        <w:pStyle w:val="PRIMERAPLANA"/>
        <w:spacing w:line="360" w:lineRule="auto"/>
        <w:rPr>
          <w:rFonts w:ascii="Times New Roman" w:hAnsi="Times New Roman"/>
          <w:bCs/>
          <w:lang w:val="es-ES"/>
        </w:rPr>
      </w:pPr>
    </w:p>
    <w:p w14:paraId="4148C702" w14:textId="77777777" w:rsidR="009274F7" w:rsidRPr="009274F7" w:rsidRDefault="009274F7" w:rsidP="009274F7">
      <w:pPr>
        <w:pStyle w:val="PRIMERAPLANA"/>
        <w:tabs>
          <w:tab w:val="left" w:pos="4830"/>
        </w:tabs>
        <w:spacing w:line="360" w:lineRule="auto"/>
        <w:rPr>
          <w:rFonts w:ascii="Times New Roman" w:hAnsi="Times New Roman"/>
          <w:bCs/>
          <w:lang w:val="es-ES"/>
        </w:rPr>
      </w:pPr>
      <w:r w:rsidRPr="009274F7">
        <w:rPr>
          <w:rFonts w:ascii="Times New Roman" w:hAnsi="Times New Roman"/>
          <w:bCs/>
          <w:lang w:val="es-ES"/>
        </w:rPr>
        <w:t>Los CGPE 2023 plantean un balance público de -3.6% del PIB; un déficit primario de 0.2% del PIB; y RFSP de 4.1% del PIB, nivel que mantiene la deuda en una trayectoria estable y sostenible de 49.4%.</w:t>
      </w:r>
    </w:p>
    <w:p w14:paraId="20077E15" w14:textId="77777777" w:rsidR="009274F7" w:rsidRPr="009274F7" w:rsidRDefault="009274F7" w:rsidP="009274F7">
      <w:pPr>
        <w:pStyle w:val="PRIMERAPLANA"/>
        <w:tabs>
          <w:tab w:val="left" w:pos="4830"/>
        </w:tabs>
        <w:spacing w:line="360" w:lineRule="auto"/>
        <w:rPr>
          <w:rFonts w:ascii="Times New Roman" w:hAnsi="Times New Roman"/>
          <w:bCs/>
          <w:lang w:val="es-ES"/>
        </w:rPr>
      </w:pPr>
    </w:p>
    <w:p w14:paraId="5A7CA3C0" w14:textId="77777777" w:rsidR="009274F7" w:rsidRPr="009274F7" w:rsidRDefault="009274F7" w:rsidP="009274F7">
      <w:pPr>
        <w:pStyle w:val="PRIMERAPLANA"/>
        <w:tabs>
          <w:tab w:val="left" w:pos="4830"/>
        </w:tabs>
        <w:spacing w:line="360" w:lineRule="auto"/>
        <w:rPr>
          <w:rFonts w:ascii="Times New Roman" w:hAnsi="Times New Roman"/>
          <w:bCs/>
          <w:lang w:val="es-ES"/>
        </w:rPr>
      </w:pPr>
      <w:r w:rsidRPr="009274F7">
        <w:rPr>
          <w:rFonts w:ascii="Times New Roman" w:hAnsi="Times New Roman"/>
          <w:bCs/>
          <w:lang w:val="es-ES"/>
        </w:rPr>
        <w:t xml:space="preserve">Las metas de balance son consistentes con un nivel sostenible de la deuda pública tanto en el mediano como en el largo plazo, tomando en consideración las expectativas actuales de crecimiento económico y la trayectoria de los agregados fiscales, como lo establecen los artículos 17 de la LFPRH y 11B de </w:t>
      </w:r>
      <w:r w:rsidRPr="009274F7">
        <w:rPr>
          <w:rFonts w:ascii="Times New Roman" w:hAnsi="Times New Roman"/>
          <w:bCs/>
          <w:lang w:val="es-ES"/>
        </w:rPr>
        <w:lastRenderedPageBreak/>
        <w:t>su Reglamento. Para el ejercicio fiscal 2023 se proyecta un déficit en el balance del Gobierno Federal de 1,168.3 mil millones de pesos o 3.7% del PIB, que considera las metas de los RFSP, del balance público y de las Empresas Productivas del Estado.</w:t>
      </w:r>
    </w:p>
    <w:p w14:paraId="7AA2D875" w14:textId="77777777" w:rsidR="009274F7" w:rsidRPr="009274F7" w:rsidRDefault="009274F7" w:rsidP="009274F7">
      <w:pPr>
        <w:pStyle w:val="PRIMERAPLANA"/>
        <w:tabs>
          <w:tab w:val="left" w:pos="4830"/>
        </w:tabs>
        <w:spacing w:line="360" w:lineRule="auto"/>
        <w:rPr>
          <w:rFonts w:ascii="Times New Roman" w:hAnsi="Times New Roman"/>
          <w:bCs/>
          <w:lang w:val="es-ES"/>
        </w:rPr>
      </w:pPr>
    </w:p>
    <w:p w14:paraId="54570D4B" w14:textId="77777777" w:rsidR="009274F7" w:rsidRPr="009274F7" w:rsidRDefault="009274F7" w:rsidP="009274F7">
      <w:pPr>
        <w:pStyle w:val="PRIMERAPLANA"/>
        <w:tabs>
          <w:tab w:val="left" w:pos="4830"/>
        </w:tabs>
        <w:spacing w:line="360" w:lineRule="auto"/>
        <w:rPr>
          <w:rFonts w:ascii="Times New Roman" w:hAnsi="Times New Roman"/>
          <w:bCs/>
          <w:lang w:val="es-ES"/>
        </w:rPr>
      </w:pPr>
      <w:r w:rsidRPr="009274F7">
        <w:rPr>
          <w:rFonts w:ascii="Times New Roman" w:hAnsi="Times New Roman"/>
          <w:bCs/>
          <w:lang w:val="es-ES"/>
        </w:rPr>
        <w:t>El Paquete Económico Federal para 2023 se elaboró en el contexto de un complejo entorno internacional caracterizado por altos niveles de inflación, en el marco de las distorsiones provocadas por el conflicto bélico en Europa del Este en la actividad económica y de la persistencia de algunos efectos derivados de la pandemia de la COVID-19 iniciada en 2020. En este contexto, el Gobierno de México propone incrementos importantes a programas sociales que ayuden a atenuar los efectos generados por la inflación en sectores de bajos ingresos y a garantizar la seguridad alimentaria, tales como Fertilizantes, Sembrando Vida y Producción para el Bienestar. A su vez, se proponen recursos adicionales que favorezcan la expansión de la capacidad operativa del sector salud y su provisión de servicios. Específicamente, se busca atender a personas sin seguridad social y afianzar la distribución gratuita de vacunas contra la COVID-19.</w:t>
      </w:r>
    </w:p>
    <w:p w14:paraId="2AA5DBC7" w14:textId="77777777" w:rsidR="009274F7" w:rsidRPr="009274F7" w:rsidRDefault="009274F7" w:rsidP="009274F7">
      <w:pPr>
        <w:pStyle w:val="PRIMERAPLANA"/>
        <w:spacing w:line="360" w:lineRule="auto"/>
        <w:rPr>
          <w:rFonts w:ascii="Times New Roman" w:hAnsi="Times New Roman"/>
          <w:bCs/>
          <w:lang w:val="es-ES"/>
        </w:rPr>
      </w:pPr>
    </w:p>
    <w:p w14:paraId="35D6EB7F" w14:textId="37ED197D" w:rsidR="002F2110"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Iniciativa que se somete a la consideración de esa Legislatura, se estructura de acuerdo al Clasificador por Rubro de Ingresos y a la Norma para armonizar la presentación de la información adicional a la iniciativa de la Ley de Ingresos, emitidas por el Consejo Nacional de Armonización Contable (CONAC); asimismo, se incluyen los formatos de información contable y presupuestal establecidos por la Ley de Disciplina Financiera de las Entidades Federativas y los Municipios, dando cumplimiento a lo preceptuado en dichos ordenamientos; lo anterior, a efecto de dar cumplimiento a las obligaciones del Estado de Tlaxcala en materia de contabilidad gubernamental y eliminar condiciones de opacidad que permitan mejorar el posicionamiento de la Entidad en el Índice de Información Presupuestal Estatal, actual Barómetro de Información Presupuestal Estatal, implementado por el Instituto Mexicano para la Competitividad, A.C. (IMCO, A.C.), fomentando buenas prácticas en materia de Transparencia y Rendición de Cuentas</w:t>
      </w:r>
    </w:p>
    <w:p w14:paraId="65AD9AE1" w14:textId="22992011" w:rsidR="005E7F98" w:rsidRPr="00F379B2" w:rsidRDefault="005E7F98" w:rsidP="005E7F98">
      <w:pPr>
        <w:pStyle w:val="PRIMERAPLANA"/>
        <w:spacing w:line="360" w:lineRule="auto"/>
        <w:jc w:val="center"/>
        <w:rPr>
          <w:rFonts w:ascii="Times New Roman" w:hAnsi="Times New Roman"/>
          <w:bCs/>
          <w:lang w:val="es-ES"/>
        </w:rPr>
      </w:pPr>
    </w:p>
    <w:p w14:paraId="256BCE84" w14:textId="627E3F47" w:rsidR="001234C5" w:rsidRPr="00F379B2" w:rsidRDefault="00D570FC" w:rsidP="00FD71AE">
      <w:pPr>
        <w:pStyle w:val="PRIMERAPLANA"/>
        <w:numPr>
          <w:ilvl w:val="0"/>
          <w:numId w:val="8"/>
        </w:numPr>
        <w:spacing w:line="360" w:lineRule="auto"/>
        <w:ind w:left="567" w:hanging="567"/>
        <w:rPr>
          <w:rFonts w:ascii="Times New Roman" w:hAnsi="Times New Roman"/>
          <w:b/>
          <w:lang w:val="es-ES"/>
        </w:rPr>
      </w:pPr>
      <w:r w:rsidRPr="00F379B2">
        <w:rPr>
          <w:rFonts w:ascii="Times New Roman" w:hAnsi="Times New Roman"/>
          <w:b/>
          <w:lang w:val="es-ES"/>
        </w:rPr>
        <w:t>ENTORNO INTERNACIONAL</w:t>
      </w:r>
    </w:p>
    <w:p w14:paraId="055B0A27"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guerra entre Rusia y Ucrania exacerbó los choques acumulados de la pandemia, generando mayores presiones inflacionarias, desabasto de insumos y un menor ritmo de crecimiento en la actividad económica global en la primera mitad de 2022. En el mismo periodo, en EE.UU. se observaron signos de desaceleración en la economía, a pesar de la fortaleza del empleo, la resiliencia en el consumo </w:t>
      </w:r>
      <w:r w:rsidRPr="009274F7">
        <w:rPr>
          <w:rFonts w:ascii="Times New Roman" w:hAnsi="Times New Roman"/>
          <w:bCs/>
          <w:lang w:val="es-ES"/>
        </w:rPr>
        <w:lastRenderedPageBreak/>
        <w:t xml:space="preserve">privado y la producción industrial. Mientras tanto, en Europa, las principales economías como Alemania y Reino Unido perdieron dinamismo en su actividad económica, por lo que es actualmente la región del mundo que mayor probabilidad tiene de entrar en recesión en 2022. Finalmente, en China se registró una menor producción industrial y un menor crecimiento económico que posiblemente se extienda en lo que resta del año. </w:t>
      </w:r>
    </w:p>
    <w:p w14:paraId="10A11E5D" w14:textId="77777777" w:rsidR="009274F7" w:rsidRPr="009274F7" w:rsidRDefault="009274F7" w:rsidP="009274F7">
      <w:pPr>
        <w:pStyle w:val="PRIMERAPLANA"/>
        <w:spacing w:line="360" w:lineRule="auto"/>
        <w:rPr>
          <w:rFonts w:ascii="Times New Roman" w:hAnsi="Times New Roman"/>
          <w:bCs/>
          <w:lang w:val="es-ES"/>
        </w:rPr>
      </w:pPr>
    </w:p>
    <w:p w14:paraId="10167F0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Frente a la persistencia de las presiones inflacionarias no anticipadas y el riesgo de desanclaje de las expectativas, los bancos centrales de economías emergentes y avanzadas endurecieron su política monetaria elevando las tasas de interés de manera significativa. Destaca que los países emergentes reaccionaron con anticipación mientras que las economías avanzadas lo hicieron con un mayor rezago. En particular, la FED, en su reunión del 15 de diciembre de 2021, reconoció que los factores que inciden en la inflación no obedecían a factores transitorios, por lo cual en marzo de 2022 decidió elevar su tasa de referencia en 25 pb, y posteriormente 50 puntos en mayo, seguido de dos aumentos más de 75 puntos el 15 de junio y el 27 de julio, poniendo fin a su ciclo monetario acomodaticio y registrando aumentos a la tasa de referencia que no se habían visto en los últimos 28 años; en lo que resta del año, se prevé que continúe un ambiente de incertidumbre, con un riesgo hacia un menor dinamismo económico, mayor inflación y tasas de interés, respecto a lo que se anticipaba al inicio del año. Ante este panorama, el 26 de julio el Fondo Monetario Internacional (FMI) revisó a la baja su estimación de crecimiento mundial para 2022 en 3.2% desde 4.4% en su proyección de enero, al tiempo que aumentó su estimación de inflación mundial para el cierre de año a 8.3% desde 6.9%.</w:t>
      </w:r>
    </w:p>
    <w:p w14:paraId="4A12D2BB" w14:textId="77777777" w:rsidR="009274F7" w:rsidRPr="009274F7" w:rsidRDefault="009274F7" w:rsidP="009274F7">
      <w:pPr>
        <w:pStyle w:val="PRIMERAPLANA"/>
        <w:spacing w:line="360" w:lineRule="auto"/>
        <w:rPr>
          <w:rFonts w:ascii="Times New Roman" w:hAnsi="Times New Roman"/>
          <w:bCs/>
          <w:lang w:val="es-ES"/>
        </w:rPr>
      </w:pPr>
    </w:p>
    <w:p w14:paraId="4F2B1E75"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Durante la primera mitad del año, el PIB estadounidense registró dos trimestres de crecimiento negativo de manera consecutiva (0.4 y 0.1%, a tasa trimestral), lo cual generó mayor incertidumbre respecto al estado en que se encuentra la actividad económica. Sin embargo, otros indicadores de periodicidad frecuente sorprendieron al alza, lo que sugiere la existencia de una desaceleración económica, aunque sin evidencia contundente de una recesión. El buen comportamiento de variables fundamentales como el consumo privado, el empleo y la producción industrial brindan evidencia de este hecho, a pesar de la caída acumulada en el PIB en los primeros seis meses del año; la producción industrial, de mantener su tendencia al tercer trimestre de 2022, podría registrar un crecimiento de 4.2% anual en 2022, cercana a la mediana de la estimación en agosto por parte de los analistas privados encuestados por Blue Chip de 4.3%.</w:t>
      </w:r>
    </w:p>
    <w:p w14:paraId="443C5621" w14:textId="77777777" w:rsidR="009274F7" w:rsidRPr="009274F7" w:rsidRDefault="009274F7" w:rsidP="009274F7">
      <w:pPr>
        <w:pStyle w:val="PRIMERAPLANA"/>
        <w:spacing w:line="360" w:lineRule="auto"/>
        <w:rPr>
          <w:rFonts w:ascii="Times New Roman" w:hAnsi="Times New Roman"/>
          <w:bCs/>
          <w:lang w:val="es-ES"/>
        </w:rPr>
      </w:pPr>
    </w:p>
    <w:p w14:paraId="59C111D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En cuanto al consumo personal real, si bien en el margen también se ha desacelerado, su crecimiento mensual entre enero y julio fue positivo, a excepción de mayo, por una caída en el consumo de bienes durables y no durables. A diferencia de este último, destaca la contribución positiva y constante por parte del consumo en servicios que, desde marzo de 2021 hasta julio de 2022, reflejó un retorno gradual del consumo de bienes hacia los servicios el cual se prevé se mantenga en línea con la creación de empleo y menores presiones inflacionarias.</w:t>
      </w:r>
    </w:p>
    <w:p w14:paraId="5ED66DD9" w14:textId="77777777" w:rsidR="009274F7" w:rsidRPr="009274F7" w:rsidRDefault="009274F7" w:rsidP="009274F7">
      <w:pPr>
        <w:pStyle w:val="PRIMERAPLANA"/>
        <w:spacing w:line="360" w:lineRule="auto"/>
        <w:rPr>
          <w:rFonts w:ascii="Times New Roman" w:hAnsi="Times New Roman"/>
          <w:bCs/>
          <w:lang w:val="es-ES"/>
        </w:rPr>
      </w:pPr>
    </w:p>
    <w:p w14:paraId="63410AA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agosto de 2022, se crearon 315 mil plazas, de manera que el promedio de los primeros ocho meses del año alcanzó las 438 mil plazas, mientras que la tasa de desempleo en este mismo mes se situó en 3.7%. Así, ante una sólida demanda laboral con una tasa históricamente elevada de vacantes disponibles (6.9% en julio 2022), la mediana de Blue Chip estima una tasa de desempleo de 3.6% para 2022 y en 4.0% para el próximo año.</w:t>
      </w:r>
    </w:p>
    <w:p w14:paraId="51419270" w14:textId="77777777" w:rsidR="009274F7" w:rsidRPr="009274F7" w:rsidRDefault="009274F7" w:rsidP="009274F7">
      <w:pPr>
        <w:pStyle w:val="PRIMERAPLANA"/>
        <w:spacing w:line="360" w:lineRule="auto"/>
        <w:rPr>
          <w:rFonts w:ascii="Times New Roman" w:hAnsi="Times New Roman"/>
          <w:bCs/>
          <w:lang w:val="es-ES"/>
        </w:rPr>
      </w:pPr>
    </w:p>
    <w:p w14:paraId="5B9BA542"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cuanto a la inflación, esta continuó acelerándose desde el segundo trimestre de 2021. En junio de 2022 alcanzó una tasa anual de 9.1%, su mayor cifra observada desde 1981, para después bajar a 8.5% en julio. Las presiones inflacionarias se explicaron principalmente por la contribución de energía y precios de renta de vivienda que en julio aportaron 2.4 y 1.8 pp a la variación anual del índice general en julio, respectivamente. Se prevé que en lo que resta del año las presiones inflacionarias se reduzcan en línea con un mercado laboral menos apretado, menores niveles en los precios de energéticos como el petróleo y gasolinas, y la disolución de los problemas logísticos que presionan las cadenas globales de valor.</w:t>
      </w:r>
    </w:p>
    <w:p w14:paraId="7D1FB542" w14:textId="77777777" w:rsidR="009274F7" w:rsidRPr="009274F7" w:rsidRDefault="009274F7" w:rsidP="009274F7">
      <w:pPr>
        <w:pStyle w:val="PRIMERAPLANA"/>
        <w:spacing w:line="360" w:lineRule="auto"/>
        <w:rPr>
          <w:rFonts w:ascii="Times New Roman" w:hAnsi="Times New Roman"/>
          <w:bCs/>
          <w:lang w:val="es-ES"/>
        </w:rPr>
      </w:pPr>
    </w:p>
    <w:p w14:paraId="44798E7A"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La actividad económica en Europa se desaceleró en la primera mitad de 2022 debido a las consecuencias económicas generadas por la guerra en Ucrania, así como por las sanciones impuestas a Rusia para disuadir la amenaza militar. Desde el inicio de la guerra al cierre de junio, la Unión Europea ha implementado seis paquetes de sanciones a la economía rusa a través de distintos canales de transmisión como el sector energético, tecnológico, comercial, financiero y de transporte, principalmente. Las presiones inflacionarias para la zona euro continuaron desde la segunda mitad del 2021 pasando de una tasa anual de 5.1% en enero a 9.1% en agosto de 2022, su cifra más alta registrada desde el inicio de la serie en 1997. El Reino Unido, por su parte, registró en julio una tasa de 10.1%, no vista desde 1982. Junto con los alimentos, el rubro de energéticos es el que más ha incidido sobre la inflación general con un aumento de 38.3% anual para la zona del euro en agosto de 2022.  </w:t>
      </w:r>
    </w:p>
    <w:p w14:paraId="065BAE93" w14:textId="77777777" w:rsidR="009274F7" w:rsidRPr="009274F7" w:rsidRDefault="009274F7" w:rsidP="009274F7">
      <w:pPr>
        <w:pStyle w:val="PRIMERAPLANA"/>
        <w:spacing w:line="360" w:lineRule="auto"/>
        <w:rPr>
          <w:rFonts w:ascii="Times New Roman" w:hAnsi="Times New Roman"/>
          <w:bCs/>
          <w:lang w:val="es-ES"/>
        </w:rPr>
      </w:pPr>
    </w:p>
    <w:p w14:paraId="0644DF2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Los altos costos de la electricidad, la incertidumbre por la guerra en Ucrania y el corte de suministro de gas natural hacia Europa, así como la presión por una mayor demanda de gas a medida que se acerca el invierno aumentan la probabilidad de una mayor desaceleración en la región para el cierre del año. Ante ello, el FMI estima un bajo crecimiento para 2022 y 2023 de 2.6 y 1.2% para la zona euro, mientras que para el Reino Unido de 3.2 y 0.5%, en el mismo orden; junto con una elevada inflación en ambos países en 7.3 y 7.4%, respectivamente, en promedio para 2022.</w:t>
      </w:r>
    </w:p>
    <w:p w14:paraId="1B307810" w14:textId="77777777" w:rsidR="009274F7" w:rsidRPr="009274F7" w:rsidRDefault="009274F7" w:rsidP="009274F7">
      <w:pPr>
        <w:pStyle w:val="PRIMERAPLANA"/>
        <w:spacing w:line="360" w:lineRule="auto"/>
        <w:rPr>
          <w:rFonts w:ascii="Times New Roman" w:hAnsi="Times New Roman"/>
          <w:bCs/>
          <w:lang w:val="es-ES"/>
        </w:rPr>
      </w:pPr>
    </w:p>
    <w:p w14:paraId="2D7AC273"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Durante el segundo trimestre de 2022 el PIB de China se contrajo 2.6% trimestral, después de un aumento de 1.4% en el primer trimestre. Esto como resultado de la política de tolerancia cero al COVID-19 y el menor dinamismo de la inversión fija bruta que se explica principalmente por una contracción en el sector inmobiliario. De este modo, el FMI en julio revisó a la baja su expectativa de crecimiento del PIB para 2022 y 2023 a 3.3 y 4.6%, respectivamente, lo cual es 1.5 y 0.6 pp menor con respecto a la estimación de enero. </w:t>
      </w:r>
    </w:p>
    <w:p w14:paraId="598277F0" w14:textId="77777777" w:rsidR="009274F7" w:rsidRPr="009274F7" w:rsidRDefault="009274F7" w:rsidP="009274F7">
      <w:pPr>
        <w:pStyle w:val="PRIMERAPLANA"/>
        <w:spacing w:line="360" w:lineRule="auto"/>
        <w:rPr>
          <w:rFonts w:ascii="Times New Roman" w:hAnsi="Times New Roman"/>
          <w:bCs/>
          <w:lang w:val="es-ES"/>
        </w:rPr>
      </w:pPr>
    </w:p>
    <w:p w14:paraId="7D401AEF"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Con respecto a la actividad económica en Latinoamérica y el Caribe, ésta ha sido más dinámica que la anticipada a principios de año debido a una recuperación más robusta en Brasil, México, Colombia y Chile. Esto como resultado de términos de intercambio favorables ante la depreciación de sus monedas, liquidez residual de los apoyos fiscales, remesas, así como el crecimiento del empleo que apoyan al consumo, además del alto precio de materias primas que generó ingresos excedentes en sus finanzas públicas. Con base en ello, el FMI revisó al alza su estimación de crecimiento del PIB para 2022 de la región a 3.0% desde 2.4% en enero, mientras que para 2023, el pronóstico se redujo a 2.0% desde 2.6%, en el mismo periodo.</w:t>
      </w:r>
    </w:p>
    <w:p w14:paraId="1F56407B" w14:textId="77777777" w:rsidR="009274F7" w:rsidRPr="009274F7" w:rsidRDefault="009274F7" w:rsidP="009274F7">
      <w:pPr>
        <w:pStyle w:val="PRIMERAPLANA"/>
        <w:spacing w:line="360" w:lineRule="auto"/>
        <w:rPr>
          <w:rFonts w:ascii="Times New Roman" w:hAnsi="Times New Roman"/>
          <w:bCs/>
          <w:lang w:val="es-ES"/>
        </w:rPr>
      </w:pPr>
    </w:p>
    <w:p w14:paraId="4AF479B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Después de la caída en los precios de petróleo de referencia internacional en diciembre de 2021 ante la cuarta ola de la COVID-19, los precios aceleraron su trayectoria ascendente hasta alcanzar nuevos máximos tras la invasión a Ucrania y como producto de las sanciones impuestas a Rusia. En particular, el 8 de marzo, los precios del petróleo alcanzaron sus niveles máximos desde 2008, con valores de 133.9, 123.7 y 119.6 dpb para el Brent, el WTI y la mezcla mexicana, respectivamente, al 31 de agosto los precios del Brent, el WTI y la MME se ubicaron en 95.7, 89.6 y 86.0 dpb, menores en 28.5, 27.6 y 28.1% respecto al pico de marzo, y niveles cercanos a los observados en febrero de 2022, previos a </w:t>
      </w:r>
      <w:r w:rsidRPr="009274F7">
        <w:rPr>
          <w:rFonts w:ascii="Times New Roman" w:hAnsi="Times New Roman"/>
          <w:bCs/>
          <w:lang w:val="es-ES"/>
        </w:rPr>
        <w:lastRenderedPageBreak/>
        <w:t xml:space="preserve">la invasión a Ucrania. Asimismo, los futuros prevén para el mes de diciembre de 2022 un precio promedio de 94.2 y 88.3 dpb para el Brent y el WTI, respectivamente.  </w:t>
      </w:r>
    </w:p>
    <w:p w14:paraId="1FED27F6" w14:textId="77777777" w:rsidR="009274F7" w:rsidRPr="009274F7" w:rsidRDefault="009274F7" w:rsidP="009274F7">
      <w:pPr>
        <w:pStyle w:val="PRIMERAPLANA"/>
        <w:spacing w:line="360" w:lineRule="auto"/>
        <w:rPr>
          <w:rFonts w:ascii="Times New Roman" w:hAnsi="Times New Roman"/>
          <w:bCs/>
          <w:lang w:val="es-ES"/>
        </w:rPr>
      </w:pPr>
    </w:p>
    <w:p w14:paraId="6822C5B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el caso del precio del gas natural, la volatilidad aumentó por el menor suministro de Rusia hacia Europa, cuyo principal gasoducto, Nord Stream 1, al 15 de agosto operaba al 20% de su capacidad con una interrupción total por tiempo indefinido a partir del 31 de agosto, así como por otros factores tales como el incendio en la planta de licuefacción de gas natural Freeport LNG en EE.UU. Por tales motivos, al 31 de agosto los precios se ubicaron en 71.0 y 9.1 dólares por Millón de Unidad Térmica Británica (MMBtu) para la referencia europea (TTF) y la estadounidense (Henry Hub), respectivamente.</w:t>
      </w:r>
    </w:p>
    <w:p w14:paraId="19088E13" w14:textId="77777777" w:rsidR="009274F7" w:rsidRPr="009274F7" w:rsidRDefault="009274F7" w:rsidP="009274F7">
      <w:pPr>
        <w:pStyle w:val="PRIMERAPLANA"/>
        <w:spacing w:line="360" w:lineRule="auto"/>
        <w:rPr>
          <w:rFonts w:ascii="Times New Roman" w:hAnsi="Times New Roman"/>
          <w:bCs/>
          <w:lang w:val="es-ES"/>
        </w:rPr>
      </w:pPr>
    </w:p>
    <w:p w14:paraId="783F1B0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Con base en el mercado de futuros hacia el cierre 2022, para el trigo y el maíz, no se anticipan mayores cambios con respecto a los precios observados al 31 de agosto, de 8.3 y 6.7 dólares por bushel, mientras que para 2023, no se descartan afectaciones en las cosechas debido a los aún elevados precios de los fertilizantes y de gas natural, ante la incertidumbre ocasionada por las sanciones a Rusia. El precio de importación de semiconductores para EE.UU. redujo su ritmo de crecimiento anual entre mayo y julio, mientras que los contenedores en espera como reflejo de problemas logísticos para el comercio mantienen una tendencia a la baja desde mayo en puertos importantes como Los Ángeles, aunque persisten en China, particularmente en Shanghái y Zhejiang, debido a las medidas estrictas de distanciamiento social por la COVID-19.</w:t>
      </w:r>
    </w:p>
    <w:p w14:paraId="27FD0196" w14:textId="77777777" w:rsidR="009274F7" w:rsidRPr="009274F7" w:rsidRDefault="009274F7" w:rsidP="009274F7">
      <w:pPr>
        <w:pStyle w:val="PRIMERAPLANA"/>
        <w:spacing w:line="360" w:lineRule="auto"/>
        <w:rPr>
          <w:rFonts w:ascii="Times New Roman" w:hAnsi="Times New Roman"/>
          <w:bCs/>
          <w:lang w:val="es-ES"/>
        </w:rPr>
      </w:pPr>
    </w:p>
    <w:p w14:paraId="30329EC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Ante un panorama de desaceleración económica y alta inflación, los bancos centrales han adoptado posturas monetarias más restrictivas con magnitudes de ajuste en tasas no vistas en décadas. Destacan los países avanzados por su política monetaria tardía, a diferencia de los emergentes, lo que los indujo a acelerar la normalización de sus tasas desde el primer trimestre de 2022 con el fin de contener las presiones inflacionarias y el riesgo de desanclaje de expectativas. La FED, en particular, dio un giro en su última reunión de 2021, que se celebró el 15 de diciembre, al retirar el término transitorio de sus comunicados para referirse a los factores que afectan la inflación dada su alta persistencia y acordó duplicar el ritmo de reducción de las compras netas de activos a partir de enero y hasta marzo de 2022 en 20 mil millones de dólares para bonos del tesoro y 10 mil millones de dólares de activos respaldados por hipotecas. Posteriormente, en la reunión del 16 de marzo de 2022, con aprobación de la mayoría, la FED decidió aumentar la tasa de referencia en 25 pb, terminar la compra de activos y propuso la </w:t>
      </w:r>
      <w:r w:rsidRPr="009274F7">
        <w:rPr>
          <w:rFonts w:ascii="Times New Roman" w:hAnsi="Times New Roman"/>
          <w:bCs/>
          <w:lang w:val="es-ES"/>
        </w:rPr>
        <w:lastRenderedPageBreak/>
        <w:t>reducción de 60 mil millones de dólares en bonos del tesoro y 35 mil millones de dólares en hipotecas en su hoja de balance partiendo de un saldo total de 8.9 billones de dólares.</w:t>
      </w:r>
    </w:p>
    <w:p w14:paraId="68EBF76F" w14:textId="77777777" w:rsidR="000A311E" w:rsidRDefault="000A311E" w:rsidP="009274F7">
      <w:pPr>
        <w:pStyle w:val="PRIMERAPLANA"/>
        <w:spacing w:line="360" w:lineRule="auto"/>
        <w:rPr>
          <w:rFonts w:ascii="Times New Roman" w:hAnsi="Times New Roman"/>
          <w:bCs/>
          <w:lang w:val="es-ES"/>
        </w:rPr>
      </w:pPr>
    </w:p>
    <w:p w14:paraId="2100FBA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Si bien se esperan más incrementos para las próximas reuniones, al mes de agosto el mercado anticipa un incremento de 50 pb en septiembre, seguido de dos alzas adicionales en 25 pb con lo cual el mercado de futuros anticipa en agosto una tasa terminal de 3.50% para 2022, en línea con las últimas proyecciones de la FED en junio. El Banco Central Europeo (BCE), por su parte, elevó sus tres tasas principales de interés por primera vez desde 2011 en 50 pb en su reunión del 21 de julio de 2022, por encima del consenso (25 puntos) y, al igual que la FED, con el fin de contener las presiones inflacionarias y mantener ancladas las expectativas ante los fuertes aumentos en los precios de los energéticos. Asimismo, se aprobó un nuevo instrumento financiero para estabilizar el mercado de bonos, y así detener el riesgo de fragmentación financiera en países como Italia, cuyos diferenciales de tasa con respecto a Alemania se han incrementado.</w:t>
      </w:r>
    </w:p>
    <w:p w14:paraId="3DC1F4BA" w14:textId="77777777" w:rsidR="009274F7" w:rsidRPr="009274F7" w:rsidRDefault="009274F7" w:rsidP="009274F7">
      <w:pPr>
        <w:pStyle w:val="PRIMERAPLANA"/>
        <w:spacing w:line="360" w:lineRule="auto"/>
        <w:rPr>
          <w:rFonts w:ascii="Times New Roman" w:hAnsi="Times New Roman"/>
          <w:bCs/>
          <w:lang w:val="es-ES"/>
        </w:rPr>
      </w:pPr>
    </w:p>
    <w:p w14:paraId="54D667F9"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Los mercados financieros en economías emergentes han tenido un comportamiento volátil. En particular el Indicador de Bonos de Mercados Emergentes (EMBI+), que mide el riesgo soberano para países emergentes, después de la invasión a Ucrania alcanzó un máximo el 8 de marzo de 2022 en 631.2 puntos muy por encima del promedio de 2021 en 364.1 puntos. Posteriormente, la aversión al riesgo se redujo ligeramente, pero se volvió a incrementar como resultado de las posturas monetarias más restrictivas en economías avanzadas y expectativas de menor crecimiento global. Así, tras un mínimo de 357.9 puntos el 5 de abril, el EMBI+ se incrementó 74.9 puntos hasta el cierre de agosto, cuando registró 432.8 puntos, menor a los 457.8 puntos del 23 de febrero de 2022.   </w:t>
      </w:r>
    </w:p>
    <w:p w14:paraId="405FA495" w14:textId="77777777" w:rsidR="009274F7" w:rsidRPr="009274F7" w:rsidRDefault="009274F7" w:rsidP="009274F7">
      <w:pPr>
        <w:pStyle w:val="PRIMERAPLANA"/>
        <w:spacing w:line="360" w:lineRule="auto"/>
        <w:rPr>
          <w:rFonts w:ascii="Times New Roman" w:hAnsi="Times New Roman"/>
          <w:bCs/>
          <w:lang w:val="es-ES"/>
        </w:rPr>
      </w:pPr>
    </w:p>
    <w:p w14:paraId="3039BBE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Adicionalmente, esta mayor aversión también se ha visto reflejada en salidas de capitales en línea con el conflicto geopolítico y el dinamismo de aumento de tasas de la FED. No obstante, la salida de capitales en países emergentes en 2022 ha sido mucho menor que en otros episodios de estrés. Desde inicios de enero al 31 de agosto cayó en 9.6%, mientras que durante 2008 disminuyó 46.7%. Acorde con el panorama adverso que se presenta a nivel global y la postura monetaria restrictiva en los bancos centrales de economías avanzadas, no se descarta que en lo que resta de 2022 continúen los episodios de volatilidad en los mercados financieros, derivado del ambiente de incertidumbre y una mayor aversión al riesgo que impliquen una reconfiguración de portafolios y salida de capitales en la región.</w:t>
      </w:r>
    </w:p>
    <w:p w14:paraId="31EA433E" w14:textId="77777777" w:rsidR="009274F7" w:rsidRPr="009274F7" w:rsidRDefault="009274F7" w:rsidP="009274F7">
      <w:pPr>
        <w:pStyle w:val="PRIMERAPLANA"/>
        <w:spacing w:line="360" w:lineRule="auto"/>
        <w:rPr>
          <w:rFonts w:ascii="Times New Roman" w:hAnsi="Times New Roman"/>
          <w:bCs/>
          <w:lang w:val="es-ES"/>
        </w:rPr>
      </w:pPr>
    </w:p>
    <w:p w14:paraId="03226F74"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De acuerdo a la actualización del mes de julio de 2022 del Informe de Perspectivas de la Economía Mundial (Informe WEO, por sus siglas en inglés) del Fondo Monetario Internacional, durante el segundo trimestre de este año, el producto mundial se contrajo, debido a la desaceleración de China y Rusia, mientras que el gasto de los hogares en Estados Unidos no alcanzó las expectativas. Varios shocks han sacudido una economía mundial ya debilitada por la pandemia: una inflación superior a lo previsto en todo el mundo, sobre todo en Estados Unidos y las principales economías europeas, que ha provocado el endurecimiento de las condiciones financieras; una desaceleración peor de lo previsto en China, consecuencia de los brotes de la COVID-19 y los confinamientos, y las nuevas repercusiones negativas de la guerra en Ucrania.</w:t>
      </w:r>
    </w:p>
    <w:p w14:paraId="5B1A6505" w14:textId="77777777" w:rsidR="009274F7" w:rsidRPr="009274F7" w:rsidRDefault="009274F7" w:rsidP="009274F7">
      <w:pPr>
        <w:pStyle w:val="PRIMERAPLANA"/>
        <w:spacing w:line="360" w:lineRule="auto"/>
        <w:rPr>
          <w:rFonts w:ascii="Times New Roman" w:hAnsi="Times New Roman"/>
          <w:bCs/>
          <w:lang w:val="es-ES"/>
        </w:rPr>
      </w:pPr>
    </w:p>
    <w:p w14:paraId="1EA24D4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Según el pronóstico de base, el crecimiento se reducirá de 6.1% del año pasado a 3.2% en 2022, un descenso de 0.4 pp con respecto a la edición de abril de 2022 de Perspectivas de la Economía Mundial (informe WEO). El crecimiento inferior registrado a principios del año, la pérdida de poder adquisitivo de los hogares y una política monetaria más restrictiva provocaron una revisión a la baja de 1.4 puntos porcentuales en Estados Unidos. En China, los nuevos confinamientos y el agravamiento de la crisis del sector inmobiliario han obligado a revisar a la baja el crecimiento en 1.1 pp, con importantes repercusiones a escala mundial. Por su parte, en Europa, las significativas rebajas son un reflejo de las repercusiones de la guerra en Ucrania y el endurecimiento de la política monetaria. La inflación mundial se ha revisado al alza debido a los precios de los alimentos y la energía y los persistentes desequilibrios entre la oferta y la demanda, y se prevé que este año se sitúe en 6.6% en las economías avanzadas y 9.5% en las economías de mercados emergentes y en desarrollo, es decir, revisiones al alza de 0.9 y 0.8 pp, respectivamente. En 2023, se espera que la política monetaria desinflacionaria comience a hacer mella y el crecimiento del producto mundial sea de tan solo 2.9%.</w:t>
      </w:r>
    </w:p>
    <w:p w14:paraId="537B932E" w14:textId="77777777" w:rsidR="009274F7" w:rsidRPr="009274F7" w:rsidRDefault="009274F7" w:rsidP="009274F7">
      <w:pPr>
        <w:pStyle w:val="PRIMERAPLANA"/>
        <w:spacing w:line="360" w:lineRule="auto"/>
        <w:rPr>
          <w:rFonts w:ascii="Times New Roman" w:hAnsi="Times New Roman"/>
          <w:bCs/>
          <w:lang w:val="es-ES"/>
        </w:rPr>
      </w:pPr>
    </w:p>
    <w:p w14:paraId="46CA254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En su inmensa mayoría, los riesgos para las perspectivas apuntan a la baja. La guerra en Ucrania podría paralizar las importaciones de gas ruso en Europa; la inflación podría ser más difícil de reducir de lo que se esperaba, ya sea porque la rigidez de los mercados de trabajo es mayor de lo previsto, o porque se desanclan las expectativas de inflación; el endurecimiento de las condiciones financieras mundiales podría causar sobreendeudamiento en economías de mercados emergentes y en desarrollo; los nuevos brotes de la COVID-19 y confinamientos, así como un empeoramiento de la crisis en el sector inmobiliario, podrían inhibir aún más el crecimiento en China, y la fragmentación geopolítica podría obstaculizar el comercio y la cooperación mundiales. Un posible escenario alternativo, en el cual los </w:t>
      </w:r>
      <w:r w:rsidRPr="009274F7">
        <w:rPr>
          <w:rFonts w:ascii="Times New Roman" w:hAnsi="Times New Roman"/>
          <w:bCs/>
          <w:lang w:val="es-ES"/>
        </w:rPr>
        <w:lastRenderedPageBreak/>
        <w:t>riesgos se materialicen, la inflación aumente todavía más y el crecimiento mundial se reduzca hasta 2.6% y 2.0% en 2022 y 2023, respectivamente, situaría el crecimiento en el 10% inferior de los resultados registrados desde 1970.</w:t>
      </w:r>
    </w:p>
    <w:p w14:paraId="3F8048D9" w14:textId="77777777" w:rsidR="000A311E" w:rsidRDefault="000A311E" w:rsidP="009274F7">
      <w:pPr>
        <w:pStyle w:val="PRIMERAPLANA"/>
        <w:spacing w:line="360" w:lineRule="auto"/>
        <w:rPr>
          <w:rFonts w:ascii="Times New Roman" w:hAnsi="Times New Roman"/>
          <w:bCs/>
          <w:lang w:val="es-ES"/>
        </w:rPr>
      </w:pPr>
    </w:p>
    <w:p w14:paraId="5403E469"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Mientras el aumento de precios sigue reduciendo el nivel de vida en todo el mundo, la máxima prioridad de las autoridades económicas debería ser el control de la inflación. El endurecimiento de la política monetaria tendrá sin duda costos económicos reales, pero retrasarlo no hará sino exacerbarlos. Recurrir a un apoyo fiscal focalizado puede ayudar a amortiguar el impacto sobre las personas más vulnerables, pero ante las tensiones presupuestarias que los gobiernos enfrentan por la pandemia y la necesidad de que la orientación general de la política macroeconómica sea desinflacionaria, tales políticas deberán compensarse con una subida de impuestos o una reducción del gasto público. La mayor austeridad monetaria también afectará la estabilidad financiera, obligando a usar de forma racional las herramientas macroprudenciales y haciendo aún más necesaria la reforma de los marcos de resolución de la deuda. Las políticas dirigidas a hacer frente a repercusiones concretas de los precios de la energía y los alimentos deben centrarse en quienes se han visto más afectados, sin distorsionar los precios. Además, en una pandemia que se mantiene, las tasas de vacunación deben subir para ofrecer protección ante nuevas variantes. Por último, la mitigación del cambio climático sigue requiriendo medidas multilaterales urgentes para limitar las emisiones y aumentar las inversiones dirigidas a acelerar la transición verde.</w:t>
      </w:r>
    </w:p>
    <w:p w14:paraId="345E7A05" w14:textId="77777777" w:rsidR="009274F7" w:rsidRPr="009274F7" w:rsidRDefault="009274F7" w:rsidP="009274F7">
      <w:pPr>
        <w:pStyle w:val="PRIMERAPLANA"/>
        <w:spacing w:line="360" w:lineRule="auto"/>
        <w:rPr>
          <w:rFonts w:ascii="Times New Roman" w:hAnsi="Times New Roman"/>
          <w:bCs/>
          <w:lang w:val="es-ES"/>
        </w:rPr>
      </w:pPr>
    </w:p>
    <w:p w14:paraId="277BDE8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Si bien en la mayoría de las economías avanzadas las expectativas de inflación a largo plazo se han mantenido estables, algunas medidas indican que han comenzado a aumentar, también en Estados Unidos. En respuesta a los últimos datos, los bancos centrales de las principales economías avanzadas están retirando de forma más categórica el apoyo monetario y están subiendo las tasas de interés de intervención a un ritmo superior al previsto en la edición de abril de 2022 del informe WEO. Los bancos centrales de varias economías de mercados emergentes y en desarrollo han optado por subidas de tasas de interés más enérgicas que las aplicadas en ciclos anteriores de austeridad en las economías avanzadas. El consiguiente aumento de los costos de endeudamiento a más largo plazo, como las tasas de interés de los préstamos hipotecarios, unido al endurecimiento de las condiciones financieras mundiales ha provocado la caída precipitada de los precios de las acciones, lastrando el crecimiento. Al mismo tiempo, se ha puesto fin a los paquetes de ayuda pública para hacer frente la COVID-19.</w:t>
      </w:r>
    </w:p>
    <w:p w14:paraId="56155456" w14:textId="77777777" w:rsidR="009274F7" w:rsidRPr="009274F7" w:rsidRDefault="009274F7" w:rsidP="009274F7">
      <w:pPr>
        <w:pStyle w:val="PRIMERAPLANA"/>
        <w:spacing w:line="360" w:lineRule="auto"/>
        <w:rPr>
          <w:rFonts w:ascii="Times New Roman" w:hAnsi="Times New Roman"/>
          <w:bCs/>
          <w:lang w:val="es-ES"/>
        </w:rPr>
      </w:pPr>
    </w:p>
    <w:p w14:paraId="0B5138E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Las revisiones de crecimiento para las principales economías avanzadas en 2022–2023 son en general negativas. El crecimiento de base en Estados Unidos se revisa a la baja en 1.4 y 1.3 pp en 2022 y 2023, respectivamente, lo que indica un crecimiento más débil de lo esperado en los dos primeros trimestres de 2022, con un ímpetu bastante menor del consumo privado, debido en parte a la erosión del poder adquisitivo de los hogares y el impacto previsto de un endurecimiento más marcado de la política monetaria. El crecimiento en la zona del euro también se revisa a la baja: 0.2 pp en 2022, año en que las mejores perspectivas para el turismo y la actividad industrial en Italia se ven neutralizadas con creces por importantes rebajas en Francia, Alemania y España; y 1.1 pp en 2023. Esta revisión refleja los efectos secundarios de la guerra en Ucrania, así como el supuesto de que las condiciones financieras se tornen más restrictivas, cuando el Banco Central Europeo ponga fin a las compras netas de activos y eleve las tasas en julio de 2022, por primera vez desde 2011. En varias economías europeas, los fondos NextGenerationEU están respaldando la actividad económica.</w:t>
      </w:r>
    </w:p>
    <w:p w14:paraId="46014266" w14:textId="77777777" w:rsidR="009274F7" w:rsidRPr="009274F7" w:rsidRDefault="009274F7" w:rsidP="009274F7">
      <w:pPr>
        <w:pStyle w:val="PRIMERAPLANA"/>
        <w:spacing w:line="360" w:lineRule="auto"/>
        <w:rPr>
          <w:rFonts w:ascii="Times New Roman" w:hAnsi="Times New Roman"/>
          <w:bCs/>
          <w:lang w:val="es-ES"/>
        </w:rPr>
      </w:pPr>
    </w:p>
    <w:p w14:paraId="4BBEF4B7" w14:textId="426CC2E9" w:rsidR="00165390" w:rsidRDefault="009274F7" w:rsidP="009274F7">
      <w:pPr>
        <w:pStyle w:val="PRIMERAPLANA"/>
        <w:spacing w:line="360" w:lineRule="auto"/>
        <w:rPr>
          <w:rFonts w:cs="Arial"/>
          <w:b/>
          <w:bCs/>
          <w:sz w:val="18"/>
          <w:szCs w:val="24"/>
          <w:lang w:val="es-ES"/>
        </w:rPr>
      </w:pPr>
      <w:r w:rsidRPr="009274F7">
        <w:rPr>
          <w:rFonts w:ascii="Times New Roman" w:hAnsi="Times New Roman"/>
          <w:bCs/>
          <w:lang w:val="es-ES"/>
        </w:rPr>
        <w:t>En las economías de mercados emergentes y en desarrollo, las revisiones negativas del crecimiento en 2022–2023 obedecen principalmente a la fuerte desaceleración de la economía de China y la moderación del crecimiento económico de India. En consecuencia, la revisión en las economías emergentes y en desarrollo de Asia es importante, de 0.8 pp en el escenario base para 2022. Esta revisión incluye una revisión a la baja del crecimiento en China de 1.1 pp, a 3.3% (la cifra más baja en más de cuatro décadas, sin incluir la crisis inicial por la COVID-19 en 2020), debido principalmente a los brotes de la COVID-19 y los confinamientos antes citados. Igualmente, las perspectivas para India se han revisado a la baja en 0.8 pp, a 7.4%. Para India, la revisión se debe ante todo a las condiciones externas menos favorables y un endurecimiento más rápido de la política. En otros lugares, las revisiones de crecimiento en el escenario base han sido en su mayoría al alza. Se prevé que en 2022 el PIB real de las economías emergentes y en desarrollo de Europa se contraiga 1.5 pp menos de lo previsto en el informe WEO de abril de 2022, pero que en 2023 crezca 0.4 pp menos, como resultado de un crecimiento de las exportaciones rusas mayor de lo esperado en 2022 y de las nuevas sanciones a Rusia en 2023, anunciadas recientemente. La revisión en América Latina y el Caribe también es al alza, de 0.5 pp en 2022, gracias a una recuperación más vigorosa en las principales economías (Brasil, México, Colombia, Chile). En promedio, las perspectivas para los países de Oriente Medio, Asia Central y África subsahariana no cambian o son positivas, en razón de los efectos de los elevados precios de los metales y los combustibles fósiles en algunos países exportadores de materias primas</w:t>
      </w:r>
      <w:r w:rsidR="00A724A8" w:rsidRPr="00F379B2">
        <w:rPr>
          <w:rFonts w:ascii="Times New Roman" w:hAnsi="Times New Roman"/>
          <w:bCs/>
          <w:lang w:val="es-ES"/>
        </w:rPr>
        <w:t>.</w:t>
      </w:r>
    </w:p>
    <w:p w14:paraId="7955B162" w14:textId="1DC9C9BC" w:rsidR="00FE6A59" w:rsidRPr="00F379B2" w:rsidRDefault="00FE6A59" w:rsidP="0094051B">
      <w:pPr>
        <w:pStyle w:val="PRIMERAPLANA"/>
        <w:spacing w:line="360" w:lineRule="auto"/>
        <w:jc w:val="center"/>
        <w:rPr>
          <w:rFonts w:ascii="Times New Roman" w:hAnsi="Times New Roman"/>
          <w:b/>
          <w:bCs/>
          <w:sz w:val="16"/>
          <w:szCs w:val="24"/>
          <w:lang w:val="es-ES"/>
        </w:rPr>
      </w:pPr>
      <w:r w:rsidRPr="00F379B2">
        <w:rPr>
          <w:rFonts w:ascii="Times New Roman" w:hAnsi="Times New Roman"/>
          <w:b/>
          <w:bCs/>
          <w:sz w:val="18"/>
          <w:szCs w:val="24"/>
          <w:lang w:val="es-ES"/>
        </w:rPr>
        <w:lastRenderedPageBreak/>
        <w:t xml:space="preserve">Cuadro 1. </w:t>
      </w:r>
      <w:r w:rsidR="0094051B" w:rsidRPr="00F379B2">
        <w:rPr>
          <w:rFonts w:ascii="Times New Roman" w:hAnsi="Times New Roman"/>
          <w:b/>
          <w:bCs/>
          <w:sz w:val="16"/>
          <w:szCs w:val="24"/>
          <w:lang w:val="es-ES"/>
        </w:rPr>
        <w:t>ACTUALIZACIÓN DE LAS PERSPECTIVAS DE LA ECONOMÍA MUNDIAL, JULIO DE 202</w:t>
      </w:r>
      <w:r w:rsidR="005E7F98">
        <w:rPr>
          <w:rFonts w:ascii="Times New Roman" w:hAnsi="Times New Roman"/>
          <w:b/>
          <w:bCs/>
          <w:sz w:val="16"/>
          <w:szCs w:val="24"/>
          <w:lang w:val="es-ES"/>
        </w:rPr>
        <w:t>2</w:t>
      </w:r>
      <w:r w:rsidR="0094051B" w:rsidRPr="00F379B2">
        <w:rPr>
          <w:rFonts w:ascii="Times New Roman" w:hAnsi="Times New Roman"/>
          <w:b/>
          <w:bCs/>
          <w:sz w:val="16"/>
          <w:szCs w:val="24"/>
          <w:lang w:val="es-ES"/>
        </w:rPr>
        <w:t xml:space="preserve"> </w:t>
      </w:r>
    </w:p>
    <w:p w14:paraId="3813669B" w14:textId="0A2C492E" w:rsidR="00FE6A59" w:rsidRPr="00F379B2" w:rsidRDefault="00FE6A59" w:rsidP="0094051B">
      <w:pPr>
        <w:pStyle w:val="PRIMERAPLANA"/>
        <w:spacing w:line="360" w:lineRule="auto"/>
        <w:jc w:val="center"/>
        <w:rPr>
          <w:rFonts w:ascii="Times New Roman" w:hAnsi="Times New Roman"/>
          <w:b/>
          <w:bCs/>
          <w:sz w:val="16"/>
          <w:szCs w:val="24"/>
          <w:lang w:val="es-ES"/>
        </w:rPr>
      </w:pPr>
      <w:r w:rsidRPr="00F379B2">
        <w:rPr>
          <w:rFonts w:ascii="Times New Roman" w:hAnsi="Times New Roman"/>
          <w:b/>
          <w:bCs/>
          <w:sz w:val="16"/>
          <w:szCs w:val="24"/>
          <w:lang w:val="es-ES"/>
        </w:rPr>
        <w:t>(Cambio porcentual, a menos que se indique lo contrario)</w:t>
      </w:r>
    </w:p>
    <w:p w14:paraId="166E62DD" w14:textId="77777777" w:rsidR="009B3844" w:rsidRDefault="009B3844" w:rsidP="0094051B">
      <w:pPr>
        <w:pStyle w:val="PRIMERAPLANA"/>
        <w:spacing w:line="360" w:lineRule="auto"/>
        <w:jc w:val="center"/>
        <w:rPr>
          <w:rFonts w:cs="Arial"/>
          <w:b/>
          <w:bCs/>
          <w:sz w:val="16"/>
          <w:szCs w:val="24"/>
          <w:lang w:val="es-ES"/>
        </w:rPr>
      </w:pPr>
    </w:p>
    <w:p w14:paraId="437EEEDF" w14:textId="71671FD6" w:rsidR="009B3844" w:rsidRDefault="005E7F98" w:rsidP="0094051B">
      <w:pPr>
        <w:pStyle w:val="PRIMERAPLANA"/>
        <w:spacing w:line="360" w:lineRule="auto"/>
        <w:jc w:val="center"/>
        <w:rPr>
          <w:rFonts w:cs="Arial"/>
          <w:b/>
          <w:bCs/>
          <w:sz w:val="16"/>
          <w:szCs w:val="24"/>
          <w:lang w:val="es-ES"/>
        </w:rPr>
      </w:pPr>
      <w:r>
        <w:rPr>
          <w:noProof/>
          <w:lang w:val="es-MX" w:eastAsia="es-MX"/>
        </w:rPr>
        <mc:AlternateContent>
          <mc:Choice Requires="wps">
            <w:drawing>
              <wp:anchor distT="0" distB="0" distL="114300" distR="114300" simplePos="0" relativeHeight="251685888" behindDoc="0" locked="0" layoutInCell="1" allowOverlap="1" wp14:anchorId="1C3D5B2B" wp14:editId="17E921EE">
                <wp:simplePos x="0" y="0"/>
                <wp:positionH relativeFrom="margin">
                  <wp:align>center</wp:align>
                </wp:positionH>
                <wp:positionV relativeFrom="paragraph">
                  <wp:posOffset>2558415</wp:posOffset>
                </wp:positionV>
                <wp:extent cx="4686300" cy="95250"/>
                <wp:effectExtent l="0" t="0" r="19050" b="19050"/>
                <wp:wrapNone/>
                <wp:docPr id="29" name="Rectángulo 29"/>
                <wp:cNvGraphicFramePr/>
                <a:graphic xmlns:a="http://schemas.openxmlformats.org/drawingml/2006/main">
                  <a:graphicData uri="http://schemas.microsoft.com/office/word/2010/wordprocessingShape">
                    <wps:wsp>
                      <wps:cNvSpPr/>
                      <wps:spPr>
                        <a:xfrm>
                          <a:off x="0" y="0"/>
                          <a:ext cx="4686300" cy="95250"/>
                        </a:xfrm>
                        <a:prstGeom prst="rect">
                          <a:avLst/>
                        </a:prstGeom>
                        <a:noFill/>
                        <a:ln w="158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2BABCE4" id="Rectángulo 29" o:spid="_x0000_s1026" style="position:absolute;margin-left:0;margin-top:201.45pt;width:369pt;height:7.5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" filled="f" strokecolor="red" strokeweight="1.25pt">
                <w10:wrap anchorx="margin"/>
              </v:rect>
            </w:pict>
          </mc:Fallback>
        </mc:AlternateContent>
      </w:r>
      <w:r>
        <w:rPr>
          <w:noProof/>
          <w:lang w:val="es-MX" w:eastAsia="es-MX"/>
        </w:rPr>
        <w:drawing>
          <wp:inline distT="0" distB="0" distL="0" distR="0" wp14:anchorId="2D89F65F" wp14:editId="66396611">
            <wp:extent cx="4716058" cy="6200775"/>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harpenSoften amount="25000"/>
                              </a14:imgEffect>
                            </a14:imgLayer>
                          </a14:imgProps>
                        </a:ext>
                      </a:extLst>
                    </a:blip>
                    <a:stretch>
                      <a:fillRect/>
                    </a:stretch>
                  </pic:blipFill>
                  <pic:spPr>
                    <a:xfrm>
                      <a:off x="0" y="0"/>
                      <a:ext cx="4726749" cy="6214832"/>
                    </a:xfrm>
                    <a:prstGeom prst="rect">
                      <a:avLst/>
                    </a:prstGeom>
                  </pic:spPr>
                </pic:pic>
              </a:graphicData>
            </a:graphic>
          </wp:inline>
        </w:drawing>
      </w:r>
    </w:p>
    <w:p w14:paraId="483FFEAA" w14:textId="7EAD69DF" w:rsidR="00756293" w:rsidRPr="00F379B2" w:rsidRDefault="00FE6A59" w:rsidP="002E368F">
      <w:pPr>
        <w:pStyle w:val="PRIMERAPLANA"/>
        <w:spacing w:line="360" w:lineRule="auto"/>
        <w:rPr>
          <w:rFonts w:ascii="Times New Roman" w:hAnsi="Times New Roman"/>
          <w:b/>
          <w:bCs/>
          <w:sz w:val="10"/>
          <w:szCs w:val="24"/>
          <w:lang w:val="es-ES"/>
        </w:rPr>
      </w:pPr>
      <w:r w:rsidRPr="00F379B2">
        <w:rPr>
          <w:rFonts w:ascii="Times New Roman" w:hAnsi="Times New Roman"/>
          <w:b/>
          <w:bCs/>
          <w:sz w:val="10"/>
          <w:szCs w:val="24"/>
          <w:lang w:val="es-ES"/>
        </w:rPr>
        <w:t>Fuente: Fondo Monetario Internacional</w:t>
      </w:r>
    </w:p>
    <w:p w14:paraId="635D6D17" w14:textId="3700A893" w:rsidR="002A56DE" w:rsidRPr="00F379B2" w:rsidRDefault="007551C2" w:rsidP="00FD71AE">
      <w:pPr>
        <w:numPr>
          <w:ilvl w:val="0"/>
          <w:numId w:val="8"/>
        </w:numPr>
        <w:spacing w:line="360" w:lineRule="auto"/>
        <w:ind w:left="567" w:hanging="567"/>
        <w:jc w:val="both"/>
        <w:rPr>
          <w:b/>
          <w:bCs/>
          <w:sz w:val="20"/>
          <w:szCs w:val="20"/>
        </w:rPr>
      </w:pPr>
      <w:r w:rsidRPr="00F379B2">
        <w:rPr>
          <w:b/>
          <w:bCs/>
          <w:sz w:val="20"/>
          <w:szCs w:val="20"/>
        </w:rPr>
        <w:lastRenderedPageBreak/>
        <w:t>ENTORNO NACIONAL</w:t>
      </w:r>
    </w:p>
    <w:p w14:paraId="122EF8FB" w14:textId="45E37810" w:rsidR="0033436D" w:rsidRPr="00F379B2" w:rsidRDefault="0033436D" w:rsidP="00992F99">
      <w:pPr>
        <w:pStyle w:val="PRIMERAPLANA"/>
        <w:spacing w:line="360" w:lineRule="auto"/>
        <w:rPr>
          <w:rFonts w:ascii="Times New Roman" w:hAnsi="Times New Roman"/>
          <w:bCs/>
          <w:lang w:val="es-ES"/>
        </w:rPr>
      </w:pPr>
    </w:p>
    <w:p w14:paraId="7700F54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Durante el primer semestre del año, el desempeño de la actividad económica en México sorprendió al alza al aumentar 1.8% respecto al semestre previo, ligando así tres trimestres consecutivos de expansiones. Lo anterior, deriva, en parte, de la fortaleza del mercado interno, el cual fue impulsado por el dinamismo del empleo, la recuperación del turismo a nivel nacional y los avances observados en la inversión fija bruta y en el consumo privado.  </w:t>
      </w:r>
    </w:p>
    <w:p w14:paraId="7ACDA2DD" w14:textId="77777777" w:rsidR="009274F7" w:rsidRPr="009274F7" w:rsidRDefault="009274F7" w:rsidP="009274F7">
      <w:pPr>
        <w:pStyle w:val="PRIMERAPLANA"/>
        <w:spacing w:line="360" w:lineRule="auto"/>
        <w:rPr>
          <w:rFonts w:ascii="Times New Roman" w:hAnsi="Times New Roman"/>
          <w:bCs/>
          <w:lang w:val="es-ES"/>
        </w:rPr>
      </w:pPr>
    </w:p>
    <w:p w14:paraId="3DEDF9F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A su vez, la implementación de acciones oportunas por parte del Gobierno de México influyó en esta tendencia, principalmente aquellas relacionadas con la inversión en infraestructura estratégica, el fortalecimiento del consumo a través de los apoyos sociales y los esfuerzos de contención de la inflación, principalmente a través del Paquete Contra la Inflación y la Carestía (PACIC). Este desempeño resalta en el entorno económico global complejo descrito anteriormente. </w:t>
      </w:r>
    </w:p>
    <w:p w14:paraId="6D9C2291" w14:textId="77777777" w:rsidR="009274F7" w:rsidRPr="009274F7" w:rsidRDefault="009274F7" w:rsidP="009274F7">
      <w:pPr>
        <w:pStyle w:val="PRIMERAPLANA"/>
        <w:spacing w:line="360" w:lineRule="auto"/>
        <w:rPr>
          <w:rFonts w:ascii="Times New Roman" w:hAnsi="Times New Roman"/>
          <w:bCs/>
          <w:lang w:val="es-ES"/>
        </w:rPr>
      </w:pPr>
    </w:p>
    <w:p w14:paraId="19E715B4"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En términos sectoriales, en el primer semestre del año se registró un avance en las actividades secundarias y terciarias de 2.2 y 1.7%, respectivamente, en comparación con el semestre previo. Con respecto a las primeras, se registraron expansiones por cinco trimestres consecutivos, principalmente por el buen dinamismo de los sectores de las manufacturas de alimentos y bebidas, la fabricación de equipo de computación y otros aparatos electrónicos, así como la fortaleza de la fabricación de equipo de transporte y la minería. </w:t>
      </w:r>
    </w:p>
    <w:p w14:paraId="51386C23" w14:textId="77777777" w:rsidR="009274F7" w:rsidRPr="009274F7" w:rsidRDefault="009274F7" w:rsidP="009274F7">
      <w:pPr>
        <w:pStyle w:val="PRIMERAPLANA"/>
        <w:spacing w:line="360" w:lineRule="auto"/>
        <w:rPr>
          <w:rFonts w:ascii="Times New Roman" w:hAnsi="Times New Roman"/>
          <w:bCs/>
          <w:lang w:val="es-ES"/>
        </w:rPr>
      </w:pPr>
    </w:p>
    <w:p w14:paraId="7C995B12"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Por su parte, las actividades terciarias tuvieron un desempeño heterogéneo al interior de los rubros que las conforman. Por un lado, los servicios de esparcimiento, culturales y deportivos crecieron en 35.1% semestral, registrando expansiones consecutivas de ocho trimestres y superando su nivel pre-pandemia. Asimismo, algunos de los servicios ya completamente recuperados de la pandemia han continuado contribuyendo al crecimiento del PIB, al expandirse por arriba de sus variaciones históricas como el comercio al por menor y por mayor, así como los servicios de transporte y de salud que presentaron un avance de 1.7, 3.8, 8.0, y 4.3% respectivamente en el semestre.</w:t>
      </w:r>
    </w:p>
    <w:p w14:paraId="2247B202" w14:textId="77777777" w:rsidR="009274F7" w:rsidRPr="009274F7" w:rsidRDefault="009274F7" w:rsidP="009274F7">
      <w:pPr>
        <w:pStyle w:val="PRIMERAPLANA"/>
        <w:spacing w:line="360" w:lineRule="auto"/>
        <w:rPr>
          <w:rFonts w:ascii="Times New Roman" w:hAnsi="Times New Roman"/>
          <w:bCs/>
          <w:lang w:val="es-ES"/>
        </w:rPr>
      </w:pPr>
    </w:p>
    <w:p w14:paraId="3384C2E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Por el lado de la demanda agregada, los niveles de consumo privado mostraron solidez al crecer en la mayoría de los meses del primer semestre y sobrepasando su nivel pre-pandemia. Así, en los primeros seis meses del año, el consumo privado acumuló un crecimiento de 2.8%. En cuanto al desempeño </w:t>
      </w:r>
      <w:r w:rsidRPr="009274F7">
        <w:rPr>
          <w:rFonts w:ascii="Times New Roman" w:hAnsi="Times New Roman"/>
          <w:bCs/>
          <w:lang w:val="es-ES"/>
        </w:rPr>
        <w:lastRenderedPageBreak/>
        <w:t xml:space="preserve">estimado para la segunda mitad del año, se anticipa que el consumo continúe contribuyendo a la actividad económica, sobre todo ante la normalización del consumo de servicios intensivos en contacto personal, la recuperación de la cartera de crédito a los hogares y el incremento de la masa salarial en términos reales que, en el periodo enero a junio, aumentaron en 3.6 y 3.0% anual, respectivamente. </w:t>
      </w:r>
    </w:p>
    <w:p w14:paraId="0736F3E4" w14:textId="77777777" w:rsidR="009274F7" w:rsidRPr="009274F7" w:rsidRDefault="009274F7" w:rsidP="009274F7">
      <w:pPr>
        <w:pStyle w:val="PRIMERAPLANA"/>
        <w:spacing w:line="360" w:lineRule="auto"/>
        <w:rPr>
          <w:rFonts w:ascii="Times New Roman" w:hAnsi="Times New Roman"/>
          <w:bCs/>
          <w:lang w:val="es-ES"/>
        </w:rPr>
      </w:pPr>
    </w:p>
    <w:p w14:paraId="6237139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Asimismo, la inversión fija bruta registró un crecimiento de 4.5% en el acumulado entre enero y junio, tendencia que le permitió superar su nivel pre-pandemia desde marzo. Hacia el segundo semestre de 2022, se espera que el desempeño de este indicador continúe dados los volúmenes observados de las importaciones de capital, así como por la relocalización de empresas, el crecimiento del comercio electrónico, los productos agroindustriales y la minería no petrolera. Aunado a lo anterior, la inversión pública en infraestructura seguirá influyendo positivamente en el componente de construcción no residencial, principalmente en las entidades del sur de nuestro país.</w:t>
      </w:r>
    </w:p>
    <w:p w14:paraId="75F89187" w14:textId="77777777" w:rsidR="009274F7" w:rsidRPr="009274F7" w:rsidRDefault="009274F7" w:rsidP="009274F7">
      <w:pPr>
        <w:pStyle w:val="PRIMERAPLANA"/>
        <w:spacing w:line="360" w:lineRule="auto"/>
        <w:rPr>
          <w:rFonts w:ascii="Times New Roman" w:hAnsi="Times New Roman"/>
          <w:bCs/>
          <w:lang w:val="es-ES"/>
        </w:rPr>
      </w:pPr>
    </w:p>
    <w:p w14:paraId="5BF3CEE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materia de empleo, durante el primer semestre del año, los principales indicadores continuaron mostrando solidez, alcanzando niveles máximos desde que se tiene registro. Con cifras de la Encuesta Nacional de Ocupación y Empleo (ENOE), de enero a julio de 2022, la población ocupada aumentó en 2.6 millones respecto al mismo periodo del año previo, incremento mayor al promedio de 916 mil empleos registrados en el periodo de 2011 a 2019. Con relación a los salarios, éstos han registrado revisiones al alza en lo que va del año, lo que ha permitido mantener el poder adquisitivo real de los hogares a pesar de los niveles de inflación. Específicamente, al mes de julio los salarios registrados en el IMSS tuvieron un aumento anual de 11.5% por lo que, descontando la inflación, presentaron un crecimiento de 3.1% real.</w:t>
      </w:r>
    </w:p>
    <w:p w14:paraId="3355F659" w14:textId="77777777" w:rsidR="009274F7" w:rsidRPr="009274F7" w:rsidRDefault="009274F7" w:rsidP="009274F7">
      <w:pPr>
        <w:pStyle w:val="PRIMERAPLANA"/>
        <w:spacing w:line="360" w:lineRule="auto"/>
        <w:rPr>
          <w:rFonts w:ascii="Times New Roman" w:hAnsi="Times New Roman"/>
          <w:bCs/>
          <w:lang w:val="es-ES"/>
        </w:rPr>
      </w:pPr>
    </w:p>
    <w:p w14:paraId="03D87A2B"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demanda interna seguirá fortalecida por el consumo privado, el empleo y la inversión, factores que se han visto beneficiados por las políticas públicas implementadas desde el inicio de la administración, tales como la recuperación del salario mínimo en 63.9% desde diciembre de 2018 a julio de 2022, la reforma laboral en materia de subcontratación, que permitió la migración de tres millones de trabajadores a un esquema con seguridad social, y la recuperación del derecho de reparto de utilidades con lo cual aumentaron los ingresos de los trabajadores en 100 mil millones de pesos en 2022.</w:t>
      </w:r>
    </w:p>
    <w:p w14:paraId="22D38230" w14:textId="77777777" w:rsidR="009274F7" w:rsidRPr="009274F7" w:rsidRDefault="009274F7" w:rsidP="009274F7">
      <w:pPr>
        <w:pStyle w:val="PRIMERAPLANA"/>
        <w:spacing w:line="360" w:lineRule="auto"/>
        <w:rPr>
          <w:rFonts w:ascii="Times New Roman" w:hAnsi="Times New Roman"/>
          <w:bCs/>
          <w:lang w:val="es-ES"/>
        </w:rPr>
      </w:pPr>
    </w:p>
    <w:p w14:paraId="2736389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El sector externo presentó resultados positivos durante los primeros siete meses del año, impulsado por el fortalecimiento del mercado doméstico y por la dinámica de la producción industrial de EE.UU. </w:t>
      </w:r>
      <w:r w:rsidRPr="009274F7">
        <w:rPr>
          <w:rFonts w:ascii="Times New Roman" w:hAnsi="Times New Roman"/>
          <w:bCs/>
          <w:lang w:val="es-ES"/>
        </w:rPr>
        <w:lastRenderedPageBreak/>
        <w:t xml:space="preserve">El valor de las exportaciones totales registró un incremento anual de 18.0% como resultado del avance del valor de las exportaciones petroleras (55.5%) y las manufactureras no automotrices (18.9%). A su vez, las exportaciones agropecuarias aumentaron en 9.8%. Aunado a lo anterior, el valor de las importaciones totales tuvo un crecimiento de 23.7% respecto al mismo periodo del año anterior, por la recuperación de la demanda interna y los mayores precios de las materias primas. </w:t>
      </w:r>
    </w:p>
    <w:p w14:paraId="6626BC52" w14:textId="77777777" w:rsidR="009274F7" w:rsidRPr="009274F7" w:rsidRDefault="009274F7" w:rsidP="009274F7">
      <w:pPr>
        <w:pStyle w:val="PRIMERAPLANA"/>
        <w:spacing w:line="360" w:lineRule="auto"/>
        <w:rPr>
          <w:rFonts w:ascii="Times New Roman" w:hAnsi="Times New Roman"/>
          <w:bCs/>
          <w:lang w:val="es-ES"/>
        </w:rPr>
      </w:pPr>
    </w:p>
    <w:p w14:paraId="77137518"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Respecto a la inversión extranjera directa (IED), en el primer semestre de 2022 y como reflejo de la confianza de los inversionistas extranjeros por invertir en el país, hubo un incremento de la IED de 12.0% equivalente a 2.2 mil millones de dólares (cifras preliminares sin considerar la reestructura de Aeroméxico y la fusión de Televisa y Univisión). Destacó también que las nuevas inversiones alcanzaron máximos históricos durante el mismo periodo, lo cual es un indicio de que continúa fortaleciéndose el apetito por invertir en México.</w:t>
      </w:r>
    </w:p>
    <w:p w14:paraId="40801BB8" w14:textId="77777777" w:rsidR="009274F7" w:rsidRPr="009274F7" w:rsidRDefault="009274F7" w:rsidP="009274F7">
      <w:pPr>
        <w:pStyle w:val="PRIMERAPLANA"/>
        <w:spacing w:line="360" w:lineRule="auto"/>
        <w:rPr>
          <w:rFonts w:ascii="Times New Roman" w:hAnsi="Times New Roman"/>
          <w:bCs/>
          <w:lang w:val="es-ES"/>
        </w:rPr>
      </w:pPr>
    </w:p>
    <w:p w14:paraId="0DB44161"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materia de precios, México ha tenido un mejor desempeño que otros países de América Latina y de la OCDE. En línea con lo que sucede en el resto del mundo, la inflación se mantuvo presionada y por arriba de la meta del Banco de México. Sin embargo, los niveles de inflación son menores a los del promedio de los países de la OCDE, la Unión Europea y EE.UU. El Gobierno de México es consciente de la situación que viven las familias mexicanas, sobre todo las de más bajos ingresos, por lo que se implementó un programa de contención de la inflación en apoyo a las familias mexicanas y seguirá proponiendo políticas públicas en apoyo a los hogares.</w:t>
      </w:r>
    </w:p>
    <w:p w14:paraId="573CF06B" w14:textId="77777777" w:rsidR="009274F7" w:rsidRPr="009274F7" w:rsidRDefault="009274F7" w:rsidP="009274F7">
      <w:pPr>
        <w:pStyle w:val="PRIMERAPLANA"/>
        <w:spacing w:line="360" w:lineRule="auto"/>
        <w:rPr>
          <w:rFonts w:ascii="Times New Roman" w:hAnsi="Times New Roman"/>
          <w:bCs/>
          <w:lang w:val="es-ES"/>
        </w:rPr>
      </w:pPr>
    </w:p>
    <w:p w14:paraId="57E00BF7"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El sistema financiero mexicano mantiene una posición sólida. En materia de crédito, con un alto índice de capitalización por encima de los estándares internacionales y un bajo índice de morosidad, la banca comercial, en julio, registró una tasa real anual positiva de 2.2% en el crédito otorgado al sector privado no financiero, su segundo aumento en 22 meses. Asimismo, el tipo de cambio con respecto al dólar registró una apreciación de 1.9% con respecto al promedio de 2021 y el promedio observado durante el primer semestre de la volatilidad implícita a un mes fue de 11.3%, equivalente a 2.6 pp por debajo de lo observado en el mismo periodo del año previo.</w:t>
      </w:r>
    </w:p>
    <w:p w14:paraId="4937ED6E" w14:textId="77777777" w:rsidR="009274F7" w:rsidRPr="009274F7" w:rsidRDefault="009274F7" w:rsidP="009274F7">
      <w:pPr>
        <w:pStyle w:val="PRIMERAPLANA"/>
        <w:spacing w:line="360" w:lineRule="auto"/>
        <w:rPr>
          <w:rFonts w:ascii="Times New Roman" w:hAnsi="Times New Roman"/>
          <w:bCs/>
          <w:lang w:val="es-ES"/>
        </w:rPr>
      </w:pPr>
    </w:p>
    <w:p w14:paraId="019C619E"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Hacia 2023, México seguirá creciendo y consolidando su transformación económica. El crecimiento del país estará basado en la inversión estratégica en infraestructura que se ha estado llevando a cabo en la región sur-sureste del país desde 2019, con lo cual se espera incrementar el crecimiento </w:t>
      </w:r>
      <w:r w:rsidRPr="009274F7">
        <w:rPr>
          <w:rFonts w:ascii="Times New Roman" w:hAnsi="Times New Roman"/>
          <w:bCs/>
          <w:lang w:val="es-ES"/>
        </w:rPr>
        <w:lastRenderedPageBreak/>
        <w:t xml:space="preserve">económico promedio de la región, lo cual a su vez abona a la contabilidad de crecimiento nacional. Los proyectos insignia se encuentran ya iniciando su fase de conclusión y han empezado a generar efectos positivos sobre el empleo, el crecimiento regional y el combate a la pobreza. En este sentido, se estima que, mediante los proyectos del Corredor Interoceánico del Istmo de Tehuantepec y el Tren Maya, casi 6 millones de habitantes del sur-sureste del país se verán beneficiados directamente mediante la transformación económica regional que generarán dichos proyectos en sus comunidades. Estos proyectos permitirán conectar el nuevo enclave industrial y turístico del sureste con el resto de la República ya que actualmente, la relocalización de empresas se está materializando en los enclaves manufactureros y logísticos del norte y centro del país. Para potenciar estas inversiones, se está negociando y movilizando un paquete de financiamiento para facilitar la inversión privada en el sureste. De esta forma, más de 1.3 millones de empresas podrán, por primera vez, tener acceso a la red comercial nacional e internacional, que incluye el fortalecimiento de la red portuaria, así como de la infraestructura de carreteras, fibra óptica y caminos rurales.  </w:t>
      </w:r>
    </w:p>
    <w:p w14:paraId="675996E7" w14:textId="77777777" w:rsidR="009274F7" w:rsidRPr="009274F7" w:rsidRDefault="009274F7" w:rsidP="009274F7">
      <w:pPr>
        <w:pStyle w:val="PRIMERAPLANA"/>
        <w:spacing w:line="360" w:lineRule="auto"/>
        <w:rPr>
          <w:rFonts w:ascii="Times New Roman" w:hAnsi="Times New Roman"/>
          <w:bCs/>
          <w:lang w:val="es-ES"/>
        </w:rPr>
      </w:pPr>
    </w:p>
    <w:p w14:paraId="72FF1813"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Un elemento que continuará contribuyendo de manera activa al crecimiento de la economía nacional son las perspectivas de relocalización de cadenas de valor de Asia hacia América, lo cual impulsará la inversión y el sector exportador del país. La economía mexicana, mediante su robusta red de tratados comerciales y sus múltiples ventajas comparativas geográficas, demográficas y económicas, será el mayor beneficiado de la región de América Latina y el Caribe.  </w:t>
      </w:r>
    </w:p>
    <w:p w14:paraId="3F4B7562" w14:textId="77777777" w:rsidR="009274F7" w:rsidRPr="009274F7" w:rsidRDefault="009274F7" w:rsidP="009274F7">
      <w:pPr>
        <w:pStyle w:val="PRIMERAPLANA"/>
        <w:spacing w:line="360" w:lineRule="auto"/>
        <w:rPr>
          <w:rFonts w:ascii="Times New Roman" w:hAnsi="Times New Roman"/>
          <w:bCs/>
          <w:lang w:val="es-ES"/>
        </w:rPr>
      </w:pPr>
    </w:p>
    <w:p w14:paraId="4CE2FA68" w14:textId="5D489774"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este contexto, dentro de las variables clave del marco macroeconómico, se prevé que la inflación convergerá al objetivo del banco central como resultado de las distintas medidas en materia fiscal y monetaria, como son el PACIC y los incrementos de tasa de interés realizados por el banco central. Se prevé además la reducción de las presiones internacionales, particularmente en los precios de materias primas como el trigo, el maíz y el petróleo. De este modo, se espera que la inflación cierre 2023 en 3.2%, en línea con lo estimado por el banco central.  Dentro de las variables clave del marco macroeconómico, se prevé que la inflación convergerá al objetivo del banco central como resultado de las distintas medidas en materia fiscal y monetaria, como son el PACIC y los incrementos de tasa de inte</w:t>
      </w:r>
      <w:r w:rsidR="000A311E">
        <w:rPr>
          <w:rFonts w:ascii="Times New Roman" w:hAnsi="Times New Roman"/>
          <w:bCs/>
          <w:lang w:val="es-ES"/>
        </w:rPr>
        <w:t>rés hechos por el banco central,</w:t>
      </w:r>
      <w:r w:rsidRPr="009274F7">
        <w:rPr>
          <w:rFonts w:ascii="Times New Roman" w:hAnsi="Times New Roman"/>
          <w:bCs/>
          <w:lang w:val="es-ES"/>
        </w:rPr>
        <w:t xml:space="preserve"> la tasa de interés alcance un nivel de 8.5% al cierre de 2023, el cual contrasta con lo estimado previamente en los CGPE 2022, donde se preveía una tasa de 5.3%. En el caso del tipo de cambio, se estima que alcance un nivel de 20.6 pesos por dólar al cierre del año. Se estima un precio de la mezcla mexicana de crudo de exportación de 68.7 dpb, en línea con la </w:t>
      </w:r>
      <w:r w:rsidRPr="009274F7">
        <w:rPr>
          <w:rFonts w:ascii="Times New Roman" w:hAnsi="Times New Roman"/>
          <w:bCs/>
          <w:lang w:val="es-ES"/>
        </w:rPr>
        <w:lastRenderedPageBreak/>
        <w:t>metodología establecida en los artículos 31 de la Ley Federal de Presupuesto y Responsabilidad Hacendaria (LFPRH) y 15 de su Reglamento. En cuanto a la producción del hidrocarburo, se prevé que la plataforma para el próximo ejercicio fiscal ascienda a 1,872 mbd. El pronóstico se basa en un escenario conservador de la producción de Pemex y las proyecciones de las empresas privadas. El PIB y la producción industrial de los EE.UU; en particular esta última es la variable que está más correlacionada con el PIB de México. Respecto a la producción industrial, se anticipa un crecimiento de 2.3% anual, del PIB se prevé un crecimiento de 1.8% anual, inferior en 0.3 pp a lo previsto en el Paquete Económico de 2022.</w:t>
      </w:r>
    </w:p>
    <w:p w14:paraId="3AAD3E66" w14:textId="77777777" w:rsidR="009274F7" w:rsidRPr="009274F7" w:rsidRDefault="009274F7" w:rsidP="009274F7">
      <w:pPr>
        <w:pStyle w:val="PRIMERAPLANA"/>
        <w:spacing w:line="360" w:lineRule="auto"/>
        <w:rPr>
          <w:rFonts w:ascii="Times New Roman" w:hAnsi="Times New Roman"/>
          <w:bCs/>
          <w:lang w:val="es-ES"/>
        </w:rPr>
      </w:pPr>
    </w:p>
    <w:p w14:paraId="233FA7FF"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2023, el Gobierno de México continuará manteniendo la solidez en su posición financiera a través de una política que busca mantener estables los niveles de deuda sin comprometer los recursos destinados a fomentar una economía más justa, social y equitativa. Para mantener este objetivo, el Paquete Económico 2023 está en línea con un nivel de deuda como proporción del PIB de 49.4%. Se estima que el costo financiero del Sector Público para 2023 se incremente 36.3% con respecto al monto aprobado para 2022. Por lo anterior, en los CGPE 2023 se propone un nivel del balance público de 3.6% del PIB, dato que respalda la estimación de los RFSP se ubique en 4.1% del PIB y, por su parte, el balance primario alcance un déficit de 0.2% del PIB.</w:t>
      </w:r>
    </w:p>
    <w:p w14:paraId="5C1CAC6A" w14:textId="77777777" w:rsidR="009274F7" w:rsidRPr="009274F7" w:rsidRDefault="009274F7" w:rsidP="009274F7">
      <w:pPr>
        <w:pStyle w:val="PRIMERAPLANA"/>
        <w:spacing w:line="360" w:lineRule="auto"/>
        <w:rPr>
          <w:rFonts w:ascii="Times New Roman" w:hAnsi="Times New Roman"/>
          <w:bCs/>
          <w:lang w:val="es-ES"/>
        </w:rPr>
      </w:pPr>
    </w:p>
    <w:p w14:paraId="530F42F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Para el presupuesto de 2023 los ingresos tributarios del Gobierno Federal se ubicarán en 4.6 billones de pesos, lo que representa un aumento en los ingresos de 1.7 pp del PIB en relación con lo observado en 2018.</w:t>
      </w:r>
    </w:p>
    <w:p w14:paraId="0B89ADA5" w14:textId="77777777" w:rsidR="009274F7" w:rsidRPr="009274F7" w:rsidRDefault="009274F7" w:rsidP="009274F7">
      <w:pPr>
        <w:pStyle w:val="PRIMERAPLANA"/>
        <w:spacing w:line="360" w:lineRule="auto"/>
        <w:rPr>
          <w:rFonts w:ascii="Times New Roman" w:hAnsi="Times New Roman"/>
          <w:bCs/>
          <w:lang w:val="es-ES"/>
        </w:rPr>
      </w:pPr>
    </w:p>
    <w:p w14:paraId="3BD73C3A"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cuanto a la política de gasto, el PPEF 2023 continuará otorgando suficiencia presupuestaria a los proyectos y programas de bienestar que el Gobierno de México ha impulsado con el objetivo de mejorar la situación económica de la población más pobre del país, ya sea a través de apoyos directos a los sectores vulnerables o también vía mayor gasto en inversión productiva que estimule la actividad económica de las regiones más rezagadas.</w:t>
      </w:r>
    </w:p>
    <w:p w14:paraId="4B2E5A22" w14:textId="77777777" w:rsidR="009274F7" w:rsidRPr="009274F7" w:rsidRDefault="009274F7" w:rsidP="009274F7">
      <w:pPr>
        <w:pStyle w:val="PRIMERAPLANA"/>
        <w:spacing w:line="360" w:lineRule="auto"/>
        <w:rPr>
          <w:rFonts w:ascii="Times New Roman" w:hAnsi="Times New Roman"/>
          <w:bCs/>
          <w:lang w:val="es-ES"/>
        </w:rPr>
      </w:pPr>
    </w:p>
    <w:p w14:paraId="4C4494C1"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El PPEF 2023 propone un gasto en desarrollo social de 3.9 billones de pesos, lo que implica un crecimiento real de 9.1% con relación al monto aprobado para 2022. Al interior, destaca un incremento de 4.0% en el gasto propuesto en salud, así como un aumento anual de 12.7% en el gasto en protección social, con lo cual este rubro seguirá alcanzando máximos históricos en beneficio de las mayorías. En </w:t>
      </w:r>
      <w:r w:rsidRPr="009274F7">
        <w:rPr>
          <w:rFonts w:ascii="Times New Roman" w:hAnsi="Times New Roman"/>
          <w:bCs/>
          <w:lang w:val="es-ES"/>
        </w:rPr>
        <w:lastRenderedPageBreak/>
        <w:t>materia de infraestructura, destaca el aumento propuesto de 15.6% real en el gasto de inversión con relación al monto aprobado para 2022. De manera específica, se proponen incrementos de 21.7 y 9.9% con relación al presupuesto aprobado en 2022 en inversión física y subsidios de inversión para entidades federativas, respectivamente. Con esto, se busca consolidar el avance y la conclusión oportuna de los proyectos de infraestructura estratégica en aquellas zonas del país con mayor potencial o, en su caso, con necesidades más apremiantes. El principal objetivo de la política de deuda será mantener el porcentaje de la deuda respecto al PIB estabilizado alrededor del 50% y mantener el estricto apego a los techos de endeudamiento autorizados por el H. Congreso de la Unión.</w:t>
      </w:r>
    </w:p>
    <w:p w14:paraId="7E0B981C" w14:textId="77777777" w:rsidR="009274F7" w:rsidRPr="009274F7" w:rsidRDefault="009274F7" w:rsidP="009274F7">
      <w:pPr>
        <w:pStyle w:val="PRIMERAPLANA"/>
        <w:spacing w:line="360" w:lineRule="auto"/>
        <w:rPr>
          <w:rFonts w:ascii="Times New Roman" w:hAnsi="Times New Roman"/>
          <w:bCs/>
          <w:lang w:val="es-ES"/>
        </w:rPr>
      </w:pPr>
    </w:p>
    <w:p w14:paraId="51E738CC" w14:textId="1DD76EDF" w:rsidR="00B84D1E" w:rsidRPr="00F379B2"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A continuación, se muestran las estimaciones de finanzas públicas para el periodo 2022-2023</w:t>
      </w:r>
      <w:r w:rsidR="00833450" w:rsidRPr="00F379B2">
        <w:rPr>
          <w:rFonts w:ascii="Times New Roman" w:hAnsi="Times New Roman"/>
          <w:bCs/>
          <w:lang w:val="es-ES"/>
        </w:rPr>
        <w:t>.</w:t>
      </w:r>
    </w:p>
    <w:p w14:paraId="762BDD66" w14:textId="408C9558" w:rsidR="00B84D1E" w:rsidRDefault="005E7F98" w:rsidP="005E7F98">
      <w:pPr>
        <w:pStyle w:val="PRIMERAPLANA"/>
        <w:spacing w:line="360" w:lineRule="auto"/>
        <w:jc w:val="center"/>
        <w:rPr>
          <w:rFonts w:cs="Arial"/>
          <w:bCs/>
          <w:sz w:val="24"/>
          <w:szCs w:val="24"/>
          <w:lang w:val="es-ES"/>
        </w:rPr>
      </w:pPr>
      <w:r w:rsidRPr="00122114">
        <w:rPr>
          <w:rFonts w:cs="Arial"/>
          <w:bCs/>
          <w:noProof/>
          <w:sz w:val="24"/>
          <w:szCs w:val="24"/>
          <w:lang w:val="es-MX" w:eastAsia="es-MX"/>
        </w:rPr>
        <w:drawing>
          <wp:inline distT="0" distB="0" distL="0" distR="0" wp14:anchorId="6C4A37B1" wp14:editId="43A122DA">
            <wp:extent cx="3943350" cy="2931301"/>
            <wp:effectExtent l="0" t="0" r="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l="26554" t="27369" r="25561" b="9345"/>
                    <a:stretch/>
                  </pic:blipFill>
                  <pic:spPr bwMode="auto">
                    <a:xfrm>
                      <a:off x="0" y="0"/>
                      <a:ext cx="3976666" cy="2956066"/>
                    </a:xfrm>
                    <a:prstGeom prst="rect">
                      <a:avLst/>
                    </a:prstGeom>
                    <a:ln>
                      <a:noFill/>
                    </a:ln>
                    <a:extLst>
                      <a:ext uri="{53640926-AAD7-44D8-BBD7-CCE9431645EC}">
                        <a14:shadowObscured xmlns:a14="http://schemas.microsoft.com/office/drawing/2010/main"/>
                      </a:ext>
                    </a:extLst>
                  </pic:spPr>
                </pic:pic>
              </a:graphicData>
            </a:graphic>
          </wp:inline>
        </w:drawing>
      </w:r>
    </w:p>
    <w:p w14:paraId="5C65D953" w14:textId="77777777" w:rsidR="00B84D1E" w:rsidRDefault="00B84D1E" w:rsidP="0094360C">
      <w:pPr>
        <w:pStyle w:val="PRIMERAPLANA"/>
        <w:spacing w:line="360" w:lineRule="auto"/>
        <w:rPr>
          <w:rFonts w:cs="Arial"/>
          <w:bCs/>
          <w:sz w:val="24"/>
          <w:szCs w:val="24"/>
          <w:lang w:val="es-ES"/>
        </w:rPr>
      </w:pPr>
    </w:p>
    <w:p w14:paraId="7F5528E2" w14:textId="5788438C" w:rsidR="00F7473D" w:rsidRPr="00D86289" w:rsidRDefault="009274F7" w:rsidP="00F7473D">
      <w:pPr>
        <w:pStyle w:val="PRIMERAPLANA"/>
        <w:spacing w:line="360" w:lineRule="auto"/>
        <w:rPr>
          <w:rFonts w:ascii="Times New Roman" w:hAnsi="Times New Roman"/>
          <w:bCs/>
          <w:lang w:val="es-ES"/>
        </w:rPr>
      </w:pPr>
      <w:r w:rsidRPr="009274F7">
        <w:rPr>
          <w:rFonts w:ascii="Times New Roman" w:hAnsi="Times New Roman"/>
          <w:bCs/>
          <w:lang w:val="es-ES"/>
        </w:rPr>
        <w:t xml:space="preserve">El PPEF 2023 es un proyecto que promueve el federalismo hacendario. En efecto, los recursos destinados a las haciendas locales se estiman en 2,432.8 mil millones de pesos, lo que representa un incremento real de 9.9% con relación a lo aprobado en 2022. También vale la pena mencionar que, del total de recursos para los gobiernos de las entidades federativas, 50.2% corresponde a participaciones, 41.0% a aportaciones federales y el 8.8% restante se destina a otros conceptos. De esta forma, el proyecto de presupuesto para 2023 contribuye al fortalecimiento de las capacidades de los estados de la república para atender sus obligaciones institucionales, tales como impulsar acciones </w:t>
      </w:r>
      <w:r w:rsidRPr="009274F7">
        <w:rPr>
          <w:rFonts w:ascii="Times New Roman" w:hAnsi="Times New Roman"/>
          <w:bCs/>
          <w:lang w:val="es-ES"/>
        </w:rPr>
        <w:lastRenderedPageBreak/>
        <w:t>relacionadas con la educación, la salud, la infraestructura social, la seguridad pública y el fortalecimiento financiero de las entidades federativas y de los municipios y alcaldías, entre otros destinos</w:t>
      </w:r>
      <w:r w:rsidR="00D936E8" w:rsidRPr="00D86289">
        <w:rPr>
          <w:rFonts w:ascii="Times New Roman" w:hAnsi="Times New Roman"/>
          <w:bCs/>
          <w:lang w:val="es-ES"/>
        </w:rPr>
        <w:t>.</w:t>
      </w:r>
    </w:p>
    <w:p w14:paraId="734272F4" w14:textId="6CD0E39B" w:rsidR="00F7473D" w:rsidRDefault="005E7F98" w:rsidP="005E7F98">
      <w:pPr>
        <w:pStyle w:val="PRIMERAPLANA"/>
        <w:spacing w:line="360" w:lineRule="auto"/>
        <w:jc w:val="center"/>
        <w:rPr>
          <w:rFonts w:cs="Arial"/>
          <w:bCs/>
          <w:sz w:val="24"/>
          <w:szCs w:val="24"/>
          <w:lang w:val="es-ES"/>
        </w:rPr>
      </w:pPr>
      <w:r>
        <w:rPr>
          <w:noProof/>
          <w:lang w:val="es-MX" w:eastAsia="es-MX"/>
        </w:rPr>
        <w:drawing>
          <wp:inline distT="0" distB="0" distL="0" distR="0" wp14:anchorId="24B8AE24" wp14:editId="490D491D">
            <wp:extent cx="4124325" cy="168191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30728" t="36277" r="29345" b="34774"/>
                    <a:stretch/>
                  </pic:blipFill>
                  <pic:spPr bwMode="auto">
                    <a:xfrm>
                      <a:off x="0" y="0"/>
                      <a:ext cx="4163494" cy="1697883"/>
                    </a:xfrm>
                    <a:prstGeom prst="rect">
                      <a:avLst/>
                    </a:prstGeom>
                    <a:ln>
                      <a:noFill/>
                    </a:ln>
                    <a:extLst>
                      <a:ext uri="{53640926-AAD7-44D8-BBD7-CCE9431645EC}">
                        <a14:shadowObscured xmlns:a14="http://schemas.microsoft.com/office/drawing/2010/main"/>
                      </a:ext>
                    </a:extLst>
                  </pic:spPr>
                </pic:pic>
              </a:graphicData>
            </a:graphic>
          </wp:inline>
        </w:drawing>
      </w:r>
    </w:p>
    <w:p w14:paraId="4A688B49" w14:textId="77777777" w:rsidR="00D936E8" w:rsidRDefault="00D936E8" w:rsidP="00D936E8">
      <w:pPr>
        <w:pStyle w:val="PRIMERAPLANA"/>
        <w:spacing w:line="360" w:lineRule="auto"/>
        <w:rPr>
          <w:rFonts w:cs="Arial"/>
          <w:bCs/>
          <w:sz w:val="24"/>
          <w:szCs w:val="24"/>
          <w:lang w:val="es-ES"/>
        </w:rPr>
      </w:pPr>
    </w:p>
    <w:p w14:paraId="630B4B3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Se estima que en el periodo 2024-2028, el PIB de México registrará un crecimiento real anual de entre 1.9 y 2.9%. De manera puntual, se proyecta una expansión de 2.4% para el periodo en cuestión. Estas estimaciones se encuentran en línea con las estimaciones del PIB potencial establecidas en el art. 11C del Reglamento de la LFPRH, aunque ligeramente por arriba de lo publicado en la encuesta de expectativas del sector privado del 1 de julio de 2022 que realizó el Banco de México, en donde la mediana del pronóstico del PIB para los próximos diez años es de 2.0%. En materia de precios se estima que la inflación se ubicará en la meta establecida por el Banco de México de 3.0% durante el periodo 2024-2028. Al considerar dichas proyecciones, se asume que continuará la disminución gradual de la tasa de Cetes a 28 días hasta situarse en 5.5% en 2026.</w:t>
      </w:r>
    </w:p>
    <w:p w14:paraId="435151E0" w14:textId="77777777" w:rsidR="009274F7" w:rsidRPr="009274F7" w:rsidRDefault="009274F7" w:rsidP="009274F7">
      <w:pPr>
        <w:pStyle w:val="PRIMERAPLANA"/>
        <w:spacing w:line="360" w:lineRule="auto"/>
        <w:rPr>
          <w:rFonts w:ascii="Times New Roman" w:hAnsi="Times New Roman"/>
          <w:bCs/>
          <w:lang w:val="es-ES"/>
        </w:rPr>
      </w:pPr>
    </w:p>
    <w:p w14:paraId="21BED08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w:t>
      </w:r>
    </w:p>
    <w:p w14:paraId="305174F9" w14:textId="77777777" w:rsidR="009274F7" w:rsidRPr="009274F7" w:rsidRDefault="009274F7" w:rsidP="009274F7">
      <w:pPr>
        <w:pStyle w:val="PRIMERAPLANA"/>
        <w:spacing w:line="360" w:lineRule="auto"/>
        <w:rPr>
          <w:rFonts w:ascii="Times New Roman" w:hAnsi="Times New Roman"/>
          <w:bCs/>
          <w:lang w:val="es-ES"/>
        </w:rPr>
      </w:pPr>
    </w:p>
    <w:p w14:paraId="132EF09E" w14:textId="40015052" w:rsidR="005E7F98" w:rsidRDefault="009274F7" w:rsidP="009274F7">
      <w:pPr>
        <w:pStyle w:val="PRIMERAPLANA"/>
        <w:spacing w:line="360" w:lineRule="auto"/>
        <w:rPr>
          <w:rFonts w:cs="Arial"/>
          <w:bCs/>
          <w:sz w:val="24"/>
          <w:szCs w:val="24"/>
          <w:lang w:val="es-ES"/>
        </w:rPr>
      </w:pPr>
      <w:r w:rsidRPr="009274F7">
        <w:rPr>
          <w:rFonts w:ascii="Times New Roman" w:hAnsi="Times New Roman"/>
          <w:bCs/>
          <w:lang w:val="es-ES"/>
        </w:rPr>
        <w:lastRenderedPageBreak/>
        <w:t>El marco macroeconómico descrito se encuentra sujeto a riesgos que podrían modificar las trayectorias estimadas. Los riesgos a la baja y al alza se presentan a continuación</w:t>
      </w:r>
      <w:r w:rsidR="005E7F98">
        <w:rPr>
          <w:rFonts w:ascii="Times New Roman" w:hAnsi="Times New Roman"/>
          <w:bCs/>
          <w:lang w:val="es-ES"/>
        </w:rPr>
        <w:t>:</w:t>
      </w:r>
    </w:p>
    <w:p w14:paraId="274F03BA" w14:textId="18430518" w:rsidR="00FF5D75" w:rsidRDefault="005E7F98" w:rsidP="005E7F98">
      <w:pPr>
        <w:pStyle w:val="PRIMERAPLANA"/>
        <w:spacing w:line="360" w:lineRule="auto"/>
        <w:jc w:val="center"/>
        <w:rPr>
          <w:rFonts w:cs="Arial"/>
          <w:bCs/>
          <w:sz w:val="24"/>
          <w:szCs w:val="24"/>
          <w:lang w:val="es-ES"/>
        </w:rPr>
      </w:pPr>
      <w:r>
        <w:rPr>
          <w:noProof/>
          <w:lang w:val="es-MX" w:eastAsia="es-MX"/>
        </w:rPr>
        <w:drawing>
          <wp:inline distT="0" distB="0" distL="0" distR="0" wp14:anchorId="5E271986" wp14:editId="447D7571">
            <wp:extent cx="3863246" cy="2943225"/>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BEBA8EAE-BF5A-486C-A8C5-ECC9F3942E4B}">
                          <a14:imgProps xmlns:a14="http://schemas.microsoft.com/office/drawing/2010/main">
                            <a14:imgLayer r:embed="rId15">
                              <a14:imgEffect>
                                <a14:sharpenSoften amount="25000"/>
                              </a14:imgEffect>
                            </a14:imgLayer>
                          </a14:imgProps>
                        </a:ext>
                      </a:extLst>
                    </a:blip>
                    <a:srcRect l="25915" t="28532" r="25009" b="12737"/>
                    <a:stretch/>
                  </pic:blipFill>
                  <pic:spPr bwMode="auto">
                    <a:xfrm>
                      <a:off x="0" y="0"/>
                      <a:ext cx="3868417" cy="2947164"/>
                    </a:xfrm>
                    <a:prstGeom prst="rect">
                      <a:avLst/>
                    </a:prstGeom>
                    <a:ln>
                      <a:noFill/>
                    </a:ln>
                    <a:extLst>
                      <a:ext uri="{53640926-AAD7-44D8-BBD7-CCE9431645EC}">
                        <a14:shadowObscured xmlns:a14="http://schemas.microsoft.com/office/drawing/2010/main"/>
                      </a:ext>
                    </a:extLst>
                  </pic:spPr>
                </pic:pic>
              </a:graphicData>
            </a:graphic>
          </wp:inline>
        </w:drawing>
      </w:r>
    </w:p>
    <w:p w14:paraId="72A04D63" w14:textId="0AC5BBC4" w:rsidR="005E7F98" w:rsidRDefault="005E7F98" w:rsidP="005E7F98">
      <w:pPr>
        <w:pStyle w:val="PRIMERAPLANA"/>
        <w:spacing w:line="360" w:lineRule="auto"/>
        <w:jc w:val="center"/>
        <w:rPr>
          <w:rFonts w:cs="Arial"/>
          <w:bCs/>
          <w:sz w:val="24"/>
          <w:szCs w:val="24"/>
          <w:lang w:val="es-ES"/>
        </w:rPr>
      </w:pPr>
      <w:r>
        <w:rPr>
          <w:noProof/>
          <w:lang w:val="es-MX" w:eastAsia="es-MX"/>
        </w:rPr>
        <w:drawing>
          <wp:inline distT="0" distB="0" distL="0" distR="0" wp14:anchorId="5EC0F7C9" wp14:editId="70CCD20C">
            <wp:extent cx="3962400" cy="3402566"/>
            <wp:effectExtent l="0" t="0" r="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29541" t="29956" r="28855" b="17761"/>
                    <a:stretch/>
                  </pic:blipFill>
                  <pic:spPr bwMode="auto">
                    <a:xfrm>
                      <a:off x="0" y="0"/>
                      <a:ext cx="4022028" cy="3453770"/>
                    </a:xfrm>
                    <a:prstGeom prst="rect">
                      <a:avLst/>
                    </a:prstGeom>
                    <a:ln>
                      <a:noFill/>
                    </a:ln>
                    <a:extLst>
                      <a:ext uri="{53640926-AAD7-44D8-BBD7-CCE9431645EC}">
                        <a14:shadowObscured xmlns:a14="http://schemas.microsoft.com/office/drawing/2010/main"/>
                      </a:ext>
                    </a:extLst>
                  </pic:spPr>
                </pic:pic>
              </a:graphicData>
            </a:graphic>
          </wp:inline>
        </w:drawing>
      </w:r>
    </w:p>
    <w:p w14:paraId="20A8AE87" w14:textId="1B843DC8" w:rsidR="00FF5D75" w:rsidRDefault="00FF5D75" w:rsidP="00992F99">
      <w:pPr>
        <w:pStyle w:val="PRIMERAPLANA"/>
        <w:spacing w:line="360" w:lineRule="auto"/>
        <w:rPr>
          <w:rFonts w:cs="Arial"/>
          <w:bCs/>
          <w:sz w:val="24"/>
          <w:szCs w:val="24"/>
          <w:lang w:val="es-ES"/>
        </w:rPr>
      </w:pPr>
    </w:p>
    <w:p w14:paraId="0C2B2D20" w14:textId="68A8EA2C" w:rsidR="00C12F6B" w:rsidRDefault="009274F7" w:rsidP="00704F7F">
      <w:pPr>
        <w:pStyle w:val="PRIMERAPLANA"/>
        <w:spacing w:line="360" w:lineRule="auto"/>
        <w:rPr>
          <w:rFonts w:cs="Arial"/>
          <w:bCs/>
          <w:sz w:val="24"/>
          <w:szCs w:val="24"/>
          <w:lang w:val="es-ES"/>
        </w:rPr>
      </w:pPr>
      <w:r w:rsidRPr="009274F7">
        <w:rPr>
          <w:rFonts w:ascii="Times New Roman" w:hAnsi="Times New Roman"/>
          <w:bCs/>
          <w:lang w:val="es-ES"/>
        </w:rPr>
        <w:t>Las estimaciones de finanzas públicas para 2023 consideran un marco macroeconómico prudente que incorpora las perspectivas de crecimiento para el año. No obstante, es importante considerar que durante el ejercicio fiscal se pueden presentar desviaciones con respecto a lo esperado en el momento de elaborar y aprobar el Paquete Económico derivado de choques macroeconómicos no previsibles y otros factores. A continuación, se presenta un análisis de sensibilidad que estima el impacto que pudieran tener las desviaciones de las principales variables del marco macroeconómico sobre las estimaciones de ingresos y gasto presentadas en el Paquete Económico 2023. Es importante destacar que el análisis considera desviaciones individuales y no estima el impacto de desviaciones simultáneas</w:t>
      </w:r>
      <w:r w:rsidR="00704F7F" w:rsidRPr="00D86289">
        <w:rPr>
          <w:rFonts w:ascii="Times New Roman" w:hAnsi="Times New Roman"/>
          <w:bCs/>
          <w:lang w:val="es-ES"/>
        </w:rPr>
        <w:t>.</w:t>
      </w:r>
    </w:p>
    <w:p w14:paraId="7FA24767" w14:textId="1AEA9D62" w:rsidR="00C12F6B" w:rsidRDefault="005E7F98" w:rsidP="005E7F98">
      <w:pPr>
        <w:pStyle w:val="PRIMERAPLANA"/>
        <w:spacing w:line="360" w:lineRule="auto"/>
        <w:jc w:val="center"/>
        <w:rPr>
          <w:rFonts w:cs="Arial"/>
          <w:bCs/>
          <w:sz w:val="24"/>
          <w:szCs w:val="24"/>
          <w:lang w:val="es-ES"/>
        </w:rPr>
      </w:pPr>
      <w:r>
        <w:rPr>
          <w:noProof/>
          <w:lang w:val="es-MX" w:eastAsia="es-MX"/>
        </w:rPr>
        <w:drawing>
          <wp:inline distT="0" distB="0" distL="0" distR="0" wp14:anchorId="35A4813F" wp14:editId="4268E5C8">
            <wp:extent cx="3867150" cy="2886081"/>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Lst>
                    </a:blip>
                    <a:srcRect l="24997" t="25272" r="24560" b="12743"/>
                    <a:stretch/>
                  </pic:blipFill>
                  <pic:spPr bwMode="auto">
                    <a:xfrm>
                      <a:off x="0" y="0"/>
                      <a:ext cx="3873046" cy="2890481"/>
                    </a:xfrm>
                    <a:prstGeom prst="rect">
                      <a:avLst/>
                    </a:prstGeom>
                    <a:ln>
                      <a:noFill/>
                    </a:ln>
                    <a:extLst>
                      <a:ext uri="{53640926-AAD7-44D8-BBD7-CCE9431645EC}">
                        <a14:shadowObscured xmlns:a14="http://schemas.microsoft.com/office/drawing/2010/main"/>
                      </a:ext>
                    </a:extLst>
                  </pic:spPr>
                </pic:pic>
              </a:graphicData>
            </a:graphic>
          </wp:inline>
        </w:drawing>
      </w:r>
    </w:p>
    <w:p w14:paraId="7F3CCA0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El Gobierno Federal diseña e implementa las políticas económica y fiscal bajo un esquema de prevención de riesgos de corto y largo plazo con la finalidad de garantizar la estabilidad macroeconómica y la sostenibilidad de las finanzas públicas, incluso ante la presencia de escenarios con baja probabilidad de ocurrencia o de cambios estructurales que puedan generar presiones fiscales en el futuro. Entre estos riesgos se encuentran las presiones de gasto asociadas a cambios demográficos de la población que impactan los sistemas de salud y el sistema pensionario de México, así como la materialización de desastres naturales y la transición a una economía con menores emisiones de </w:t>
      </w:r>
      <w:r w:rsidRPr="009274F7">
        <w:rPr>
          <w:rFonts w:ascii="Times New Roman" w:hAnsi="Times New Roman"/>
          <w:bCs/>
          <w:lang w:val="es-ES"/>
        </w:rPr>
        <w:lastRenderedPageBreak/>
        <w:t>carbono. Dichos factores tienen el potencial de generar desajustes fiscales en un año determinado y podrían requerir cambios de política o medidas para enfrentarlos.</w:t>
      </w:r>
    </w:p>
    <w:p w14:paraId="5A1F404A" w14:textId="77777777" w:rsidR="009274F7" w:rsidRPr="009274F7" w:rsidRDefault="009274F7" w:rsidP="009274F7">
      <w:pPr>
        <w:pStyle w:val="PRIMERAPLANA"/>
        <w:spacing w:line="360" w:lineRule="auto"/>
        <w:rPr>
          <w:rFonts w:ascii="Times New Roman" w:hAnsi="Times New Roman"/>
          <w:bCs/>
          <w:lang w:val="es-ES"/>
        </w:rPr>
      </w:pPr>
    </w:p>
    <w:p w14:paraId="7BF23750"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Acorde con un escenario conservador, en la ILIF 2023 se estiman mayores ingresos petroleros por 176.6 mil millones de pesos respecto a los presupuestados en la LIF 2022, principalmente por el efecto del mayor precio y producción del petróleo utilizados para el próximo año. Sin embargo, respecto a los ingresos petroleros estimados para el cierre de 2022, los estimados para 2023 son menores en 241.0 mil millones de pesos, lo que implica una disminución anual de 15.5%. Lo anterior se debe, fundamentalmente, a que el precio del petróleo para 2023 que se obtiene a partir de la fórmula del precio de referencia, según lo establecido en los artículos 31 de la LFPRH y 15 de su reglamento, es 26.6% menor al precio promedio esperado para 2022. Dicha reducción en el precio se compensa parcialmente con un aumento en la plataforma de producción para 2023 de 2.0% respecto a la esperada para el cierre del presente año.</w:t>
      </w:r>
    </w:p>
    <w:p w14:paraId="1640EF80" w14:textId="77777777" w:rsidR="009274F7" w:rsidRPr="009274F7" w:rsidRDefault="009274F7" w:rsidP="009274F7">
      <w:pPr>
        <w:pStyle w:val="PRIMERAPLANA"/>
        <w:spacing w:line="360" w:lineRule="auto"/>
        <w:rPr>
          <w:rFonts w:ascii="Times New Roman" w:hAnsi="Times New Roman"/>
          <w:bCs/>
          <w:lang w:val="es-ES"/>
        </w:rPr>
      </w:pPr>
    </w:p>
    <w:p w14:paraId="5430C9A8" w14:textId="77777777" w:rsid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Se estima que los ingresos tributarios totales en 2023 se ubicarán en 4,620.2 mil millones de pesos y tendrán un crecimiento anual de 9.9%. Excluyendo el IEPS de gasolinas sumarán 4,341.8 mil millones pesos, con un crecimiento anual de 1.3%. Destaca que para el cierre de 2022 la estimación de crecimiento de los ingresos tributarios excluyendo el IEPS de gasolinas es de 13.2%. Este incremento en los ingresos tributarios asociados a la actividad económica está considerablemente por encima del estimado de crecimiento del PIB para este año. Esos ingresos presentan un comportamiento notable, el cual se explica por la materialización de una serie de medidas tributarias establecidas desde 2019, y mejoras en la eficiencia recaudatoria.</w:t>
      </w:r>
    </w:p>
    <w:p w14:paraId="7EA96E90" w14:textId="77777777" w:rsidR="006E10AA" w:rsidRPr="009274F7" w:rsidRDefault="006E10AA" w:rsidP="009274F7">
      <w:pPr>
        <w:pStyle w:val="PRIMERAPLANA"/>
        <w:spacing w:line="360" w:lineRule="auto"/>
        <w:rPr>
          <w:rFonts w:ascii="Times New Roman" w:hAnsi="Times New Roman"/>
          <w:bCs/>
          <w:lang w:val="es-ES"/>
        </w:rPr>
      </w:pPr>
    </w:p>
    <w:p w14:paraId="6EB508C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El ritmo de crecimiento de los ingresos tributarios en 2023 se explica en parte por ingresos no recurrentes materializados en 2022 derivados de la declaración anual de impuestos que realizaron las empresas en el segundo bimestre del presente año. Esos recursos excedentes fueron de 30 mil millones de pesos. Adicionalmente, en las proyecciones de 2023 se incorpora el impacto recaudatorio en el ISR de la actualización por inflación de los tramos de ingreso de las tarifas de ISR de personas físicas. La actualización por inflación es una transferencia de ingreso en favor de los hogares y que opera eliminando el impuesto adicional que genera la inflación en el ingreso laboral neto. Esta transferencia se estima en 29 mil millones de pesos.</w:t>
      </w:r>
    </w:p>
    <w:p w14:paraId="321F60FD" w14:textId="77777777" w:rsidR="009274F7" w:rsidRPr="009274F7" w:rsidRDefault="009274F7" w:rsidP="009274F7">
      <w:pPr>
        <w:pStyle w:val="PRIMERAPLANA"/>
        <w:spacing w:line="360" w:lineRule="auto"/>
        <w:rPr>
          <w:rFonts w:ascii="Times New Roman" w:hAnsi="Times New Roman"/>
          <w:bCs/>
          <w:lang w:val="es-ES"/>
        </w:rPr>
      </w:pPr>
    </w:p>
    <w:p w14:paraId="78D88C85"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En la ILIF 2023 se presupuestan ingresos no tributarios del Gobierno Federal por un monto de 237.3 mil millones de pesos lo que implica una reducción de 25.8% en términos reales con respecto al cierre estimado del año, esto debido, principalmente, a que en 2022 se incluyeron ingresos excedentes con destino específico. Finalmente, con respecto a los ingresos de organismos y empresas distintos de Pemex se estima prácticamente el mismo nivel real respecto a lo aprobado en 2022.</w:t>
      </w:r>
    </w:p>
    <w:p w14:paraId="2693B684" w14:textId="77777777" w:rsidR="009274F7" w:rsidRPr="009274F7" w:rsidRDefault="009274F7" w:rsidP="009274F7">
      <w:pPr>
        <w:pStyle w:val="PRIMERAPLANA"/>
        <w:spacing w:line="360" w:lineRule="auto"/>
        <w:rPr>
          <w:rFonts w:ascii="Times New Roman" w:hAnsi="Times New Roman"/>
          <w:bCs/>
          <w:lang w:val="es-ES"/>
        </w:rPr>
      </w:pPr>
    </w:p>
    <w:p w14:paraId="0BCDA48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Paralelamente, la política de gasto se alinea con las prioridades establecidas en los tres Ejes del PND 2019-2024: Política y Gobierno, Política Social y Economía, por lo que el proyecto de presupuesto para el ejercicio fiscal 2023, propone una asignación de recursos orientada al fortalecimiento del Estado de derecho y la seguridad ciudadana; refuerza la vocación social del Estado; e impulsa un crecimiento y desarrollo inclusivos, procurando un ejercicio del gasto austero, eficiente, directo y transparente. Como un sello distintivo de la gestión gubernamental sustentada en el presupuesto público, el PPEF 2023 pone especial énfasis en la promoción de las acciones encaminadas a superar las condiciones de pobreza y marginación que afectan a un sector importante de la población. Así, se propone un gasto en desarrollo social de 3,900.7 mil millones de pesos, que representa el 65.5% del gasto programable total y crece a una tasa real de 9.1% con relación al aprobado de 2022. En línea con este perfil que privilegia la atención de las prioridades de la población, se propone un gasto para la función Protección Social de 1,750.9 mil millones de pesos, superior en 12.7% real comparado con el monto establecido en el PEF 2022.</w:t>
      </w:r>
    </w:p>
    <w:p w14:paraId="6B2D4F7E" w14:textId="77777777" w:rsidR="009274F7" w:rsidRPr="009274F7" w:rsidRDefault="009274F7" w:rsidP="009274F7">
      <w:pPr>
        <w:pStyle w:val="PRIMERAPLANA"/>
        <w:spacing w:line="360" w:lineRule="auto"/>
        <w:rPr>
          <w:rFonts w:ascii="Times New Roman" w:hAnsi="Times New Roman"/>
          <w:bCs/>
          <w:lang w:val="es-ES"/>
        </w:rPr>
      </w:pPr>
    </w:p>
    <w:p w14:paraId="444F720F"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 xml:space="preserve">Para los ramos administrativos se prevén 1,848.3 mil millones de pesos, que representa un incremento de 16.3% real respecto al PEF 2022. El 69.1% del total de los ramos administrativos se concentra en cinco ramos: Bienestar, Educación, Salud, Turismo y Defensa. Para el ramo Bienestar, se propone un gasto de 408.3 mil millones de pesos, lo que representa un importante incremento de 30.0% real respecto al aprobado para 2022. Para el ramo Educación, se prevé un gasto de 402.3 mil millones de pesos, 5.1% más en términos reales que el aprobado para 2022. Para el ramo Salud, se estima un gasto de 209.6 mil millones de pesos, 3.0% más que para aprobado de 2022. Para Turismo se proponen 145.6 mil millones de pesos, 111.2% más en términos reales que el aprobado de 2022. Para Defensa, se proponen 111.9 mil millones de pesos, 2.4% real más que en 2022. Se propone un gasto para los Ramos Generales de 2,394.9 mil millones de pesos, lo que significa 7.8% más en términos reales que el aprobado de 2022. El gasto programable de las entidades de control presupuestario directo para </w:t>
      </w:r>
      <w:r w:rsidRPr="009274F7">
        <w:rPr>
          <w:rFonts w:ascii="Times New Roman" w:hAnsi="Times New Roman"/>
          <w:bCs/>
          <w:lang w:val="es-ES"/>
        </w:rPr>
        <w:lastRenderedPageBreak/>
        <w:t>2023 se estima en 1,604.7 mil millones de pesos, es decir, 8.6% más en términos reales que el aprobado para el ejercicio fiscal de 2022.</w:t>
      </w:r>
    </w:p>
    <w:p w14:paraId="36D788D5" w14:textId="77777777" w:rsidR="009274F7" w:rsidRPr="009274F7" w:rsidRDefault="009274F7" w:rsidP="009274F7">
      <w:pPr>
        <w:pStyle w:val="PRIMERAPLANA"/>
        <w:spacing w:line="360" w:lineRule="auto"/>
        <w:rPr>
          <w:rFonts w:ascii="Times New Roman" w:hAnsi="Times New Roman"/>
          <w:bCs/>
          <w:lang w:val="es-ES"/>
        </w:rPr>
      </w:pPr>
    </w:p>
    <w:p w14:paraId="05A935FD"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Para 2023 el nivel de deuda, medido por el SHRFSP, permanecerá en un nivel de 49.4% del PIB. La sostenibilidad de la deuda es resultado de una política fiscal prudente del Gobierno de México, centrada en déficits controlados y moderados, una política activa de refinanciamiento de la deuda externa y la constante búsqueda y diversificación de la base de inversionistas. Estas características continuarán a lo largo de esta administración y permitirán mantener una trayectoria estable y sostenida de la deuda hacia el final de la administración.</w:t>
      </w:r>
    </w:p>
    <w:p w14:paraId="4788DFE2" w14:textId="77777777" w:rsidR="009274F7" w:rsidRPr="009274F7" w:rsidRDefault="009274F7" w:rsidP="009274F7">
      <w:pPr>
        <w:pStyle w:val="PRIMERAPLANA"/>
        <w:spacing w:line="360" w:lineRule="auto"/>
        <w:rPr>
          <w:rFonts w:ascii="Times New Roman" w:hAnsi="Times New Roman"/>
          <w:bCs/>
          <w:lang w:val="es-ES"/>
        </w:rPr>
      </w:pPr>
    </w:p>
    <w:p w14:paraId="6901CB0C"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La política de endeudamiento durante 2023 se mantendrá en estricto apego a los techos de endeudamiento autorizados por el H. Congreso de la Unión y tendrá como eje principal el fortalecimiento de la emisión de bonos soberanos como una medida para obtener liquidez, incluyendo los bonos sostenibles cuyo objetivo es construir un sistema de financiamiento encaminado a combatir el cambio climático y a cerrar brechas sociales en el país al más bajo costo. Se continuará privilegiando la adquisición de deuda en el mercado local a través de instrumentos a tasa fija, con lo cual se reduce el riesgo asociado a una revaluación de la deuda debido a una depreciación del tipo de cambio o a movimientos en las tasas de interés.</w:t>
      </w:r>
    </w:p>
    <w:p w14:paraId="04D7856C" w14:textId="77777777" w:rsidR="009274F7" w:rsidRPr="009274F7" w:rsidRDefault="009274F7" w:rsidP="009274F7">
      <w:pPr>
        <w:pStyle w:val="PRIMERAPLANA"/>
        <w:spacing w:line="360" w:lineRule="auto"/>
        <w:rPr>
          <w:rFonts w:ascii="Times New Roman" w:hAnsi="Times New Roman"/>
          <w:bCs/>
          <w:lang w:val="es-ES"/>
        </w:rPr>
      </w:pPr>
    </w:p>
    <w:p w14:paraId="5B262F96" w14:textId="77777777" w:rsid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Para 2023, la política de deuda interna estará alineada con una participación activa en el mercado de deuda local, buscando oportunidades para ejecutar operaciones estratégicas que resulten en una mejora en el perfil de vencimientos y en una reducción del riesgo asociado al refinanciamiento del portafolio de deuda. Estas operaciones buscarán proveer de una mayor liquidez y profundidad al mercado de deuda local, al tiempo que le permiten seguir con un buen funcionamiento.</w:t>
      </w:r>
    </w:p>
    <w:p w14:paraId="5E847AFD" w14:textId="77777777" w:rsidR="009274F7" w:rsidRPr="009274F7" w:rsidRDefault="009274F7" w:rsidP="009274F7">
      <w:pPr>
        <w:pStyle w:val="PRIMERAPLANA"/>
        <w:spacing w:line="360" w:lineRule="auto"/>
        <w:rPr>
          <w:rFonts w:ascii="Times New Roman" w:hAnsi="Times New Roman"/>
          <w:bCs/>
          <w:lang w:val="es-ES"/>
        </w:rPr>
      </w:pPr>
    </w:p>
    <w:p w14:paraId="62FC85E6" w14:textId="77777777" w:rsidR="009274F7" w:rsidRPr="009274F7"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t>En este contexto, se estima que en 2023 la deuda interna de valores gubernamentales será en un 47.7% a tasa nominal fija y de largo plazo, un 79.1% a tasa fija y de largo plazo, mientras que el plazo promedio y la duración de la deuda interna serán de 7.9 y 4.5 años, respectivamente. Para 2023 la política de crédito externo tendrá como objetivo mantener el adecuado funcionamiento de los mercados líquidos en los que opera México, incluyendo los mercados sostenibles.</w:t>
      </w:r>
    </w:p>
    <w:p w14:paraId="0CA9C4CA" w14:textId="77777777" w:rsidR="009274F7" w:rsidRPr="009274F7" w:rsidRDefault="009274F7" w:rsidP="009274F7">
      <w:pPr>
        <w:pStyle w:val="PRIMERAPLANA"/>
        <w:spacing w:line="360" w:lineRule="auto"/>
        <w:rPr>
          <w:rFonts w:ascii="Times New Roman" w:hAnsi="Times New Roman"/>
          <w:bCs/>
          <w:lang w:val="es-ES"/>
        </w:rPr>
      </w:pPr>
    </w:p>
    <w:p w14:paraId="60095EB2" w14:textId="67EF3300" w:rsidR="00571023" w:rsidRPr="00D86289" w:rsidRDefault="009274F7" w:rsidP="009274F7">
      <w:pPr>
        <w:pStyle w:val="PRIMERAPLANA"/>
        <w:spacing w:line="360" w:lineRule="auto"/>
        <w:rPr>
          <w:rFonts w:ascii="Times New Roman" w:hAnsi="Times New Roman"/>
          <w:bCs/>
          <w:lang w:val="es-ES"/>
        </w:rPr>
      </w:pPr>
      <w:r w:rsidRPr="009274F7">
        <w:rPr>
          <w:rFonts w:ascii="Times New Roman" w:hAnsi="Times New Roman"/>
          <w:bCs/>
          <w:lang w:val="es-ES"/>
        </w:rPr>
        <w:lastRenderedPageBreak/>
        <w:t>Para el ejercicio fiscal 2023, el Gobierno Federal continuará impulsando el desarrollo sostenible, la inclusión, la competencia y la profundización del sistema financiero en favor del bienestar de la población y de la asignación eficiente de los recursos. Asimismo, en estrecha colaboración con autoridades financieras, se mantendrán las acciones orientadas a consolidar el marco regulatorio y eficientar procesos administrativos, de tal manera que se asegure el sano desarrollo del sector, salvaguardando la estabilidad del propio sistema</w:t>
      </w:r>
      <w:r w:rsidR="00B50367" w:rsidRPr="00D86289">
        <w:rPr>
          <w:rFonts w:ascii="Times New Roman" w:hAnsi="Times New Roman"/>
          <w:bCs/>
          <w:lang w:val="es-ES"/>
        </w:rPr>
        <w:t>.</w:t>
      </w:r>
    </w:p>
    <w:p w14:paraId="0BEBEF1A" w14:textId="2992B1F6" w:rsidR="00E96B36" w:rsidRPr="00D86289" w:rsidRDefault="00E96B36" w:rsidP="00992F99">
      <w:pPr>
        <w:pStyle w:val="PRIMERAPLANA"/>
        <w:spacing w:line="360" w:lineRule="auto"/>
        <w:rPr>
          <w:rFonts w:ascii="Times New Roman" w:hAnsi="Times New Roman"/>
          <w:bCs/>
          <w:lang w:val="es-ES"/>
        </w:rPr>
      </w:pPr>
    </w:p>
    <w:p w14:paraId="119FBCC3" w14:textId="1ADD71A0" w:rsidR="00932E86" w:rsidRPr="00D86289" w:rsidRDefault="00290E41" w:rsidP="00FD71AE">
      <w:pPr>
        <w:numPr>
          <w:ilvl w:val="0"/>
          <w:numId w:val="8"/>
        </w:numPr>
        <w:spacing w:line="360" w:lineRule="auto"/>
        <w:ind w:left="567" w:hanging="567"/>
        <w:jc w:val="both"/>
        <w:rPr>
          <w:b/>
          <w:bCs/>
          <w:sz w:val="20"/>
          <w:szCs w:val="20"/>
        </w:rPr>
      </w:pPr>
      <w:r w:rsidRPr="00D86289">
        <w:rPr>
          <w:b/>
          <w:bCs/>
          <w:sz w:val="20"/>
          <w:szCs w:val="20"/>
        </w:rPr>
        <w:t>ENTORNO LOCAL</w:t>
      </w:r>
    </w:p>
    <w:p w14:paraId="38193E9C" w14:textId="77777777" w:rsidR="00C762D9" w:rsidRPr="00D86289" w:rsidRDefault="00C762D9" w:rsidP="00C762D9">
      <w:pPr>
        <w:pStyle w:val="PRIMERAPLANA"/>
        <w:spacing w:line="360" w:lineRule="auto"/>
        <w:rPr>
          <w:rFonts w:ascii="Times New Roman" w:hAnsi="Times New Roman"/>
          <w:lang w:val="es-ES"/>
        </w:rPr>
      </w:pPr>
    </w:p>
    <w:p w14:paraId="7E1FE546" w14:textId="77777777" w:rsidR="006E10AA" w:rsidRPr="006E10AA" w:rsidRDefault="006E10AA" w:rsidP="006E10AA">
      <w:pPr>
        <w:spacing w:line="360" w:lineRule="auto"/>
        <w:jc w:val="both"/>
        <w:rPr>
          <w:iCs/>
          <w:sz w:val="20"/>
          <w:szCs w:val="20"/>
        </w:rPr>
      </w:pPr>
      <w:r w:rsidRPr="006E10AA">
        <w:rPr>
          <w:iCs/>
          <w:sz w:val="20"/>
          <w:szCs w:val="20"/>
        </w:rPr>
        <w:t>El Estado de Tlaxcala cuenta con una población cercana a 1.3 millones de habitantes, siendo el Estado más pequeño del país en términos de producción económica, por lo que la economía del Estado no es comparable con otras Entidades Federativas.</w:t>
      </w:r>
    </w:p>
    <w:p w14:paraId="28ABBA79" w14:textId="77777777" w:rsidR="006E10AA" w:rsidRPr="006E10AA" w:rsidRDefault="006E10AA" w:rsidP="006E10AA">
      <w:pPr>
        <w:spacing w:line="360" w:lineRule="auto"/>
        <w:jc w:val="both"/>
        <w:rPr>
          <w:iCs/>
          <w:sz w:val="20"/>
          <w:szCs w:val="20"/>
        </w:rPr>
      </w:pPr>
    </w:p>
    <w:p w14:paraId="6466AF76" w14:textId="5F1D7A2A" w:rsidR="00683140" w:rsidRDefault="006E10AA" w:rsidP="006E10AA">
      <w:pPr>
        <w:spacing w:line="360" w:lineRule="auto"/>
        <w:jc w:val="both"/>
        <w:rPr>
          <w:sz w:val="20"/>
          <w:szCs w:val="20"/>
        </w:rPr>
      </w:pPr>
      <w:r w:rsidRPr="006E10AA">
        <w:rPr>
          <w:iCs/>
          <w:sz w:val="20"/>
          <w:szCs w:val="20"/>
        </w:rPr>
        <w:t>El impacto económico derivado de la COVID-19 se dio principalmente a través del cierre de actividades no esenciales que se implementaron con el objetivo de reducir los contagios. Un indicador que da cuenta sobre la actividad económica es el Indicador Trimestral de la Actividad Económica Estatal (ITAEE) reportado por el INEGI, en el que se aprecia el impacto del cierre de actividades en la economía de Tlaxcala, ya que a principios de 2019 se había logrado un crecimiento esperanzador en este indicador, pero en el segundo trimestre de 2020, se tuvo una caída de 21.6 % en términos anuales y; para el tercer trimestre la caída fue del 14.3 %. Los datos para el cuarto trimestre presentan una ligera recuperación; sin embargo, ésta no logrará superar los niveles del año previo. En enero-marzo de 2022, a tasa trimestral y con cifras ajustadas estacionalmente, las entidades federativas que mostraron los aumentos más pronunciados en su actividad económica fueron: Hidalgo, Aguascalientes, San Luis Potosí y Chihuahua. En el primer trimestre de 2022, a tasa anual y con cifras desestacionalizadas, los estados que reportaron los avances más significativos fueron: Baja California Sur, Tabasco, Quintana Roo, Hidalgo, Guerrero y Morelos. Durante el primer trimestre de 2022, la actividad económica de Tlaxcala mostró un crecimiento anual de 2.7 %, que resultó de la evolución de las Actividades Secundarias y Terciarias de 5.2 y 1.5 %, respectivamente, y del retroceso de las Primarias de 0.4%, principalmente por el comportamiento de la agricultura</w:t>
      </w:r>
      <w:r w:rsidR="004B7C0A" w:rsidRPr="00D86289">
        <w:rPr>
          <w:sz w:val="20"/>
          <w:szCs w:val="20"/>
        </w:rPr>
        <w:t>.</w:t>
      </w:r>
    </w:p>
    <w:p w14:paraId="28117A12" w14:textId="77777777" w:rsidR="005E7F98" w:rsidRDefault="005E7F98" w:rsidP="005E7F98">
      <w:pPr>
        <w:spacing w:line="360" w:lineRule="auto"/>
        <w:jc w:val="both"/>
        <w:rPr>
          <w:sz w:val="20"/>
          <w:szCs w:val="20"/>
        </w:rPr>
      </w:pPr>
    </w:p>
    <w:p w14:paraId="439FA35F" w14:textId="77777777" w:rsidR="005E7F98" w:rsidRDefault="005E7F98" w:rsidP="005E7F98">
      <w:pPr>
        <w:pStyle w:val="PRIMERAPLANA"/>
        <w:spacing w:line="360" w:lineRule="auto"/>
        <w:jc w:val="center"/>
        <w:rPr>
          <w:rFonts w:ascii="Times New Roman" w:hAnsi="Times New Roman"/>
          <w:b/>
          <w:iCs/>
          <w:lang w:val="es-ES"/>
        </w:rPr>
      </w:pPr>
    </w:p>
    <w:p w14:paraId="5E4B4EEC" w14:textId="77777777" w:rsidR="005E7F98" w:rsidRDefault="005E7F98" w:rsidP="005E7F98">
      <w:pPr>
        <w:pStyle w:val="PRIMERAPLANA"/>
        <w:spacing w:line="360" w:lineRule="auto"/>
        <w:jc w:val="center"/>
        <w:rPr>
          <w:rFonts w:ascii="Times New Roman" w:hAnsi="Times New Roman"/>
          <w:b/>
          <w:iCs/>
          <w:lang w:val="es-ES"/>
        </w:rPr>
      </w:pPr>
    </w:p>
    <w:p w14:paraId="4184D28A" w14:textId="25085184" w:rsidR="005E7F98" w:rsidRDefault="005E7F98" w:rsidP="001F7AFB">
      <w:pPr>
        <w:pStyle w:val="PRIMERAPLANA"/>
        <w:spacing w:line="360" w:lineRule="auto"/>
        <w:jc w:val="center"/>
      </w:pPr>
      <w:r w:rsidRPr="005E7F98">
        <w:rPr>
          <w:rFonts w:ascii="Times New Roman" w:hAnsi="Times New Roman"/>
          <w:b/>
          <w:iCs/>
          <w:lang w:val="es-ES"/>
        </w:rPr>
        <w:lastRenderedPageBreak/>
        <w:t>Tasa de Crecimiento Anual</w:t>
      </w:r>
    </w:p>
    <w:p w14:paraId="373608FA" w14:textId="2F0331C4" w:rsidR="005E7F98" w:rsidRPr="00D86289" w:rsidRDefault="005E7F98" w:rsidP="001F7AFB">
      <w:pPr>
        <w:spacing w:line="360" w:lineRule="auto"/>
        <w:jc w:val="center"/>
        <w:rPr>
          <w:sz w:val="20"/>
          <w:szCs w:val="20"/>
        </w:rPr>
      </w:pPr>
      <w:r>
        <w:rPr>
          <w:noProof/>
          <w:lang w:val="es-MX" w:eastAsia="es-MX"/>
        </w:rPr>
        <w:drawing>
          <wp:inline distT="0" distB="0" distL="0" distR="0" wp14:anchorId="289908F7" wp14:editId="63716C58">
            <wp:extent cx="3110034" cy="14954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013" t="26611" r="19062" b="13324"/>
                    <a:stretch/>
                  </pic:blipFill>
                  <pic:spPr bwMode="auto">
                    <a:xfrm>
                      <a:off x="0" y="0"/>
                      <a:ext cx="3186677" cy="1532278"/>
                    </a:xfrm>
                    <a:prstGeom prst="rect">
                      <a:avLst/>
                    </a:prstGeom>
                    <a:ln>
                      <a:noFill/>
                    </a:ln>
                    <a:extLst>
                      <a:ext uri="{53640926-AAD7-44D8-BBD7-CCE9431645EC}">
                        <a14:shadowObscured xmlns:a14="http://schemas.microsoft.com/office/drawing/2010/main"/>
                      </a:ext>
                    </a:extLst>
                  </pic:spPr>
                </pic:pic>
              </a:graphicData>
            </a:graphic>
          </wp:inline>
        </w:drawing>
      </w:r>
    </w:p>
    <w:p w14:paraId="4C55424A" w14:textId="77777777" w:rsidR="00611005" w:rsidRDefault="00611005" w:rsidP="00611005">
      <w:pPr>
        <w:pStyle w:val="PRIMERAPLANA"/>
        <w:spacing w:line="360" w:lineRule="auto"/>
        <w:jc w:val="center"/>
        <w:rPr>
          <w:rFonts w:ascii="Times New Roman" w:hAnsi="Times New Roman"/>
          <w:iCs/>
          <w:sz w:val="12"/>
          <w:szCs w:val="24"/>
          <w:lang w:val="es-ES"/>
        </w:rPr>
      </w:pPr>
      <w:r w:rsidRPr="00611005">
        <w:rPr>
          <w:rFonts w:ascii="Times New Roman" w:hAnsi="Times New Roman"/>
          <w:b/>
          <w:bCs/>
          <w:iCs/>
          <w:sz w:val="12"/>
          <w:szCs w:val="24"/>
          <w:lang w:val="es-ES"/>
        </w:rPr>
        <w:t>Fuente:</w:t>
      </w:r>
      <w:r w:rsidRPr="00611005">
        <w:rPr>
          <w:rFonts w:ascii="Times New Roman" w:hAnsi="Times New Roman"/>
          <w:iCs/>
          <w:sz w:val="12"/>
          <w:szCs w:val="24"/>
          <w:lang w:val="es-ES"/>
        </w:rPr>
        <w:t xml:space="preserve"> Elaborado por México, ¿cómo vamos? con datos del ITAEE, serie ajustada, del Banco de Información Económica del INEGI</w:t>
      </w:r>
    </w:p>
    <w:p w14:paraId="6A724353" w14:textId="77777777" w:rsidR="00611005" w:rsidRPr="00611005" w:rsidRDefault="00611005" w:rsidP="00611005">
      <w:pPr>
        <w:pStyle w:val="PRIMERAPLANA"/>
        <w:spacing w:line="360" w:lineRule="auto"/>
        <w:jc w:val="center"/>
        <w:rPr>
          <w:rFonts w:ascii="Times New Roman" w:hAnsi="Times New Roman"/>
          <w:iCs/>
          <w:sz w:val="12"/>
          <w:szCs w:val="24"/>
          <w:lang w:val="es-ES"/>
        </w:rPr>
      </w:pPr>
    </w:p>
    <w:p w14:paraId="15D2A90D" w14:textId="29097F70" w:rsidR="00DB1BFB" w:rsidRDefault="00611005" w:rsidP="00452088">
      <w:pPr>
        <w:spacing w:line="360" w:lineRule="auto"/>
        <w:jc w:val="center"/>
        <w:rPr>
          <w:b/>
          <w:sz w:val="20"/>
          <w:szCs w:val="20"/>
        </w:rPr>
      </w:pPr>
      <w:r>
        <w:rPr>
          <w:noProof/>
          <w:lang w:val="es-MX" w:eastAsia="es-MX"/>
        </w:rPr>
        <w:drawing>
          <wp:inline distT="0" distB="0" distL="0" distR="0" wp14:anchorId="6C6AA9CD" wp14:editId="142E75CE">
            <wp:extent cx="3524250" cy="19099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460" t="32813" r="19742" b="7646"/>
                    <a:stretch/>
                  </pic:blipFill>
                  <pic:spPr bwMode="auto">
                    <a:xfrm>
                      <a:off x="0" y="0"/>
                      <a:ext cx="3581644" cy="1941003"/>
                    </a:xfrm>
                    <a:prstGeom prst="rect">
                      <a:avLst/>
                    </a:prstGeom>
                    <a:ln>
                      <a:noFill/>
                    </a:ln>
                    <a:extLst>
                      <a:ext uri="{53640926-AAD7-44D8-BBD7-CCE9431645EC}">
                        <a14:shadowObscured xmlns:a14="http://schemas.microsoft.com/office/drawing/2010/main"/>
                      </a:ext>
                    </a:extLst>
                  </pic:spPr>
                </pic:pic>
              </a:graphicData>
            </a:graphic>
          </wp:inline>
        </w:drawing>
      </w:r>
    </w:p>
    <w:p w14:paraId="7CB604B5" w14:textId="77777777" w:rsidR="00611005" w:rsidRDefault="00611005" w:rsidP="00611005">
      <w:pPr>
        <w:spacing w:line="360" w:lineRule="auto"/>
        <w:jc w:val="both"/>
        <w:rPr>
          <w:sz w:val="20"/>
          <w:szCs w:val="20"/>
        </w:rPr>
      </w:pPr>
    </w:p>
    <w:p w14:paraId="603E1CC3" w14:textId="3ED923A4" w:rsidR="00D86289" w:rsidRPr="00611005" w:rsidRDefault="006E10AA" w:rsidP="00611005">
      <w:pPr>
        <w:spacing w:line="360" w:lineRule="auto"/>
        <w:jc w:val="both"/>
        <w:rPr>
          <w:sz w:val="20"/>
          <w:szCs w:val="20"/>
        </w:rPr>
      </w:pPr>
      <w:r w:rsidRPr="006E10AA">
        <w:rPr>
          <w:sz w:val="20"/>
          <w:szCs w:val="20"/>
        </w:rPr>
        <w:t>El total de la economía en la Región Centro-Sur del país ascendió 3.6 % con respecto al mismo periodo del año anterior. Las Actividades Secundarias y Terciarias crecieron y tuvieron una variación anual de 4.3 y 3.9%, respectivamente; por su parte, las Primarias disminuyeron 2.5%</w:t>
      </w:r>
      <w:r w:rsidR="00611005" w:rsidRPr="00611005">
        <w:rPr>
          <w:sz w:val="20"/>
          <w:szCs w:val="20"/>
        </w:rPr>
        <w:t>.</w:t>
      </w:r>
    </w:p>
    <w:p w14:paraId="18D57077" w14:textId="11E6EE02" w:rsidR="00D86289" w:rsidRDefault="00611005" w:rsidP="00452088">
      <w:pPr>
        <w:spacing w:line="360" w:lineRule="auto"/>
        <w:jc w:val="center"/>
        <w:rPr>
          <w:b/>
          <w:sz w:val="20"/>
          <w:szCs w:val="20"/>
        </w:rPr>
      </w:pPr>
      <w:r>
        <w:rPr>
          <w:noProof/>
          <w:lang w:val="es-MX" w:eastAsia="es-MX"/>
        </w:rPr>
        <w:drawing>
          <wp:inline distT="0" distB="0" distL="0" distR="0" wp14:anchorId="63457CF2" wp14:editId="5BFF1E3B">
            <wp:extent cx="3609975" cy="2033843"/>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2592" t="31998" r="23860" b="14367"/>
                    <a:stretch/>
                  </pic:blipFill>
                  <pic:spPr bwMode="auto">
                    <a:xfrm>
                      <a:off x="0" y="0"/>
                      <a:ext cx="3680736" cy="2073709"/>
                    </a:xfrm>
                    <a:prstGeom prst="rect">
                      <a:avLst/>
                    </a:prstGeom>
                    <a:ln>
                      <a:noFill/>
                    </a:ln>
                    <a:extLst>
                      <a:ext uri="{53640926-AAD7-44D8-BBD7-CCE9431645EC}">
                        <a14:shadowObscured xmlns:a14="http://schemas.microsoft.com/office/drawing/2010/main"/>
                      </a:ext>
                    </a:extLst>
                  </pic:spPr>
                </pic:pic>
              </a:graphicData>
            </a:graphic>
          </wp:inline>
        </w:drawing>
      </w:r>
    </w:p>
    <w:p w14:paraId="62687519" w14:textId="1AC49FA7" w:rsidR="00611005" w:rsidRDefault="006E10AA" w:rsidP="00611005">
      <w:pPr>
        <w:spacing w:line="360" w:lineRule="auto"/>
        <w:jc w:val="both"/>
        <w:rPr>
          <w:sz w:val="20"/>
          <w:szCs w:val="20"/>
        </w:rPr>
      </w:pPr>
      <w:r w:rsidRPr="006E10AA">
        <w:rPr>
          <w:sz w:val="20"/>
          <w:szCs w:val="20"/>
        </w:rPr>
        <w:lastRenderedPageBreak/>
        <w:t>En el primer trimestre de 2022, las entidades que influyeron, en mayor medida, a la variación del total de la economía de la región fueron Hidalgo y Guerrero</w:t>
      </w:r>
      <w:r w:rsidR="00611005" w:rsidRPr="00611005">
        <w:rPr>
          <w:sz w:val="20"/>
          <w:szCs w:val="20"/>
        </w:rPr>
        <w:t>.</w:t>
      </w:r>
    </w:p>
    <w:p w14:paraId="62DC4A01" w14:textId="380FF95B" w:rsidR="00611005" w:rsidRDefault="00611005" w:rsidP="00611005">
      <w:pPr>
        <w:spacing w:line="360" w:lineRule="auto"/>
        <w:jc w:val="center"/>
        <w:rPr>
          <w:sz w:val="20"/>
          <w:szCs w:val="20"/>
        </w:rPr>
      </w:pPr>
      <w:r>
        <w:rPr>
          <w:noProof/>
          <w:lang w:val="es-MX" w:eastAsia="es-MX"/>
        </w:rPr>
        <w:drawing>
          <wp:inline distT="0" distB="0" distL="0" distR="0" wp14:anchorId="57DDEE9A" wp14:editId="56843DB0">
            <wp:extent cx="3133725" cy="2228073"/>
            <wp:effectExtent l="0" t="0" r="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5911" t="19565" r="27316" b="21309"/>
                    <a:stretch/>
                  </pic:blipFill>
                  <pic:spPr bwMode="auto">
                    <a:xfrm>
                      <a:off x="0" y="0"/>
                      <a:ext cx="3159535" cy="2246424"/>
                    </a:xfrm>
                    <a:prstGeom prst="rect">
                      <a:avLst/>
                    </a:prstGeom>
                    <a:ln>
                      <a:noFill/>
                    </a:ln>
                    <a:extLst>
                      <a:ext uri="{53640926-AAD7-44D8-BBD7-CCE9431645EC}">
                        <a14:shadowObscured xmlns:a14="http://schemas.microsoft.com/office/drawing/2010/main"/>
                      </a:ext>
                    </a:extLst>
                  </pic:spPr>
                </pic:pic>
              </a:graphicData>
            </a:graphic>
          </wp:inline>
        </w:drawing>
      </w:r>
    </w:p>
    <w:p w14:paraId="7F0CED03" w14:textId="77777777" w:rsidR="002A529D" w:rsidRPr="002A529D" w:rsidRDefault="002A529D" w:rsidP="002A529D">
      <w:pPr>
        <w:spacing w:line="360" w:lineRule="auto"/>
        <w:jc w:val="both"/>
        <w:rPr>
          <w:sz w:val="20"/>
          <w:szCs w:val="20"/>
        </w:rPr>
      </w:pPr>
      <w:r w:rsidRPr="002A529D">
        <w:rPr>
          <w:sz w:val="20"/>
          <w:szCs w:val="20"/>
        </w:rPr>
        <w:t>La industria automotriz es una de las principales actividades en el Estado, debiéndose en buena medida su dinamismo a que las empresas instaladas son proveedoras o distribuidoras de Volkswagen de México. En el ejercicio 2021 a pesar de las dificultades impuestas a nivel internacional por la crisis de salud iniciada en 2020, ésta observó un crecimiento del 1% respecto a 2020 con una producción de 95,800 unidades, por lo que se espera que ésta industria, continúe con su dinamismo en el mediano plazo.</w:t>
      </w:r>
    </w:p>
    <w:p w14:paraId="2DED9403" w14:textId="77777777" w:rsidR="002A529D" w:rsidRPr="002A529D" w:rsidRDefault="002A529D" w:rsidP="002A529D">
      <w:pPr>
        <w:spacing w:line="360" w:lineRule="auto"/>
        <w:jc w:val="both"/>
        <w:rPr>
          <w:sz w:val="20"/>
          <w:szCs w:val="20"/>
        </w:rPr>
      </w:pPr>
    </w:p>
    <w:p w14:paraId="0E53FDC0" w14:textId="77777777" w:rsidR="002A529D" w:rsidRPr="002A529D" w:rsidRDefault="002A529D" w:rsidP="002A529D">
      <w:pPr>
        <w:spacing w:line="360" w:lineRule="auto"/>
        <w:jc w:val="both"/>
        <w:rPr>
          <w:sz w:val="20"/>
          <w:szCs w:val="20"/>
        </w:rPr>
      </w:pPr>
      <w:r w:rsidRPr="002A529D">
        <w:rPr>
          <w:sz w:val="20"/>
          <w:szCs w:val="20"/>
        </w:rPr>
        <w:t>Se estima que durante el ejercicio 2022, los ingresos propios observen una tendencia positiva, como resultado del menor dinamismo económico, originado por el brote epidémico del virus COVID-19, mismos que representan alrededor de un 6% de los ingresos operativos. Para 2023, se estima que los ingresos propios se recuperen parcialmente y representen entre un 5 a un 6% de los ingresos operativos, lo que estará en función de las metas de recaudación a nivel estatal.</w:t>
      </w:r>
    </w:p>
    <w:p w14:paraId="473A6D3D" w14:textId="77777777" w:rsidR="002A529D" w:rsidRPr="002A529D" w:rsidRDefault="002A529D" w:rsidP="002A529D">
      <w:pPr>
        <w:spacing w:line="360" w:lineRule="auto"/>
        <w:jc w:val="both"/>
        <w:rPr>
          <w:sz w:val="20"/>
          <w:szCs w:val="20"/>
        </w:rPr>
      </w:pPr>
    </w:p>
    <w:p w14:paraId="277DA9BC" w14:textId="77777777" w:rsidR="002A529D" w:rsidRPr="002A529D" w:rsidRDefault="002A529D" w:rsidP="002A529D">
      <w:pPr>
        <w:spacing w:line="360" w:lineRule="auto"/>
        <w:jc w:val="both"/>
        <w:rPr>
          <w:sz w:val="20"/>
          <w:szCs w:val="20"/>
        </w:rPr>
      </w:pPr>
      <w:r w:rsidRPr="002A529D">
        <w:rPr>
          <w:sz w:val="20"/>
          <w:szCs w:val="20"/>
        </w:rPr>
        <w:t>La política fiscal que se implementará en el ejercicio 2023, tendrá como finalidad mantener un balance presupuestario positivo, procurando que las fuentes de ingreso financien el gasto corriente del ejercicio, por lo que se estima que se sigan registrando márgenes operativos positivos en 2022 y 2023, aunque ligeramente menores a los observados en ejercicios anteriores. Los resultados financieros balanceados y la política de deuda conservadora, han permitido que desde el ejercicio 2008 el Estado de Tlaxcala haya registrado una posición libre de endeudamiento.</w:t>
      </w:r>
    </w:p>
    <w:p w14:paraId="1AE54C58" w14:textId="77777777" w:rsidR="002A529D" w:rsidRPr="002A529D" w:rsidRDefault="002A529D" w:rsidP="002A529D">
      <w:pPr>
        <w:spacing w:line="360" w:lineRule="auto"/>
        <w:jc w:val="both"/>
        <w:rPr>
          <w:sz w:val="20"/>
          <w:szCs w:val="20"/>
        </w:rPr>
      </w:pPr>
    </w:p>
    <w:p w14:paraId="69AE848A" w14:textId="77777777" w:rsidR="002A529D" w:rsidRPr="002A529D" w:rsidRDefault="002A529D" w:rsidP="002A529D">
      <w:pPr>
        <w:spacing w:line="360" w:lineRule="auto"/>
        <w:jc w:val="both"/>
        <w:rPr>
          <w:sz w:val="20"/>
          <w:szCs w:val="20"/>
        </w:rPr>
      </w:pPr>
      <w:r w:rsidRPr="002A529D">
        <w:rPr>
          <w:sz w:val="20"/>
          <w:szCs w:val="20"/>
        </w:rPr>
        <w:t>Esperamos que Tlaxcala siga registrando márgenes operativos positivos en 2022 y 2023 aunque menores a los observados en años previos a la pandemia, debido principalmente a la disminución en las transferencias federales no etiquetadas (participaciones) en 2022, las cuales son equivalentes al 44% de los ingresos operativos. Para hacer frente a las presiones observadas sobre los ingresos, se implementó un plan de austeridad en el mes de febrero de 2022 con la finalidad de controlar el crecimiento del gasto, se implementó el Acuerdo que Establece los Lineamientos y Políticas Generales del Ejercicio del Presupuesto, las Medidas de Mejora y Modernización, así como de Austeridad del Gasto Público de la Gestión Administrativa, destacando entre otras medidas para limitar el crecimiento del presupuesto, el establecimiento de topes a ciertos rubros del gasto y el congelamiento de plazas vacantes no prioritarias.</w:t>
      </w:r>
    </w:p>
    <w:p w14:paraId="671F814A" w14:textId="77777777" w:rsidR="002A529D" w:rsidRPr="002A529D" w:rsidRDefault="002A529D" w:rsidP="002A529D">
      <w:pPr>
        <w:spacing w:line="360" w:lineRule="auto"/>
        <w:jc w:val="both"/>
        <w:rPr>
          <w:sz w:val="20"/>
          <w:szCs w:val="20"/>
        </w:rPr>
      </w:pPr>
    </w:p>
    <w:p w14:paraId="3EAFE7F2" w14:textId="77777777" w:rsidR="002A529D" w:rsidRPr="002A529D" w:rsidRDefault="002A529D" w:rsidP="002A529D">
      <w:pPr>
        <w:spacing w:line="360" w:lineRule="auto"/>
        <w:jc w:val="both"/>
        <w:rPr>
          <w:sz w:val="20"/>
          <w:szCs w:val="20"/>
        </w:rPr>
      </w:pPr>
      <w:r w:rsidRPr="002A529D">
        <w:rPr>
          <w:sz w:val="20"/>
          <w:szCs w:val="20"/>
        </w:rPr>
        <w:t>Derivado del buen manejo del gasto, se estima un margen operativo positivo cercano al 0.4% en 2021 y del 2.4% en 2022. El Estado ha registrado resultados financieros positivos durante los últimos cinco años, ya que los ingresos totales crecieron a una tasa compuesta anual del 3.2%, similar a la tasa de gastos totales de 3.3%. Se espera que durante 2021 y 2022 Tlaxcala registre superávits financieros del 0.7% y 2.1% respectivamente, se prevé un menor gasto de capital para el periodo 2021-2022.</w:t>
      </w:r>
    </w:p>
    <w:p w14:paraId="7D62169D" w14:textId="77777777" w:rsidR="002A529D" w:rsidRPr="002A529D" w:rsidRDefault="002A529D" w:rsidP="002A529D">
      <w:pPr>
        <w:spacing w:line="360" w:lineRule="auto"/>
        <w:jc w:val="both"/>
        <w:rPr>
          <w:sz w:val="20"/>
          <w:szCs w:val="20"/>
        </w:rPr>
      </w:pPr>
    </w:p>
    <w:p w14:paraId="370A6DDC" w14:textId="77777777" w:rsidR="002A529D" w:rsidRPr="002A529D" w:rsidRDefault="002A529D" w:rsidP="002A529D">
      <w:pPr>
        <w:spacing w:line="360" w:lineRule="auto"/>
        <w:jc w:val="both"/>
        <w:rPr>
          <w:sz w:val="20"/>
          <w:szCs w:val="20"/>
        </w:rPr>
      </w:pPr>
      <w:r w:rsidRPr="002A529D">
        <w:rPr>
          <w:sz w:val="20"/>
          <w:szCs w:val="20"/>
        </w:rPr>
        <w:t>Se estima que para 2023, los ingresos propios se mantengan en niveles estables similares a los de 2022, en línea con la recuperación lenta de la economía regional. El mayor impacto en los ingresos propios durante la pandemia se vio reflejado en el rubro de derechos, el cual presentó una tasa compuesta anual de crecimiento de -9% para el periodo 2018-2020; sin embargo, se espera una recuperación en 2023 de entre el 5 y 6%, originada principalmente por el incremento de la recaudación de fuentes locales y del otorgamiento de diversos beneficios fiscales.</w:t>
      </w:r>
    </w:p>
    <w:p w14:paraId="26256F42" w14:textId="77777777" w:rsidR="002A529D" w:rsidRPr="002A529D" w:rsidRDefault="002A529D" w:rsidP="002A529D">
      <w:pPr>
        <w:spacing w:line="360" w:lineRule="auto"/>
        <w:jc w:val="both"/>
        <w:rPr>
          <w:sz w:val="20"/>
          <w:szCs w:val="20"/>
        </w:rPr>
      </w:pPr>
    </w:p>
    <w:p w14:paraId="052A04C2" w14:textId="77777777" w:rsidR="002A529D" w:rsidRPr="002A529D" w:rsidRDefault="002A529D" w:rsidP="002A529D">
      <w:pPr>
        <w:spacing w:line="360" w:lineRule="auto"/>
        <w:jc w:val="both"/>
        <w:rPr>
          <w:sz w:val="20"/>
          <w:szCs w:val="20"/>
        </w:rPr>
      </w:pPr>
      <w:r w:rsidRPr="002A529D">
        <w:rPr>
          <w:sz w:val="20"/>
          <w:szCs w:val="20"/>
        </w:rPr>
        <w:t>La liquidez del Estado de Tlaxcala es un factor que permite enfrentar choques externos imprevistos, por lo que se espera que el efectivo del Estado cubra al menos el 3% de los pasivos promedio para 2021 y 2022, como resultado del buen manejo del presupuesto.</w:t>
      </w:r>
    </w:p>
    <w:p w14:paraId="3805286B" w14:textId="77777777" w:rsidR="002A529D" w:rsidRPr="002A529D" w:rsidRDefault="002A529D" w:rsidP="002A529D">
      <w:pPr>
        <w:spacing w:line="360" w:lineRule="auto"/>
        <w:jc w:val="both"/>
        <w:rPr>
          <w:sz w:val="20"/>
          <w:szCs w:val="20"/>
        </w:rPr>
      </w:pPr>
    </w:p>
    <w:p w14:paraId="38EC7593" w14:textId="77777777" w:rsidR="002A529D" w:rsidRDefault="002A529D" w:rsidP="002A529D">
      <w:pPr>
        <w:spacing w:line="360" w:lineRule="auto"/>
        <w:jc w:val="both"/>
        <w:rPr>
          <w:sz w:val="20"/>
          <w:szCs w:val="20"/>
        </w:rPr>
      </w:pPr>
      <w:r w:rsidRPr="002A529D">
        <w:rPr>
          <w:sz w:val="20"/>
          <w:szCs w:val="20"/>
        </w:rPr>
        <w:t xml:space="preserve">La Iniciativa de Ley Ingresos del Estado de Tlaxcala para el Ejercicio Fiscal 2023, presentada ante ese Congreso del Estado, establece una estimación con base en las cifras anunciadas por la Secretaría de Hacienda y Crédito Público para el ejercicio 2023, correspondientes a los conceptos por los cuales el </w:t>
      </w:r>
      <w:r w:rsidRPr="002A529D">
        <w:rPr>
          <w:sz w:val="20"/>
          <w:szCs w:val="20"/>
        </w:rPr>
        <w:lastRenderedPageBreak/>
        <w:t>Gobierno del Estado obtendrá los recursos económicos que requiere para la realización de sus funciones.</w:t>
      </w:r>
    </w:p>
    <w:p w14:paraId="0064EE8F" w14:textId="77777777" w:rsidR="002A529D" w:rsidRPr="002A529D" w:rsidRDefault="002A529D" w:rsidP="002A529D">
      <w:pPr>
        <w:spacing w:line="360" w:lineRule="auto"/>
        <w:jc w:val="both"/>
        <w:rPr>
          <w:sz w:val="20"/>
          <w:szCs w:val="20"/>
        </w:rPr>
      </w:pPr>
    </w:p>
    <w:p w14:paraId="5996C2F1" w14:textId="33E8ADEB" w:rsidR="00D86289" w:rsidRPr="00D86289" w:rsidRDefault="002A529D" w:rsidP="002A529D">
      <w:pPr>
        <w:spacing w:line="360" w:lineRule="auto"/>
        <w:jc w:val="both"/>
        <w:rPr>
          <w:b/>
          <w:sz w:val="20"/>
          <w:szCs w:val="20"/>
        </w:rPr>
      </w:pPr>
      <w:r w:rsidRPr="002A529D">
        <w:rPr>
          <w:sz w:val="20"/>
          <w:szCs w:val="20"/>
        </w:rPr>
        <w:t>El comportamiento de los ingresos derivados de fuentes locales en los últimos 5 años, ha presentado un comportamiento creciente, derivado de las acciones implementadas y enfocadas a la simplificación administrativa y a la mejora en la prestación de servicios a la ciudadanía; sin embargo, durante el ejercicio 2020 esta estabilidad se vio severamente afectada por los efectos de la pandemia ocasionada por la COVID-19</w:t>
      </w:r>
      <w:r>
        <w:rPr>
          <w:sz w:val="20"/>
          <w:szCs w:val="20"/>
        </w:rPr>
        <w:t>.</w:t>
      </w:r>
    </w:p>
    <w:p w14:paraId="2ADCF17E" w14:textId="0CBDE815" w:rsidR="00452088" w:rsidRPr="00D86289" w:rsidRDefault="00452088" w:rsidP="00452088">
      <w:pPr>
        <w:spacing w:line="360" w:lineRule="auto"/>
        <w:jc w:val="center"/>
        <w:rPr>
          <w:b/>
          <w:sz w:val="20"/>
          <w:szCs w:val="20"/>
        </w:rPr>
      </w:pPr>
      <w:r w:rsidRPr="00D86289">
        <w:rPr>
          <w:b/>
          <w:sz w:val="20"/>
          <w:szCs w:val="20"/>
        </w:rPr>
        <w:t>RECAUDACIÓN DE IMPUESTOS PROPIOS 201</w:t>
      </w:r>
      <w:r w:rsidR="00611005">
        <w:rPr>
          <w:b/>
          <w:sz w:val="20"/>
          <w:szCs w:val="20"/>
        </w:rPr>
        <w:t>8</w:t>
      </w:r>
      <w:r w:rsidR="00A05923" w:rsidRPr="00D86289">
        <w:rPr>
          <w:b/>
          <w:sz w:val="20"/>
          <w:szCs w:val="20"/>
        </w:rPr>
        <w:t>-202</w:t>
      </w:r>
      <w:r w:rsidR="00611005">
        <w:rPr>
          <w:b/>
          <w:sz w:val="20"/>
          <w:szCs w:val="20"/>
        </w:rPr>
        <w:t>2</w:t>
      </w:r>
      <w:r w:rsidRPr="00D86289">
        <w:rPr>
          <w:b/>
          <w:sz w:val="20"/>
          <w:szCs w:val="20"/>
        </w:rPr>
        <w:t>* (Mdp)</w:t>
      </w:r>
    </w:p>
    <w:p w14:paraId="253DB717" w14:textId="7177A15A" w:rsidR="003E395F" w:rsidRDefault="003E395F" w:rsidP="00A01E36">
      <w:pPr>
        <w:spacing w:line="360" w:lineRule="auto"/>
        <w:jc w:val="both"/>
        <w:rPr>
          <w:rFonts w:ascii="Arial" w:hAnsi="Arial" w:cs="Arial"/>
          <w:b/>
          <w:sz w:val="10"/>
        </w:rPr>
      </w:pPr>
    </w:p>
    <w:p w14:paraId="1575EB5D" w14:textId="228456B1" w:rsidR="002A61E9" w:rsidRDefault="002A529D" w:rsidP="00A01E36">
      <w:pPr>
        <w:spacing w:line="360" w:lineRule="auto"/>
        <w:jc w:val="both"/>
        <w:rPr>
          <w:rFonts w:ascii="Arial" w:hAnsi="Arial" w:cs="Arial"/>
          <w:b/>
          <w:sz w:val="10"/>
        </w:rPr>
      </w:pPr>
      <w:r>
        <w:rPr>
          <w:rFonts w:ascii="Arial" w:hAnsi="Arial" w:cs="Arial"/>
          <w:b/>
          <w:noProof/>
          <w:sz w:val="22"/>
          <w:lang w:val="es-MX" w:eastAsia="es-MX"/>
        </w:rPr>
        <w:drawing>
          <wp:inline distT="0" distB="0" distL="0" distR="0" wp14:anchorId="49FE87D0" wp14:editId="33A4EA37">
            <wp:extent cx="5143500" cy="150523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143500" cy="1505230"/>
                    </a:xfrm>
                    <a:prstGeom prst="rect">
                      <a:avLst/>
                    </a:prstGeom>
                    <a:noFill/>
                  </pic:spPr>
                </pic:pic>
              </a:graphicData>
            </a:graphic>
          </wp:inline>
        </w:drawing>
      </w:r>
    </w:p>
    <w:p w14:paraId="73D998CA" w14:textId="77777777" w:rsidR="00153B83" w:rsidRPr="00B87196" w:rsidRDefault="00944433" w:rsidP="00A01E36">
      <w:pPr>
        <w:spacing w:line="360" w:lineRule="auto"/>
        <w:jc w:val="both"/>
        <w:rPr>
          <w:rFonts w:ascii="Arial" w:hAnsi="Arial" w:cs="Arial"/>
          <w:b/>
          <w:sz w:val="10"/>
        </w:rPr>
      </w:pPr>
      <w:r>
        <w:rPr>
          <w:rFonts w:ascii="Arial" w:hAnsi="Arial" w:cs="Arial"/>
          <w:b/>
          <w:sz w:val="10"/>
        </w:rPr>
        <w:t xml:space="preserve">Fuente: Dirección de Contabilidad Gubernamental y Coordinación Hacendaria </w:t>
      </w:r>
    </w:p>
    <w:p w14:paraId="7DC77CD5" w14:textId="47D428AF" w:rsidR="00683140" w:rsidRDefault="00153B83" w:rsidP="00A01E36">
      <w:pPr>
        <w:spacing w:line="360" w:lineRule="auto"/>
        <w:jc w:val="both"/>
        <w:rPr>
          <w:rFonts w:ascii="Arial" w:hAnsi="Arial" w:cs="Arial"/>
          <w:b/>
          <w:sz w:val="10"/>
        </w:rPr>
      </w:pPr>
      <w:r w:rsidRPr="00B87196">
        <w:rPr>
          <w:rFonts w:ascii="Arial" w:hAnsi="Arial" w:cs="Arial"/>
          <w:b/>
          <w:sz w:val="10"/>
        </w:rPr>
        <w:t>* Estimaciones al Cierre de 20</w:t>
      </w:r>
      <w:r w:rsidR="00427D8C">
        <w:rPr>
          <w:rFonts w:ascii="Arial" w:hAnsi="Arial" w:cs="Arial"/>
          <w:b/>
          <w:sz w:val="10"/>
        </w:rPr>
        <w:t>2</w:t>
      </w:r>
      <w:r w:rsidR="00611005">
        <w:rPr>
          <w:rFonts w:ascii="Arial" w:hAnsi="Arial" w:cs="Arial"/>
          <w:b/>
          <w:sz w:val="10"/>
        </w:rPr>
        <w:t>2</w:t>
      </w:r>
      <w:r w:rsidRPr="00B87196">
        <w:rPr>
          <w:rFonts w:ascii="Arial" w:hAnsi="Arial" w:cs="Arial"/>
          <w:b/>
          <w:sz w:val="10"/>
        </w:rPr>
        <w:t>.</w:t>
      </w:r>
    </w:p>
    <w:p w14:paraId="7D88A312" w14:textId="23AFCCE6" w:rsidR="00515A89" w:rsidRDefault="00515A89" w:rsidP="00A01E36">
      <w:pPr>
        <w:spacing w:line="360" w:lineRule="auto"/>
        <w:jc w:val="both"/>
        <w:rPr>
          <w:rFonts w:ascii="Arial" w:hAnsi="Arial" w:cs="Arial"/>
          <w:b/>
          <w:sz w:val="10"/>
        </w:rPr>
      </w:pPr>
    </w:p>
    <w:p w14:paraId="2725EDE8" w14:textId="4E855BE6" w:rsidR="003E395F" w:rsidRDefault="002A529D" w:rsidP="00A01E36">
      <w:pPr>
        <w:spacing w:line="360" w:lineRule="auto"/>
        <w:jc w:val="both"/>
        <w:rPr>
          <w:rFonts w:ascii="Arial" w:hAnsi="Arial" w:cs="Arial"/>
          <w:b/>
          <w:sz w:val="10"/>
        </w:rPr>
      </w:pPr>
      <w:r>
        <w:rPr>
          <w:rFonts w:ascii="Arial" w:hAnsi="Arial" w:cs="Arial"/>
          <w:b/>
          <w:noProof/>
          <w:sz w:val="10"/>
          <w:lang w:val="es-MX" w:eastAsia="es-MX"/>
        </w:rPr>
        <w:drawing>
          <wp:inline distT="0" distB="0" distL="0" distR="0" wp14:anchorId="6D2360EA" wp14:editId="0B5DBF3F">
            <wp:extent cx="5143500" cy="2530103"/>
            <wp:effectExtent l="0" t="0" r="0" b="381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43500" cy="2530103"/>
                    </a:xfrm>
                    <a:prstGeom prst="rect">
                      <a:avLst/>
                    </a:prstGeom>
                    <a:noFill/>
                  </pic:spPr>
                </pic:pic>
              </a:graphicData>
            </a:graphic>
          </wp:inline>
        </w:drawing>
      </w:r>
    </w:p>
    <w:p w14:paraId="51F6F576" w14:textId="58BA0BBB" w:rsidR="002A61E9" w:rsidRDefault="002A61E9" w:rsidP="00A01E36">
      <w:pPr>
        <w:spacing w:line="360" w:lineRule="auto"/>
        <w:jc w:val="both"/>
        <w:rPr>
          <w:rFonts w:ascii="Arial" w:hAnsi="Arial" w:cs="Arial"/>
          <w:b/>
          <w:sz w:val="10"/>
        </w:rPr>
      </w:pPr>
    </w:p>
    <w:p w14:paraId="7D200743" w14:textId="63F9390C" w:rsidR="00944433" w:rsidRPr="00D86289" w:rsidRDefault="00944433" w:rsidP="003E395F">
      <w:pPr>
        <w:spacing w:line="360" w:lineRule="auto"/>
        <w:jc w:val="both"/>
        <w:rPr>
          <w:b/>
          <w:sz w:val="10"/>
        </w:rPr>
      </w:pPr>
      <w:r w:rsidRPr="00D86289">
        <w:rPr>
          <w:b/>
          <w:sz w:val="10"/>
        </w:rPr>
        <w:t xml:space="preserve">Fuente: Dirección de Contabilidad Gubernamental y Coordinación Hacendaria </w:t>
      </w:r>
    </w:p>
    <w:p w14:paraId="50C38090" w14:textId="47CFDA3D" w:rsidR="00944433" w:rsidRPr="00D86289" w:rsidRDefault="00944433" w:rsidP="003E395F">
      <w:pPr>
        <w:spacing w:line="360" w:lineRule="auto"/>
        <w:jc w:val="both"/>
        <w:rPr>
          <w:b/>
          <w:sz w:val="10"/>
        </w:rPr>
      </w:pPr>
      <w:r w:rsidRPr="00D86289">
        <w:rPr>
          <w:b/>
          <w:sz w:val="10"/>
        </w:rPr>
        <w:t>* Estimaciones al Cierre de 20</w:t>
      </w:r>
      <w:r w:rsidR="00427D8C" w:rsidRPr="00D86289">
        <w:rPr>
          <w:b/>
          <w:sz w:val="10"/>
        </w:rPr>
        <w:t>2</w:t>
      </w:r>
      <w:r w:rsidR="002A61E9" w:rsidRPr="00D86289">
        <w:rPr>
          <w:b/>
          <w:sz w:val="10"/>
        </w:rPr>
        <w:t>1</w:t>
      </w:r>
      <w:r w:rsidRPr="00D86289">
        <w:rPr>
          <w:b/>
          <w:sz w:val="10"/>
        </w:rPr>
        <w:t>.</w:t>
      </w:r>
    </w:p>
    <w:p w14:paraId="13D4E3C7" w14:textId="4DBFCC05" w:rsid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lastRenderedPageBreak/>
        <w:t xml:space="preserve">Ante un panorama económico que puede presentar riesgos en el corto y en el mediano plazo, esta administración no prevé la creación de nuevos impuestos ni el incremento en los ya vigentes, por lo que será una tarea fundamental el implementar una política fiscal que favorezca el financiamiento del gasto público, eficientando la administración y recaudación de las diferentes fuentes de ingresos, siguiendo entre otras estrategias las siguientes: </w:t>
      </w:r>
    </w:p>
    <w:p w14:paraId="6B326230" w14:textId="77777777" w:rsidR="001D11A0" w:rsidRPr="002A529D" w:rsidRDefault="001D11A0" w:rsidP="002A529D">
      <w:pPr>
        <w:pStyle w:val="PRIMERAPLANA"/>
        <w:spacing w:line="360" w:lineRule="auto"/>
        <w:rPr>
          <w:rFonts w:ascii="Times New Roman" w:hAnsi="Times New Roman"/>
          <w:lang w:val="es-ES"/>
        </w:rPr>
      </w:pPr>
    </w:p>
    <w:p w14:paraId="643A61AF" w14:textId="072EEECB" w:rsidR="002A529D" w:rsidRPr="002A529D" w:rsidRDefault="002A529D" w:rsidP="00B77C25">
      <w:pPr>
        <w:pStyle w:val="PRIMERAPLANA"/>
        <w:numPr>
          <w:ilvl w:val="0"/>
          <w:numId w:val="19"/>
        </w:numPr>
        <w:spacing w:line="360" w:lineRule="auto"/>
        <w:ind w:left="426" w:hanging="426"/>
        <w:rPr>
          <w:rFonts w:ascii="Times New Roman" w:hAnsi="Times New Roman"/>
          <w:lang w:val="es-ES"/>
        </w:rPr>
      </w:pPr>
      <w:r w:rsidRPr="002A529D">
        <w:rPr>
          <w:rFonts w:ascii="Times New Roman" w:hAnsi="Times New Roman"/>
          <w:lang w:val="es-ES"/>
        </w:rPr>
        <w:t>El aumento de la base de contribuyentes.</w:t>
      </w:r>
    </w:p>
    <w:p w14:paraId="7398D5E1" w14:textId="14A9B635" w:rsidR="002A529D" w:rsidRPr="002A529D" w:rsidRDefault="002A529D" w:rsidP="00B77C25">
      <w:pPr>
        <w:pStyle w:val="PRIMERAPLANA"/>
        <w:numPr>
          <w:ilvl w:val="0"/>
          <w:numId w:val="19"/>
        </w:numPr>
        <w:spacing w:line="360" w:lineRule="auto"/>
        <w:ind w:left="426" w:hanging="426"/>
        <w:rPr>
          <w:rFonts w:ascii="Times New Roman" w:hAnsi="Times New Roman"/>
          <w:lang w:val="es-ES"/>
        </w:rPr>
      </w:pPr>
      <w:r w:rsidRPr="002A529D">
        <w:rPr>
          <w:rFonts w:ascii="Times New Roman" w:hAnsi="Times New Roman"/>
          <w:lang w:val="es-ES"/>
        </w:rPr>
        <w:t>La promoción del uso de medios electrónicos de pago y la continua mejora de los procedimientos de fiscalización.</w:t>
      </w:r>
    </w:p>
    <w:p w14:paraId="495206F5" w14:textId="77777777" w:rsidR="002A529D" w:rsidRPr="002A529D" w:rsidRDefault="002A529D" w:rsidP="002A529D">
      <w:pPr>
        <w:pStyle w:val="PRIMERAPLANA"/>
        <w:numPr>
          <w:ilvl w:val="0"/>
          <w:numId w:val="19"/>
        </w:numPr>
        <w:spacing w:line="360" w:lineRule="auto"/>
        <w:ind w:left="426" w:hanging="426"/>
        <w:rPr>
          <w:rFonts w:ascii="Times New Roman" w:hAnsi="Times New Roman"/>
          <w:lang w:val="es-ES"/>
        </w:rPr>
      </w:pPr>
      <w:r w:rsidRPr="002A529D">
        <w:rPr>
          <w:rFonts w:ascii="Times New Roman" w:hAnsi="Times New Roman"/>
          <w:lang w:val="es-ES"/>
        </w:rPr>
        <w:t xml:space="preserve"> Fortalecer la recaudación y fiscalización de las contribuciones locales, especialmente en el Impuesto Sobre Nóminas, ya que, como fuente de ingresos locales para sufragar el gasto público, ocupa el primer lugar en la estructura de los ingresos propios.</w:t>
      </w:r>
    </w:p>
    <w:p w14:paraId="6AE1C655" w14:textId="77777777" w:rsidR="002A529D" w:rsidRPr="002A529D" w:rsidRDefault="002A529D" w:rsidP="002A529D">
      <w:pPr>
        <w:pStyle w:val="PRIMERAPLANA"/>
        <w:spacing w:line="360" w:lineRule="auto"/>
        <w:rPr>
          <w:rFonts w:ascii="Times New Roman" w:hAnsi="Times New Roman"/>
          <w:lang w:val="es-ES"/>
        </w:rPr>
      </w:pPr>
    </w:p>
    <w:p w14:paraId="7282A935" w14:textId="77777777" w:rsidR="002A529D"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En materia de incentivos fiscales estatales, se han propuesto políticas de fomento económico para impulsar la creación de nuevos empleos y generar cadenas productivas en el ámbito rural e industrial, que permitan atraer la atención de inversionistas al Estado.</w:t>
      </w:r>
    </w:p>
    <w:p w14:paraId="19A239B0" w14:textId="77777777" w:rsidR="002A529D" w:rsidRPr="002A529D" w:rsidRDefault="002A529D" w:rsidP="002A529D">
      <w:pPr>
        <w:pStyle w:val="PRIMERAPLANA"/>
        <w:spacing w:line="360" w:lineRule="auto"/>
        <w:rPr>
          <w:rFonts w:ascii="Times New Roman" w:hAnsi="Times New Roman"/>
          <w:lang w:val="es-ES"/>
        </w:rPr>
      </w:pPr>
    </w:p>
    <w:p w14:paraId="7F8BC9E9" w14:textId="77777777" w:rsidR="002A529D"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Observando el principio de justicia tributaria, se prevé otorgar estímulos en materia del Impuesto Sobre Nóminas a empresas que ya se encuentren instaladas y a las de nueva creación con domicilio fiscal en el Estado, que contraten adultos mayores y a personas con alguna discapacidad; por otra parte, se continuará subsidiando el pago del Impuesto Estatal Sobre Tenencia o Uso de Vehículos. Se otorgan beneficios a los propietarios, tenedores o usuarios de vehículos automotores híbridos que circulen en la Entidad, otorgándoles una exención del 100% en el pago del Impuesto Estatal Sobre Tenencia o Uso de Vehículos y de los Derechos por Registro y Control Vehicular.</w:t>
      </w:r>
    </w:p>
    <w:p w14:paraId="30CDD998" w14:textId="77777777" w:rsidR="002A529D" w:rsidRPr="002A529D" w:rsidRDefault="002A529D" w:rsidP="002A529D">
      <w:pPr>
        <w:pStyle w:val="PRIMERAPLANA"/>
        <w:spacing w:line="360" w:lineRule="auto"/>
        <w:rPr>
          <w:rFonts w:ascii="Times New Roman" w:hAnsi="Times New Roman"/>
          <w:lang w:val="es-ES"/>
        </w:rPr>
      </w:pPr>
    </w:p>
    <w:p w14:paraId="64217010" w14:textId="77777777" w:rsidR="002A529D"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 xml:space="preserve">Con el propósito de que los vehículos automotores que circulan dentro del territorio del Estado se encuentren debidamente identificados y se compruebe la posesión legal de los mismos, a través de la Secretaría de Movilidad y Transporte en coordinación con la Secretaría de Finanzas, se implementará el Programa Estatal de Reemplacamiento obligatorio 2023, de conformidad con lo estipulado en la Norma Oficial Mexicana NOM-001-SCT-2-2016, misma que establece que los vehículos automotores deberán contar con placas metálicas y calcomanías que faciliten su reconocimiento, a fin de mantener actualizado el registro público vehicular, así como otorgar seguridad jurídica a los actos que se realicen </w:t>
      </w:r>
      <w:r w:rsidRPr="002A529D">
        <w:rPr>
          <w:rFonts w:ascii="Times New Roman" w:hAnsi="Times New Roman"/>
          <w:lang w:val="es-ES"/>
        </w:rPr>
        <w:lastRenderedPageBreak/>
        <w:t>con vehículos que transiten en la Entidad, coadyuvando a mejorar la vigilancia e identificación de vehículos que intervienen en delitos como robos, secuestros, narcotráfico, y accidentes que provoquen pérdidas de vidas humanas, acción que contribuye a fortalecer la seguridad pública del Estado.</w:t>
      </w:r>
    </w:p>
    <w:p w14:paraId="71D4F977" w14:textId="77777777" w:rsidR="002A529D" w:rsidRPr="002A529D" w:rsidRDefault="002A529D" w:rsidP="002A529D">
      <w:pPr>
        <w:pStyle w:val="PRIMERAPLANA"/>
        <w:spacing w:line="360" w:lineRule="auto"/>
        <w:rPr>
          <w:rFonts w:ascii="Times New Roman" w:hAnsi="Times New Roman"/>
          <w:lang w:val="es-ES"/>
        </w:rPr>
      </w:pPr>
    </w:p>
    <w:p w14:paraId="12733A67" w14:textId="77777777" w:rsidR="002A529D"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Con la finalidad de no afectar la economía de las familias tlaxcaltecas, se establece en la Iniciativa de mérito el canje de placas del servicio público y privado al costo, para cumplir con la normativa federal vigente y actualizar el padrón estatal vehicular.</w:t>
      </w:r>
    </w:p>
    <w:p w14:paraId="699431BF" w14:textId="77777777" w:rsidR="002A529D" w:rsidRPr="002A529D" w:rsidRDefault="002A529D" w:rsidP="002A529D">
      <w:pPr>
        <w:pStyle w:val="PRIMERAPLANA"/>
        <w:spacing w:line="360" w:lineRule="auto"/>
        <w:rPr>
          <w:rFonts w:ascii="Times New Roman" w:hAnsi="Times New Roman"/>
          <w:lang w:val="es-ES"/>
        </w:rPr>
      </w:pPr>
    </w:p>
    <w:p w14:paraId="75454C4B" w14:textId="77777777" w:rsidR="002A529D"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Durante el primer trimestre de 2022, el Indicador Trimestral de la Actividad Económica Estatal (ITAEE), muestra que el Estado de Tlaxcala ha tenido un crecimiento mixto, en relación al trimestre anterior y al mismo periodo de 2021; con variaciones del -0.2% y 2.7% respectivamente, destacándose la aportación del sector secundario con un 5.2% a tasa anualizada.</w:t>
      </w:r>
    </w:p>
    <w:p w14:paraId="7E8CC643" w14:textId="77777777" w:rsidR="002A529D" w:rsidRPr="002A529D" w:rsidRDefault="002A529D" w:rsidP="002A529D">
      <w:pPr>
        <w:pStyle w:val="PRIMERAPLANA"/>
        <w:spacing w:line="360" w:lineRule="auto"/>
        <w:rPr>
          <w:rFonts w:ascii="Times New Roman" w:hAnsi="Times New Roman"/>
          <w:lang w:val="es-ES"/>
        </w:rPr>
      </w:pPr>
    </w:p>
    <w:p w14:paraId="4CBE83FD" w14:textId="799F03A1" w:rsidR="00515A89" w:rsidRPr="002A529D" w:rsidRDefault="002A529D" w:rsidP="002A529D">
      <w:pPr>
        <w:pStyle w:val="PRIMERAPLANA"/>
        <w:spacing w:line="360" w:lineRule="auto"/>
        <w:rPr>
          <w:rFonts w:ascii="Times New Roman" w:hAnsi="Times New Roman"/>
          <w:lang w:val="es-ES"/>
        </w:rPr>
      </w:pPr>
      <w:r w:rsidRPr="002A529D">
        <w:rPr>
          <w:rFonts w:ascii="Times New Roman" w:hAnsi="Times New Roman"/>
          <w:lang w:val="es-ES"/>
        </w:rPr>
        <w:t>En enero-marzo de 2022, a tasa trimestral y con cifras ajustadas estacionalmente, las entidades federativas que mostraron los aumentos más pronunciados en su actividad económica fueron: Hidalgo, Aguascalientes, San Luis Potosí y Chihuahua. En el primer trimestre de 2022, a tasa anual y con cifras desestacionalizadas, los estados que reportaron los avances más significativos fueron: Baja California Sur, Tabasco, Quintana Roo, Hidalgo, Guerrero y Morelos</w:t>
      </w:r>
      <w:r w:rsidR="0090196F" w:rsidRPr="002A529D">
        <w:rPr>
          <w:rFonts w:ascii="Times New Roman" w:hAnsi="Times New Roman"/>
          <w:lang w:val="es-ES"/>
        </w:rPr>
        <w:t>.</w:t>
      </w:r>
      <w:r w:rsidR="00515A89" w:rsidRPr="002A529D">
        <w:rPr>
          <w:rFonts w:ascii="Times New Roman" w:hAnsi="Times New Roman"/>
          <w:lang w:val="es-ES"/>
        </w:rPr>
        <w:t xml:space="preserve"> </w:t>
      </w:r>
    </w:p>
    <w:p w14:paraId="0AE34849" w14:textId="3F96636A" w:rsidR="00922A35" w:rsidRDefault="00922A35" w:rsidP="00922A35">
      <w:pPr>
        <w:pStyle w:val="PRIMERAPLANA"/>
        <w:spacing w:line="360" w:lineRule="auto"/>
        <w:jc w:val="center"/>
        <w:rPr>
          <w:rFonts w:cs="Arial"/>
          <w:sz w:val="24"/>
          <w:szCs w:val="24"/>
          <w:lang w:val="es-ES"/>
        </w:rPr>
      </w:pPr>
      <w:r>
        <w:rPr>
          <w:noProof/>
          <w:lang w:val="es-MX" w:eastAsia="es-MX"/>
        </w:rPr>
        <w:lastRenderedPageBreak/>
        <mc:AlternateContent>
          <mc:Choice Requires="wps">
            <w:drawing>
              <wp:anchor distT="0" distB="0" distL="114300" distR="114300" simplePos="0" relativeHeight="251683840" behindDoc="0" locked="0" layoutInCell="1" allowOverlap="1" wp14:anchorId="5F128959" wp14:editId="62BCD85F">
                <wp:simplePos x="0" y="0"/>
                <wp:positionH relativeFrom="margin">
                  <wp:posOffset>791210</wp:posOffset>
                </wp:positionH>
                <wp:positionV relativeFrom="paragraph">
                  <wp:posOffset>2753360</wp:posOffset>
                </wp:positionV>
                <wp:extent cx="309880" cy="45719"/>
                <wp:effectExtent l="19050" t="38100" r="52070" b="50165"/>
                <wp:wrapNone/>
                <wp:docPr id="4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45719"/>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A538E5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62.3pt;margin-top:216.8pt;width:24.4pt;height:3.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" adj="18118" fillcolor="red" strokecolor="red" strokeweight="3pt">
                <v:shadow on="t" color="#823b0b" opacity=".5" offset="1pt"/>
                <w10:wrap anchorx="margin"/>
              </v:shape>
            </w:pict>
          </mc:Fallback>
        </mc:AlternateContent>
      </w:r>
      <w:r w:rsidR="00040A49" w:rsidRPr="00040A49">
        <w:rPr>
          <w:noProof/>
          <w:lang w:val="es-MX" w:eastAsia="es-MX"/>
        </w:rPr>
        <w:t xml:space="preserve"> </w:t>
      </w:r>
      <w:r w:rsidR="00611005">
        <w:rPr>
          <w:noProof/>
          <w:lang w:val="es-MX" w:eastAsia="es-MX"/>
        </w:rPr>
        <w:drawing>
          <wp:inline distT="0" distB="0" distL="0" distR="0" wp14:anchorId="0770ABA2" wp14:editId="1AF2B4B4">
            <wp:extent cx="3171190" cy="324802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6085" t="22925" r="37350" b="4473"/>
                    <a:stretch/>
                  </pic:blipFill>
                  <pic:spPr bwMode="auto">
                    <a:xfrm>
                      <a:off x="0" y="0"/>
                      <a:ext cx="3171190" cy="3248025"/>
                    </a:xfrm>
                    <a:prstGeom prst="rect">
                      <a:avLst/>
                    </a:prstGeom>
                    <a:ln>
                      <a:noFill/>
                    </a:ln>
                    <a:extLst>
                      <a:ext uri="{53640926-AAD7-44D8-BBD7-CCE9431645EC}">
                        <a14:shadowObscured xmlns:a14="http://schemas.microsoft.com/office/drawing/2010/main"/>
                      </a:ext>
                    </a:extLst>
                  </pic:spPr>
                </pic:pic>
              </a:graphicData>
            </a:graphic>
          </wp:inline>
        </w:drawing>
      </w:r>
    </w:p>
    <w:p w14:paraId="29207D36" w14:textId="62809429" w:rsidR="00515A89" w:rsidRDefault="00611005" w:rsidP="00515A89">
      <w:pPr>
        <w:pStyle w:val="PRIMERAPLANA"/>
        <w:spacing w:line="360" w:lineRule="auto"/>
        <w:jc w:val="center"/>
        <w:rPr>
          <w:rFonts w:cs="Arial"/>
          <w:sz w:val="24"/>
          <w:szCs w:val="24"/>
          <w:lang w:val="es-ES"/>
        </w:rPr>
      </w:pPr>
      <w:r>
        <w:rPr>
          <w:noProof/>
          <w:lang w:val="es-MX" w:eastAsia="es-MX"/>
        </w:rPr>
        <w:lastRenderedPageBreak/>
        <mc:AlternateContent>
          <mc:Choice Requires="wps">
            <w:drawing>
              <wp:anchor distT="0" distB="0" distL="114300" distR="114300" simplePos="0" relativeHeight="251677696" behindDoc="0" locked="0" layoutInCell="1" allowOverlap="1" wp14:anchorId="21FAEDFE" wp14:editId="433C71A6">
                <wp:simplePos x="0" y="0"/>
                <wp:positionH relativeFrom="leftMargin">
                  <wp:posOffset>3227705</wp:posOffset>
                </wp:positionH>
                <wp:positionV relativeFrom="paragraph">
                  <wp:posOffset>1989455</wp:posOffset>
                </wp:positionV>
                <wp:extent cx="189865" cy="45720"/>
                <wp:effectExtent l="19050" t="38100" r="57785" b="49530"/>
                <wp:wrapNone/>
                <wp:docPr id="2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89865" cy="45720"/>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E7154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254.15pt;margin-top:156.65pt;width:14.95pt;height:3.6pt;flip:y;z-index:251677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" adj="15918" fillcolor="red" strokecolor="red" strokeweight="3pt">
                <v:shadow on="t" color="#823b0b" opacity=".5" offset="1pt"/>
                <w10:wrap anchorx="margin"/>
              </v:shape>
            </w:pict>
          </mc:Fallback>
        </mc:AlternateContent>
      </w:r>
      <w:r>
        <w:rPr>
          <w:noProof/>
          <w:lang w:val="es-MX" w:eastAsia="es-MX"/>
        </w:rPr>
        <mc:AlternateContent>
          <mc:Choice Requires="wps">
            <w:drawing>
              <wp:anchor distT="0" distB="0" distL="114300" distR="114300" simplePos="0" relativeHeight="251678720" behindDoc="0" locked="0" layoutInCell="1" allowOverlap="1" wp14:anchorId="29A691A6" wp14:editId="576F6FC4">
                <wp:simplePos x="0" y="0"/>
                <wp:positionH relativeFrom="margin">
                  <wp:posOffset>2934335</wp:posOffset>
                </wp:positionH>
                <wp:positionV relativeFrom="paragraph">
                  <wp:posOffset>3016885</wp:posOffset>
                </wp:positionV>
                <wp:extent cx="147995" cy="52855"/>
                <wp:effectExtent l="19050" t="38100" r="61595" b="61595"/>
                <wp:wrapNone/>
                <wp:docPr id="2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995" cy="52855"/>
                        </a:xfrm>
                        <a:prstGeom prst="rightArrow">
                          <a:avLst>
                            <a:gd name="adj1" fmla="val 50000"/>
                            <a:gd name="adj2" fmla="val 109250"/>
                          </a:avLst>
                        </a:prstGeom>
                        <a:solidFill>
                          <a:srgbClr val="FF0000"/>
                        </a:solidFill>
                        <a:ln w="38100">
                          <a:solidFill>
                            <a:srgbClr val="FF0000"/>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40ACF64" id="AutoShape 86" o:spid="_x0000_s1026" type="#_x0000_t13" style="position:absolute;margin-left:231.05pt;margin-top:237.55pt;width:11.65pt;height:4.1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" adj="13172" fillcolor="red" strokecolor="red" strokeweight="3pt">
                <v:shadow on="t" color="#823b0b" opacity=".5" offset="1pt"/>
                <w10:wrap anchorx="margin"/>
              </v:shape>
            </w:pict>
          </mc:Fallback>
        </mc:AlternateContent>
      </w:r>
      <w:r>
        <w:rPr>
          <w:noProof/>
          <w:lang w:val="es-MX" w:eastAsia="es-MX"/>
        </w:rPr>
        <w:drawing>
          <wp:inline distT="0" distB="0" distL="0" distR="0" wp14:anchorId="030BA54B" wp14:editId="6181B2AF">
            <wp:extent cx="3286246" cy="4733925"/>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537" t="22106" r="30931" b="6353"/>
                    <a:stretch/>
                  </pic:blipFill>
                  <pic:spPr bwMode="auto">
                    <a:xfrm>
                      <a:off x="0" y="0"/>
                      <a:ext cx="3384281" cy="4875146"/>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5E70445A" w14:textId="2DD2150B" w:rsidR="00515A89" w:rsidRDefault="00515A89" w:rsidP="00515A89">
      <w:pPr>
        <w:pStyle w:val="PRIMERAPLANA"/>
        <w:spacing w:line="360" w:lineRule="auto"/>
        <w:jc w:val="center"/>
        <w:rPr>
          <w:rFonts w:cs="Arial"/>
          <w:sz w:val="24"/>
          <w:szCs w:val="24"/>
          <w:lang w:val="es-ES"/>
        </w:rPr>
      </w:pPr>
    </w:p>
    <w:p w14:paraId="3F5E0961" w14:textId="77777777" w:rsidR="002A529D" w:rsidRPr="002A529D" w:rsidRDefault="002A529D" w:rsidP="002A529D">
      <w:pPr>
        <w:spacing w:line="360" w:lineRule="auto"/>
        <w:jc w:val="both"/>
        <w:rPr>
          <w:sz w:val="20"/>
          <w:szCs w:val="20"/>
        </w:rPr>
      </w:pPr>
      <w:r w:rsidRPr="002A529D">
        <w:rPr>
          <w:sz w:val="20"/>
          <w:szCs w:val="20"/>
        </w:rPr>
        <w:t>El Gobierno del Estado considera prioritaria una estrategia de inclusión social con perspectiva de género, por lo que la atención de los derechos de las niñas, niños y adolescentes de 0 a 5 años y adolescentes hasta los 18 años es fundamental, pues con estas acciones se previenen posibles rezagos y desigualdades en este sector de la población, para lo cual se incorporarán propuestas y estrategias de desarrollo con perspectiva de género.</w:t>
      </w:r>
    </w:p>
    <w:p w14:paraId="159AAD07" w14:textId="77777777" w:rsidR="002A529D" w:rsidRPr="002A529D" w:rsidRDefault="002A529D" w:rsidP="002A529D">
      <w:pPr>
        <w:spacing w:line="360" w:lineRule="auto"/>
        <w:jc w:val="both"/>
        <w:rPr>
          <w:sz w:val="20"/>
          <w:szCs w:val="20"/>
        </w:rPr>
      </w:pPr>
    </w:p>
    <w:p w14:paraId="07F53AFD" w14:textId="69EC9066" w:rsidR="00515A89" w:rsidRDefault="002A529D" w:rsidP="002A529D">
      <w:pPr>
        <w:spacing w:line="360" w:lineRule="auto"/>
        <w:jc w:val="both"/>
        <w:rPr>
          <w:rFonts w:ascii="Arial" w:hAnsi="Arial" w:cs="Arial"/>
        </w:rPr>
      </w:pPr>
      <w:r w:rsidRPr="002A529D">
        <w:rPr>
          <w:sz w:val="20"/>
          <w:szCs w:val="20"/>
        </w:rPr>
        <w:t xml:space="preserve">Al mes de septiembre de 2022 la tasa de ocupación reflejó una participación del 1% al total nacional, presentando un incremento de 6,983, puestos de trabajo permanentes respecto a diciembre de 2021. </w:t>
      </w:r>
      <w:r w:rsidRPr="002A529D">
        <w:rPr>
          <w:sz w:val="20"/>
          <w:szCs w:val="20"/>
        </w:rPr>
        <w:lastRenderedPageBreak/>
        <w:t>Al mes de agosto de 2022, se tienen registrados 110,420 trabajadores asegurados en el IMSS, tal y como se muestra en los cuadros siguientes</w:t>
      </w:r>
      <w:r w:rsidR="00515A89" w:rsidRPr="00D86289">
        <w:rPr>
          <w:sz w:val="20"/>
          <w:szCs w:val="20"/>
        </w:rPr>
        <w:t>:</w:t>
      </w:r>
    </w:p>
    <w:p w14:paraId="33CE8616" w14:textId="1CCF9191" w:rsidR="00AF31B1" w:rsidRDefault="00611005" w:rsidP="00AF31B1">
      <w:pPr>
        <w:spacing w:line="360" w:lineRule="auto"/>
        <w:jc w:val="center"/>
        <w:rPr>
          <w:rFonts w:ascii="Arial" w:hAnsi="Arial" w:cs="Arial"/>
        </w:rPr>
      </w:pPr>
      <w:r>
        <w:rPr>
          <w:noProof/>
          <w:lang w:val="es-MX" w:eastAsia="es-MX"/>
        </w:rPr>
        <w:drawing>
          <wp:inline distT="0" distB="0" distL="0" distR="0" wp14:anchorId="621027E3" wp14:editId="7387641E">
            <wp:extent cx="3552825" cy="2896976"/>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25000"/>
                              </a14:imgEffect>
                            </a14:imgLayer>
                          </a14:imgProps>
                        </a:ext>
                      </a:extLst>
                    </a:blip>
                    <a:srcRect l="25003" t="18831" r="22170" b="4585"/>
                    <a:stretch/>
                  </pic:blipFill>
                  <pic:spPr bwMode="auto">
                    <a:xfrm>
                      <a:off x="0" y="0"/>
                      <a:ext cx="3584826" cy="2923070"/>
                    </a:xfrm>
                    <a:prstGeom prst="rect">
                      <a:avLst/>
                    </a:prstGeom>
                    <a:ln>
                      <a:noFill/>
                    </a:ln>
                    <a:extLst>
                      <a:ext uri="{53640926-AAD7-44D8-BBD7-CCE9431645EC}">
                        <a14:shadowObscured xmlns:a14="http://schemas.microsoft.com/office/drawing/2010/main"/>
                      </a:ext>
                    </a:extLst>
                  </pic:spPr>
                </pic:pic>
              </a:graphicData>
            </a:graphic>
          </wp:inline>
        </w:drawing>
      </w:r>
    </w:p>
    <w:p w14:paraId="64C327C4" w14:textId="2DD9871D" w:rsidR="00611005" w:rsidRDefault="00611005" w:rsidP="00AF31B1">
      <w:pPr>
        <w:spacing w:line="360" w:lineRule="auto"/>
        <w:jc w:val="center"/>
        <w:rPr>
          <w:rFonts w:ascii="Arial" w:hAnsi="Arial" w:cs="Arial"/>
        </w:rPr>
      </w:pPr>
      <w:r>
        <w:rPr>
          <w:noProof/>
          <w:lang w:val="es-MX" w:eastAsia="es-MX"/>
        </w:rPr>
        <w:drawing>
          <wp:inline distT="0" distB="0" distL="0" distR="0" wp14:anchorId="0D212626" wp14:editId="5B8A6FA9">
            <wp:extent cx="4038600" cy="2682126"/>
            <wp:effectExtent l="0" t="0" r="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BEBA8EAE-BF5A-486C-A8C5-ECC9F3942E4B}">
                          <a14:imgProps xmlns:a14="http://schemas.microsoft.com/office/drawing/2010/main">
                            <a14:imgLayer r:embed="rId32">
                              <a14:imgEffect>
                                <a14:brightnessContrast contrast="-20000"/>
                              </a14:imgEffect>
                            </a14:imgLayer>
                          </a14:imgProps>
                        </a:ext>
                      </a:extLst>
                    </a:blip>
                    <a:srcRect l="22319" t="21343" r="23719" b="7312"/>
                    <a:stretch/>
                  </pic:blipFill>
                  <pic:spPr bwMode="auto">
                    <a:xfrm>
                      <a:off x="0" y="0"/>
                      <a:ext cx="4111015" cy="2730218"/>
                    </a:xfrm>
                    <a:prstGeom prst="rect">
                      <a:avLst/>
                    </a:prstGeom>
                    <a:ln>
                      <a:noFill/>
                    </a:ln>
                    <a:extLst>
                      <a:ext uri="{53640926-AAD7-44D8-BBD7-CCE9431645EC}">
                        <a14:shadowObscured xmlns:a14="http://schemas.microsoft.com/office/drawing/2010/main"/>
                      </a:ext>
                    </a:extLst>
                  </pic:spPr>
                </pic:pic>
              </a:graphicData>
            </a:graphic>
          </wp:inline>
        </w:drawing>
      </w:r>
    </w:p>
    <w:p w14:paraId="6438A4D2" w14:textId="77777777" w:rsidR="00611005" w:rsidRDefault="00611005" w:rsidP="00611005">
      <w:pPr>
        <w:spacing w:line="360" w:lineRule="auto"/>
        <w:jc w:val="both"/>
        <w:rPr>
          <w:sz w:val="20"/>
          <w:szCs w:val="20"/>
        </w:rPr>
      </w:pPr>
    </w:p>
    <w:p w14:paraId="5E55E6DA" w14:textId="31909BAB" w:rsidR="00AF31B1" w:rsidRPr="00611005" w:rsidRDefault="002A529D" w:rsidP="00611005">
      <w:pPr>
        <w:spacing w:line="360" w:lineRule="auto"/>
        <w:jc w:val="both"/>
        <w:rPr>
          <w:sz w:val="20"/>
          <w:szCs w:val="20"/>
        </w:rPr>
      </w:pPr>
      <w:r w:rsidRPr="002A529D">
        <w:rPr>
          <w:sz w:val="20"/>
          <w:szCs w:val="20"/>
        </w:rPr>
        <w:t>De acuerdo al Directorio Estadístico Nacional de Unidades Económicas, Tlaxcala cuenta con 82,492 Unidades Económicas al mes de septiembre de 2022, en los rubros siguientes</w:t>
      </w:r>
      <w:r>
        <w:rPr>
          <w:sz w:val="20"/>
          <w:szCs w:val="20"/>
        </w:rPr>
        <w:t>:</w:t>
      </w:r>
    </w:p>
    <w:p w14:paraId="1C785B8B" w14:textId="4748F990" w:rsidR="00515A89" w:rsidRDefault="00611005" w:rsidP="00515A89">
      <w:pPr>
        <w:spacing w:line="360" w:lineRule="auto"/>
        <w:jc w:val="center"/>
        <w:rPr>
          <w:rFonts w:ascii="Arial" w:hAnsi="Arial" w:cs="Arial"/>
          <w:b/>
          <w:sz w:val="12"/>
        </w:rPr>
      </w:pPr>
      <w:r w:rsidRPr="00787655">
        <w:rPr>
          <w:noProof/>
          <w:lang w:val="es-MX" w:eastAsia="es-MX"/>
        </w:rPr>
        <w:lastRenderedPageBreak/>
        <w:drawing>
          <wp:inline distT="0" distB="0" distL="0" distR="0" wp14:anchorId="559AF2F6" wp14:editId="486BCF92">
            <wp:extent cx="2864131" cy="27051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06213" cy="2839293"/>
                    </a:xfrm>
                    <a:prstGeom prst="rect">
                      <a:avLst/>
                    </a:prstGeom>
                    <a:noFill/>
                    <a:ln>
                      <a:noFill/>
                    </a:ln>
                  </pic:spPr>
                </pic:pic>
              </a:graphicData>
            </a:graphic>
          </wp:inline>
        </w:drawing>
      </w:r>
    </w:p>
    <w:p w14:paraId="505C9938" w14:textId="28835930" w:rsidR="00515A89" w:rsidRPr="00D86289" w:rsidRDefault="00515A89" w:rsidP="00515A89">
      <w:pPr>
        <w:spacing w:line="360" w:lineRule="auto"/>
        <w:ind w:left="1701"/>
        <w:rPr>
          <w:sz w:val="12"/>
        </w:rPr>
      </w:pPr>
      <w:r w:rsidRPr="00D86289">
        <w:rPr>
          <w:b/>
          <w:sz w:val="12"/>
        </w:rPr>
        <w:t>FUENTE:</w:t>
      </w:r>
      <w:r w:rsidRPr="00D86289">
        <w:rPr>
          <w:sz w:val="12"/>
        </w:rPr>
        <w:t xml:space="preserve"> INEGI. DENUE. </w:t>
      </w:r>
      <w:r w:rsidR="00611005">
        <w:rPr>
          <w:sz w:val="12"/>
        </w:rPr>
        <w:t>Septiembre</w:t>
      </w:r>
      <w:r w:rsidRPr="00D86289">
        <w:rPr>
          <w:sz w:val="12"/>
        </w:rPr>
        <w:t xml:space="preserve"> 202</w:t>
      </w:r>
      <w:r w:rsidR="00611005">
        <w:rPr>
          <w:sz w:val="12"/>
        </w:rPr>
        <w:t>2</w:t>
      </w:r>
      <w:r w:rsidRPr="00D86289">
        <w:rPr>
          <w:sz w:val="12"/>
        </w:rPr>
        <w:t>.</w:t>
      </w:r>
    </w:p>
    <w:p w14:paraId="7CB5EF4E" w14:textId="5A2E287C" w:rsidR="00611005" w:rsidRDefault="002A529D" w:rsidP="00515A89">
      <w:pPr>
        <w:spacing w:line="360" w:lineRule="auto"/>
        <w:jc w:val="both"/>
        <w:rPr>
          <w:noProof/>
          <w:lang w:val="es-MX" w:eastAsia="es-MX"/>
        </w:rPr>
      </w:pPr>
      <w:r w:rsidRPr="002A529D">
        <w:rPr>
          <w:sz w:val="20"/>
          <w:szCs w:val="20"/>
        </w:rPr>
        <w:t>Lo que representa una participación del 1.4% del Estado en el total nacional. Al segundo trimestre de 2022 la Población Económicamente Activa (PEA) ascendió a 630,978 personas, representando el 61% de la población en edad de trabajar. Del total de la PEA, el 96% está ocupada y el 4% se encuentra desocupada</w:t>
      </w:r>
      <w:r w:rsidR="00515A89" w:rsidRPr="00D86289">
        <w:rPr>
          <w:sz w:val="20"/>
          <w:szCs w:val="20"/>
        </w:rPr>
        <w:t>.</w:t>
      </w:r>
    </w:p>
    <w:p w14:paraId="6CD4362D" w14:textId="242F3B49" w:rsidR="00611005" w:rsidRPr="00D86289" w:rsidRDefault="00611005" w:rsidP="007A4BB5">
      <w:pPr>
        <w:spacing w:line="360" w:lineRule="auto"/>
        <w:jc w:val="center"/>
        <w:rPr>
          <w:sz w:val="20"/>
          <w:szCs w:val="20"/>
        </w:rPr>
      </w:pPr>
      <w:r>
        <w:rPr>
          <w:noProof/>
          <w:lang w:val="es-MX" w:eastAsia="es-MX"/>
        </w:rPr>
        <w:drawing>
          <wp:inline distT="0" distB="0" distL="0" distR="0" wp14:anchorId="43021864" wp14:editId="170F12DE">
            <wp:extent cx="3971925" cy="307657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4104" t="25651" r="25370" b="8007"/>
                    <a:stretch/>
                  </pic:blipFill>
                  <pic:spPr bwMode="auto">
                    <a:xfrm>
                      <a:off x="0" y="0"/>
                      <a:ext cx="3971925" cy="3076575"/>
                    </a:xfrm>
                    <a:prstGeom prst="rect">
                      <a:avLst/>
                    </a:prstGeom>
                    <a:ln>
                      <a:noFill/>
                    </a:ln>
                    <a:extLst>
                      <a:ext uri="{53640926-AAD7-44D8-BBD7-CCE9431645EC}">
                        <a14:shadowObscured xmlns:a14="http://schemas.microsoft.com/office/drawing/2010/main"/>
                      </a:ext>
                    </a:extLst>
                  </pic:spPr>
                </pic:pic>
              </a:graphicData>
            </a:graphic>
          </wp:inline>
        </w:drawing>
      </w:r>
    </w:p>
    <w:p w14:paraId="37045419" w14:textId="1B1790E3" w:rsidR="00515A89" w:rsidRDefault="007A4BB5" w:rsidP="008D7155">
      <w:pPr>
        <w:spacing w:line="360" w:lineRule="auto"/>
        <w:jc w:val="center"/>
        <w:rPr>
          <w:rFonts w:ascii="Arial" w:hAnsi="Arial" w:cs="Arial"/>
        </w:rPr>
      </w:pPr>
      <w:r>
        <w:rPr>
          <w:noProof/>
          <w:lang w:val="es-MX" w:eastAsia="es-MX"/>
        </w:rPr>
        <w:lastRenderedPageBreak/>
        <w:drawing>
          <wp:inline distT="0" distB="0" distL="0" distR="0" wp14:anchorId="721E0311" wp14:editId="572F8063">
            <wp:extent cx="3867150" cy="2983009"/>
            <wp:effectExtent l="0" t="0" r="0" b="825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061" t="26495" r="26167" b="8055"/>
                    <a:stretch/>
                  </pic:blipFill>
                  <pic:spPr bwMode="auto">
                    <a:xfrm>
                      <a:off x="0" y="0"/>
                      <a:ext cx="3918528" cy="3022641"/>
                    </a:xfrm>
                    <a:prstGeom prst="rect">
                      <a:avLst/>
                    </a:prstGeom>
                    <a:ln>
                      <a:noFill/>
                    </a:ln>
                    <a:extLst>
                      <a:ext uri="{53640926-AAD7-44D8-BBD7-CCE9431645EC}">
                        <a14:shadowObscured xmlns:a14="http://schemas.microsoft.com/office/drawing/2010/main"/>
                      </a:ext>
                    </a:extLst>
                  </pic:spPr>
                </pic:pic>
              </a:graphicData>
            </a:graphic>
          </wp:inline>
        </w:drawing>
      </w:r>
    </w:p>
    <w:p w14:paraId="134C3385" w14:textId="38537D08" w:rsidR="0090429A" w:rsidRDefault="0090429A" w:rsidP="008D7155">
      <w:pPr>
        <w:spacing w:line="360" w:lineRule="auto"/>
        <w:jc w:val="center"/>
        <w:rPr>
          <w:rFonts w:ascii="Arial" w:hAnsi="Arial" w:cs="Arial"/>
        </w:rPr>
      </w:pPr>
    </w:p>
    <w:p w14:paraId="3F554BCF" w14:textId="77777777" w:rsidR="002A529D" w:rsidRPr="002A529D" w:rsidRDefault="002A529D" w:rsidP="002A529D">
      <w:pPr>
        <w:spacing w:line="360" w:lineRule="auto"/>
        <w:jc w:val="both"/>
        <w:rPr>
          <w:sz w:val="20"/>
          <w:szCs w:val="20"/>
        </w:rPr>
      </w:pPr>
      <w:r w:rsidRPr="002A529D">
        <w:rPr>
          <w:sz w:val="20"/>
          <w:szCs w:val="20"/>
        </w:rPr>
        <w:t xml:space="preserve">Los Objetivos de Desarrollo Sostenible (ODS), constituyen un llamado universal a la acción, para poner fin a la pobreza, proteger el planeta y mejorar la vida y la perspectiva de las personas en todo el mundo. El plan para alcanzar los objetivos planteados en el documento, es de 15 años. La ONU considera que se está progresando en muchos lugares, pero en general, las medidas encaminadas a lograr los propósitos todavía no avanzan a la velocidad, ni escalas necesarias. </w:t>
      </w:r>
    </w:p>
    <w:p w14:paraId="464A289A" w14:textId="77777777" w:rsidR="002A529D" w:rsidRPr="002A529D" w:rsidRDefault="002A529D" w:rsidP="002A529D">
      <w:pPr>
        <w:spacing w:line="360" w:lineRule="auto"/>
        <w:jc w:val="both"/>
        <w:rPr>
          <w:sz w:val="20"/>
          <w:szCs w:val="20"/>
        </w:rPr>
      </w:pPr>
    </w:p>
    <w:p w14:paraId="26048512" w14:textId="77777777" w:rsidR="002A529D" w:rsidRPr="002A529D" w:rsidRDefault="002A529D" w:rsidP="002A529D">
      <w:pPr>
        <w:spacing w:line="360" w:lineRule="auto"/>
        <w:jc w:val="both"/>
        <w:rPr>
          <w:sz w:val="20"/>
          <w:szCs w:val="20"/>
        </w:rPr>
      </w:pPr>
      <w:r w:rsidRPr="002A529D">
        <w:rPr>
          <w:sz w:val="20"/>
          <w:szCs w:val="20"/>
        </w:rPr>
        <w:t>El año 2020 marcó el inicio de una década de acción ambiciosa a fin de alcanzar los objetivos para el 2030, por lo que en nuestro Estado conscientes de la necesidad de integración en un entorno globalizado y observando los compromisos internacionales que nuestro país asumió en materia de desarrollo humano, cuidado del ambiente y responsabilidad con el planeta, hemos buscado insertar los productos tlaxcaltecas en los mercados nacional e internacional identificando las oportunidades de una economía globalizada y aprovecharlas, dado que se presentan mayores complejidades.</w:t>
      </w:r>
    </w:p>
    <w:p w14:paraId="1671D750" w14:textId="77777777" w:rsidR="002A529D" w:rsidRPr="002A529D" w:rsidRDefault="002A529D" w:rsidP="002A529D">
      <w:pPr>
        <w:spacing w:line="360" w:lineRule="auto"/>
        <w:jc w:val="both"/>
        <w:rPr>
          <w:sz w:val="20"/>
          <w:szCs w:val="20"/>
        </w:rPr>
      </w:pPr>
    </w:p>
    <w:p w14:paraId="6C626823" w14:textId="285DCE63" w:rsidR="0012754E" w:rsidRPr="00D86289" w:rsidRDefault="002A529D" w:rsidP="002A529D">
      <w:pPr>
        <w:spacing w:line="360" w:lineRule="auto"/>
        <w:jc w:val="both"/>
        <w:rPr>
          <w:sz w:val="20"/>
          <w:szCs w:val="20"/>
        </w:rPr>
      </w:pPr>
      <w:r w:rsidRPr="002A529D">
        <w:rPr>
          <w:sz w:val="20"/>
          <w:szCs w:val="20"/>
        </w:rPr>
        <w:t>Al primer trimestre de 2022, la Inversión Extranjera Directa Acumulada del año 1999 al mes de marzo de 2022 en el Estado de Tlaxcala fue de 3,710.4 millones de dólares, lo que representó un aporte del 0.6 % al total nacional, instalándose empresas de diversas nacionalidades, tal y como se observa en el cuadro comparativo siguiente</w:t>
      </w:r>
      <w:r w:rsidR="004146F7" w:rsidRPr="00D86289">
        <w:rPr>
          <w:sz w:val="20"/>
          <w:szCs w:val="20"/>
        </w:rPr>
        <w:t>:</w:t>
      </w:r>
    </w:p>
    <w:p w14:paraId="1641E667" w14:textId="734BA3F6" w:rsidR="0076316E" w:rsidRDefault="0076316E" w:rsidP="00CC771B">
      <w:pPr>
        <w:spacing w:line="360" w:lineRule="auto"/>
        <w:jc w:val="both"/>
        <w:rPr>
          <w:rFonts w:ascii="Arial" w:hAnsi="Arial" w:cs="Arial"/>
        </w:rPr>
      </w:pPr>
    </w:p>
    <w:p w14:paraId="37DE0ECD" w14:textId="427F7F26" w:rsidR="00AE2486" w:rsidRDefault="007A4BB5" w:rsidP="007A4BB5">
      <w:pPr>
        <w:spacing w:line="360" w:lineRule="auto"/>
        <w:jc w:val="center"/>
        <w:rPr>
          <w:rFonts w:ascii="Arial" w:hAnsi="Arial" w:cs="Arial"/>
        </w:rPr>
      </w:pPr>
      <w:r>
        <w:rPr>
          <w:noProof/>
          <w:lang w:val="es-MX" w:eastAsia="es-MX"/>
        </w:rPr>
        <mc:AlternateContent>
          <mc:Choice Requires="wps">
            <w:drawing>
              <wp:anchor distT="0" distB="0" distL="114300" distR="114300" simplePos="0" relativeHeight="251687936" behindDoc="0" locked="0" layoutInCell="1" allowOverlap="1" wp14:anchorId="303DA0C9" wp14:editId="4568A980">
                <wp:simplePos x="0" y="0"/>
                <wp:positionH relativeFrom="margin">
                  <wp:posOffset>169240</wp:posOffset>
                </wp:positionH>
                <wp:positionV relativeFrom="paragraph">
                  <wp:posOffset>2510155</wp:posOffset>
                </wp:positionV>
                <wp:extent cx="4799076" cy="80467"/>
                <wp:effectExtent l="0" t="0" r="20955" b="15240"/>
                <wp:wrapNone/>
                <wp:docPr id="8" name="Rectángulo 8"/>
                <wp:cNvGraphicFramePr/>
                <a:graphic xmlns:a="http://schemas.openxmlformats.org/drawingml/2006/main">
                  <a:graphicData uri="http://schemas.microsoft.com/office/word/2010/wordprocessingShape">
                    <wps:wsp>
                      <wps:cNvSpPr/>
                      <wps:spPr>
                        <a:xfrm>
                          <a:off x="0" y="0"/>
                          <a:ext cx="4799076" cy="80467"/>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AFF7BA5" id="Rectángulo 8" o:spid="_x0000_s1026" style="position:absolute;margin-left:13.35pt;margin-top:197.65pt;width:377.9pt;height:6.3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" filled="f" strokecolor="#7030a0" strokeweight="1.5pt">
                <w10:wrap anchorx="margin"/>
              </v:rect>
            </w:pict>
          </mc:Fallback>
        </mc:AlternateContent>
      </w:r>
      <w:r w:rsidRPr="009E7212">
        <w:rPr>
          <w:noProof/>
          <w:lang w:val="es-MX" w:eastAsia="es-MX"/>
        </w:rPr>
        <w:drawing>
          <wp:inline distT="0" distB="0" distL="0" distR="0" wp14:anchorId="6594DE48" wp14:editId="12109E92">
            <wp:extent cx="4762500" cy="311213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harpenSoften amount="25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l="5403" t="20442" r="6622" b="8546"/>
                    <a:stretch/>
                  </pic:blipFill>
                  <pic:spPr bwMode="auto">
                    <a:xfrm>
                      <a:off x="0" y="0"/>
                      <a:ext cx="4766200" cy="3114553"/>
                    </a:xfrm>
                    <a:prstGeom prst="rect">
                      <a:avLst/>
                    </a:prstGeom>
                    <a:noFill/>
                    <a:ln>
                      <a:noFill/>
                    </a:ln>
                    <a:extLst>
                      <a:ext uri="{53640926-AAD7-44D8-BBD7-CCE9431645EC}">
                        <a14:shadowObscured xmlns:a14="http://schemas.microsoft.com/office/drawing/2010/main"/>
                      </a:ext>
                    </a:extLst>
                  </pic:spPr>
                </pic:pic>
              </a:graphicData>
            </a:graphic>
          </wp:inline>
        </w:drawing>
      </w:r>
    </w:p>
    <w:p w14:paraId="6DD0E881" w14:textId="77777777" w:rsidR="00D140F6" w:rsidRDefault="00D140F6" w:rsidP="00CC771B">
      <w:pPr>
        <w:spacing w:line="360" w:lineRule="auto"/>
        <w:jc w:val="both"/>
        <w:rPr>
          <w:rFonts w:ascii="Arial" w:hAnsi="Arial" w:cs="Arial"/>
        </w:rPr>
      </w:pPr>
    </w:p>
    <w:p w14:paraId="2F682A8E" w14:textId="5FF772E7" w:rsidR="00C34DC1" w:rsidRDefault="002A529D" w:rsidP="00556F67">
      <w:pPr>
        <w:spacing w:line="360" w:lineRule="auto"/>
        <w:jc w:val="both"/>
        <w:rPr>
          <w:rFonts w:ascii="Arial" w:hAnsi="Arial" w:cs="Arial"/>
        </w:rPr>
      </w:pPr>
      <w:r w:rsidRPr="002A529D">
        <w:rPr>
          <w:sz w:val="20"/>
          <w:szCs w:val="20"/>
        </w:rPr>
        <w:t>La transparencia en la formulación del presupuesto reviste una especial relevancia en la consolidación de una sociedad democrática, y en la política de este Gobierno el ejercicio del gasto público es un elemento fundamental por lo que, la eficacia y la eficiencia en su ejercicio contribuirá a la identificación de posibles casos de corrupción. El Instituto Mexicano para la Competitividad A.C. elaboró el Índice de Información Presupuestal Estatal (IIPE); actual Barómetro de Información Presupuestal Estatal (BIPE), que evalúa la calidad del reporte de la información presupuestal de las 32 entidades federativas. El BIPE tiene como propósito eliminar las condiciones de opacidad en el manejo de los recursos públicos y fomentar buenas prácticas presupuestales. Desde 2008, el IMCO evalúa la calidad de la información presupuestal de los estados sobre la base de un catálogo de buenas prácticas y las normas de contabilidad gubernamental. El BIPE ubica al Estado de Tlaxcala entre las 20 entidades mejor evaluadas en esta materia</w:t>
      </w:r>
      <w:r w:rsidR="00556F67">
        <w:rPr>
          <w:rFonts w:ascii="Arial" w:hAnsi="Arial" w:cs="Arial"/>
        </w:rPr>
        <w:t>.</w:t>
      </w:r>
    </w:p>
    <w:p w14:paraId="3ECFE781" w14:textId="4F88D545" w:rsidR="00CB094B" w:rsidRDefault="00CB094B" w:rsidP="00CC771B">
      <w:pPr>
        <w:spacing w:line="360" w:lineRule="auto"/>
        <w:jc w:val="both"/>
        <w:rPr>
          <w:rFonts w:ascii="Arial" w:hAnsi="Arial" w:cs="Arial"/>
        </w:rPr>
      </w:pPr>
    </w:p>
    <w:p w14:paraId="3E8ABD0D" w14:textId="465479CD" w:rsidR="00A2054F" w:rsidRDefault="007A4BB5" w:rsidP="00AE47C5">
      <w:pPr>
        <w:spacing w:line="360" w:lineRule="auto"/>
        <w:jc w:val="center"/>
        <w:rPr>
          <w:rFonts w:ascii="Arial" w:hAnsi="Arial" w:cs="Arial"/>
        </w:rPr>
      </w:pPr>
      <w:r>
        <w:rPr>
          <w:noProof/>
          <w:lang w:val="es-MX" w:eastAsia="es-MX"/>
        </w:rPr>
        <w:lastRenderedPageBreak/>
        <w:drawing>
          <wp:inline distT="0" distB="0" distL="0" distR="0" wp14:anchorId="762B7E4A" wp14:editId="1B721145">
            <wp:extent cx="3233318" cy="1601317"/>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9701" t="18280" r="10754" b="11680"/>
                    <a:stretch/>
                  </pic:blipFill>
                  <pic:spPr bwMode="auto">
                    <a:xfrm>
                      <a:off x="0" y="0"/>
                      <a:ext cx="3239234" cy="1604247"/>
                    </a:xfrm>
                    <a:prstGeom prst="rect">
                      <a:avLst/>
                    </a:prstGeom>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31D17854" wp14:editId="490AF4F3">
            <wp:extent cx="3262897" cy="1367943"/>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grayscl/>
                    </a:blip>
                    <a:srcRect l="9605" t="31560" r="10744" b="12392"/>
                    <a:stretch/>
                  </pic:blipFill>
                  <pic:spPr bwMode="auto">
                    <a:xfrm>
                      <a:off x="0" y="0"/>
                      <a:ext cx="3329238" cy="1395756"/>
                    </a:xfrm>
                    <a:prstGeom prst="rect">
                      <a:avLst/>
                    </a:prstGeom>
                    <a:ln>
                      <a:noFill/>
                    </a:ln>
                    <a:extLst>
                      <a:ext uri="{53640926-AAD7-44D8-BBD7-CCE9431645EC}">
                        <a14:shadowObscured xmlns:a14="http://schemas.microsoft.com/office/drawing/2010/main"/>
                      </a:ext>
                    </a:extLst>
                  </pic:spPr>
                </pic:pic>
              </a:graphicData>
            </a:graphic>
          </wp:inline>
        </w:drawing>
      </w:r>
    </w:p>
    <w:p w14:paraId="5365D8BB" w14:textId="77777777" w:rsidR="00890AD4" w:rsidRDefault="00890AD4" w:rsidP="00AE47C5">
      <w:pPr>
        <w:spacing w:line="360" w:lineRule="auto"/>
        <w:jc w:val="center"/>
        <w:rPr>
          <w:rFonts w:ascii="Arial" w:hAnsi="Arial" w:cs="Arial"/>
        </w:rPr>
      </w:pPr>
    </w:p>
    <w:p w14:paraId="1CB6D8CC" w14:textId="77777777" w:rsidR="002A529D" w:rsidRPr="002A529D" w:rsidRDefault="002A529D" w:rsidP="002A529D">
      <w:pPr>
        <w:shd w:val="clear" w:color="auto" w:fill="FFFFFF" w:themeFill="background1"/>
        <w:spacing w:line="360" w:lineRule="auto"/>
        <w:jc w:val="both"/>
        <w:rPr>
          <w:sz w:val="20"/>
          <w:szCs w:val="20"/>
        </w:rPr>
      </w:pPr>
      <w:r w:rsidRPr="002A529D">
        <w:rPr>
          <w:sz w:val="20"/>
          <w:szCs w:val="20"/>
        </w:rPr>
        <w:t>Las estimaciones de ingresos que se prevén en la presente Iniciativa, consideran proyecciones congruentes a los Criterios Generales de Política Económica para la Iniciativa de Ley de Ingresos y el Proyecto de Presupuesto de Egresos de la Federación correspondientes al Ejercicio Fiscal 2023, en apego a las disposiciones establecidas en la Ley de Disciplina Financiera de las Entidades Federativas y los Municipios.</w:t>
      </w:r>
    </w:p>
    <w:p w14:paraId="2DA7BB0A" w14:textId="77777777" w:rsidR="002A529D" w:rsidRPr="002A529D" w:rsidRDefault="002A529D" w:rsidP="002A529D">
      <w:pPr>
        <w:shd w:val="clear" w:color="auto" w:fill="FFFFFF" w:themeFill="background1"/>
        <w:spacing w:line="360" w:lineRule="auto"/>
        <w:jc w:val="both"/>
        <w:rPr>
          <w:sz w:val="20"/>
          <w:szCs w:val="20"/>
        </w:rPr>
      </w:pPr>
    </w:p>
    <w:p w14:paraId="273DA5BE" w14:textId="16BF3990" w:rsidR="001C3914" w:rsidRPr="008B5306" w:rsidRDefault="002A529D" w:rsidP="002A529D">
      <w:pPr>
        <w:shd w:val="clear" w:color="auto" w:fill="FFFFFF" w:themeFill="background1"/>
        <w:spacing w:line="360" w:lineRule="auto"/>
        <w:jc w:val="both"/>
        <w:rPr>
          <w:rFonts w:ascii="Arial" w:hAnsi="Arial" w:cs="Arial"/>
        </w:rPr>
      </w:pPr>
      <w:r w:rsidRPr="002A529D">
        <w:rPr>
          <w:sz w:val="20"/>
          <w:szCs w:val="20"/>
        </w:rPr>
        <w:t>En materia de ingresos provenientes de fuentes locales y considerando una recuperación económica al cierre del ejercicio 2022, se estima que, para el ejercicio fiscal de 2023, se tenga una variación del 18.42% con relación a la Ley de Ingresos aprobada para el ejercicio fiscal de 2022, tal como se muestra en el gráfico siguiente</w:t>
      </w:r>
      <w:r w:rsidR="00E405F3" w:rsidRPr="00D86289">
        <w:rPr>
          <w:sz w:val="20"/>
          <w:szCs w:val="20"/>
        </w:rPr>
        <w:t>:</w:t>
      </w:r>
    </w:p>
    <w:p w14:paraId="030C20F3" w14:textId="027958A0" w:rsidR="00B63E7E" w:rsidRPr="00890AD4" w:rsidRDefault="00B63E7E" w:rsidP="00CC771B">
      <w:pPr>
        <w:spacing w:line="360" w:lineRule="auto"/>
        <w:jc w:val="both"/>
        <w:rPr>
          <w:rFonts w:ascii="Arial" w:hAnsi="Arial" w:cs="Arial"/>
          <w:highlight w:val="yellow"/>
        </w:rPr>
      </w:pPr>
    </w:p>
    <w:p w14:paraId="0449A5D4" w14:textId="1BB65A97" w:rsidR="002542AF" w:rsidRPr="00797B9A" w:rsidRDefault="007A4BB5" w:rsidP="00030F41">
      <w:pPr>
        <w:spacing w:line="360" w:lineRule="auto"/>
        <w:jc w:val="center"/>
        <w:rPr>
          <w:rFonts w:ascii="Arial" w:hAnsi="Arial" w:cs="Arial"/>
        </w:rPr>
      </w:pPr>
      <w:r>
        <w:rPr>
          <w:rFonts w:ascii="Arial" w:hAnsi="Arial" w:cs="Arial"/>
          <w:noProof/>
          <w:lang w:val="es-MX" w:eastAsia="es-MX"/>
        </w:rPr>
        <w:lastRenderedPageBreak/>
        <w:drawing>
          <wp:inline distT="0" distB="0" distL="0" distR="0" wp14:anchorId="3DBE2607" wp14:editId="00FAA421">
            <wp:extent cx="4650012" cy="300037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85031" cy="3022971"/>
                    </a:xfrm>
                    <a:prstGeom prst="rect">
                      <a:avLst/>
                    </a:prstGeom>
                    <a:noFill/>
                  </pic:spPr>
                </pic:pic>
              </a:graphicData>
            </a:graphic>
          </wp:inline>
        </w:drawing>
      </w:r>
    </w:p>
    <w:p w14:paraId="4ED51510" w14:textId="0DF67796" w:rsidR="00F7394D" w:rsidRPr="00D86289" w:rsidRDefault="00F7394D" w:rsidP="00A45461">
      <w:pPr>
        <w:spacing w:line="360" w:lineRule="auto"/>
        <w:ind w:left="567"/>
        <w:rPr>
          <w:sz w:val="14"/>
        </w:rPr>
      </w:pPr>
      <w:r w:rsidRPr="00D86289">
        <w:rPr>
          <w:b/>
          <w:sz w:val="14"/>
        </w:rPr>
        <w:t xml:space="preserve">Fuente: </w:t>
      </w:r>
      <w:r w:rsidRPr="00D86289">
        <w:rPr>
          <w:sz w:val="14"/>
        </w:rPr>
        <w:t>Dirección de Ingresos y Fiscalización</w:t>
      </w:r>
      <w:r w:rsidR="003456A6" w:rsidRPr="00D86289">
        <w:rPr>
          <w:sz w:val="14"/>
        </w:rPr>
        <w:t>.</w:t>
      </w:r>
    </w:p>
    <w:p w14:paraId="5D3E8FCD" w14:textId="77777777" w:rsidR="00F7394D" w:rsidRPr="008B5306" w:rsidRDefault="00F7394D" w:rsidP="00CC771B">
      <w:pPr>
        <w:spacing w:line="360" w:lineRule="auto"/>
        <w:jc w:val="both"/>
        <w:rPr>
          <w:rFonts w:ascii="Arial" w:hAnsi="Arial" w:cs="Arial"/>
        </w:rPr>
      </w:pPr>
    </w:p>
    <w:p w14:paraId="520B8EBB" w14:textId="77777777" w:rsidR="002A529D" w:rsidRPr="002A529D" w:rsidRDefault="002A529D" w:rsidP="002A529D">
      <w:pPr>
        <w:spacing w:line="360" w:lineRule="auto"/>
        <w:jc w:val="both"/>
        <w:rPr>
          <w:sz w:val="20"/>
          <w:szCs w:val="20"/>
        </w:rPr>
      </w:pPr>
      <w:r w:rsidRPr="002A529D">
        <w:rPr>
          <w:sz w:val="20"/>
          <w:szCs w:val="20"/>
        </w:rPr>
        <w:t>Se incluyen los ingresos que se esperan captar por parte de los Organismos Públicos Descentralizados, por la prestación de servicios inherentes a sus funciones, mismos que serán recaudados a través de la Secretaría de Finanzas.</w:t>
      </w:r>
    </w:p>
    <w:p w14:paraId="206F7BB2" w14:textId="77777777" w:rsidR="002A529D" w:rsidRPr="002A529D" w:rsidRDefault="002A529D" w:rsidP="002A529D">
      <w:pPr>
        <w:spacing w:line="360" w:lineRule="auto"/>
        <w:jc w:val="both"/>
        <w:rPr>
          <w:sz w:val="20"/>
          <w:szCs w:val="20"/>
        </w:rPr>
      </w:pPr>
    </w:p>
    <w:p w14:paraId="176D9CBC" w14:textId="6FE91462" w:rsidR="00797B9A" w:rsidRPr="00D86289" w:rsidRDefault="002A529D" w:rsidP="002A529D">
      <w:pPr>
        <w:spacing w:line="360" w:lineRule="auto"/>
        <w:jc w:val="both"/>
        <w:rPr>
          <w:sz w:val="20"/>
          <w:szCs w:val="20"/>
        </w:rPr>
      </w:pPr>
      <w:r w:rsidRPr="002A529D">
        <w:rPr>
          <w:sz w:val="20"/>
          <w:szCs w:val="20"/>
        </w:rPr>
        <w:t>En lo que corresponde a participaciones federales referenciadas a la Recaudación Federal Participable en el presente ejercicio (al mes de septiembre de 2022), la distribución por Entidad Federativa, muestra un crecimiento promedio de 4.18%; Tlaxcala se sitúa con un -0.21%, esto derivado de la baja eficiencia en la recaudación de los impuestos y derechos locales (incluye predial y agua municipal) en los periodos 2020-2021 tal como se aprecia en el gráfico siguiente</w:t>
      </w:r>
      <w:r w:rsidR="00797B9A" w:rsidRPr="00D86289">
        <w:rPr>
          <w:sz w:val="20"/>
          <w:szCs w:val="20"/>
        </w:rPr>
        <w:t xml:space="preserve">: </w:t>
      </w:r>
    </w:p>
    <w:p w14:paraId="216FB389" w14:textId="77777777" w:rsidR="00FD0688" w:rsidRPr="003C5726" w:rsidRDefault="00FD0688" w:rsidP="00C77C87">
      <w:pPr>
        <w:spacing w:line="360" w:lineRule="auto"/>
        <w:jc w:val="both"/>
        <w:rPr>
          <w:rFonts w:ascii="Arial" w:hAnsi="Arial" w:cs="Arial"/>
          <w:highlight w:val="yellow"/>
        </w:rPr>
      </w:pPr>
    </w:p>
    <w:p w14:paraId="55474551" w14:textId="54C1DDFE" w:rsidR="00FD0688" w:rsidRPr="00797B9A" w:rsidRDefault="00F7391B" w:rsidP="007A4BB5">
      <w:pPr>
        <w:spacing w:line="360" w:lineRule="auto"/>
        <w:jc w:val="center"/>
        <w:rPr>
          <w:rFonts w:ascii="Arial" w:hAnsi="Arial" w:cs="Arial"/>
        </w:rPr>
      </w:pPr>
      <w:r w:rsidRPr="00797B9A">
        <w:rPr>
          <w:rFonts w:ascii="Arial" w:hAnsi="Arial" w:cs="Arial"/>
          <w:noProof/>
          <w:lang w:val="es-MX" w:eastAsia="es-MX"/>
        </w:rPr>
        <w:lastRenderedPageBreak/>
        <mc:AlternateContent>
          <mc:Choice Requires="wps">
            <w:drawing>
              <wp:anchor distT="0" distB="0" distL="114300" distR="114300" simplePos="0" relativeHeight="251663360" behindDoc="0" locked="0" layoutInCell="1" allowOverlap="1" wp14:anchorId="4516C8EC" wp14:editId="70EB53B0">
                <wp:simplePos x="0" y="0"/>
                <wp:positionH relativeFrom="column">
                  <wp:posOffset>4719955</wp:posOffset>
                </wp:positionH>
                <wp:positionV relativeFrom="paragraph">
                  <wp:posOffset>1252855</wp:posOffset>
                </wp:positionV>
                <wp:extent cx="72044" cy="215091"/>
                <wp:effectExtent l="19050" t="0" r="42545" b="33020"/>
                <wp:wrapNone/>
                <wp:docPr id="2" name="Flecha abajo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2044" cy="215091"/>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89CBF7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4" o:spid="_x0000_s1026" type="#_x0000_t67" style="position:absolute;margin-left:371.65pt;margin-top:98.65pt;width:5.65pt;height:16.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" adj="17983" fillcolor="#c00000" strokecolor="#c00000" strokeweight="1pt">
                <v:path arrowok="t"/>
              </v:shape>
            </w:pict>
          </mc:Fallback>
        </mc:AlternateContent>
      </w:r>
      <w:r w:rsidR="007A4BB5">
        <w:rPr>
          <w:rFonts w:ascii="Arial" w:hAnsi="Arial" w:cs="Arial"/>
          <w:noProof/>
          <w:lang w:val="es-MX" w:eastAsia="es-MX"/>
        </w:rPr>
        <w:drawing>
          <wp:inline distT="0" distB="0" distL="0" distR="0" wp14:anchorId="2C6E4E03" wp14:editId="0CD0206B">
            <wp:extent cx="4822425" cy="286702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1">
                      <a:extLst>
                        <a:ext uri="{28A0092B-C50C-407E-A947-70E740481C1C}">
                          <a14:useLocalDpi xmlns:a14="http://schemas.microsoft.com/office/drawing/2010/main" val="0"/>
                        </a:ext>
                      </a:extLst>
                    </a:blip>
                    <a:srcRect t="6420" b="7721"/>
                    <a:stretch/>
                  </pic:blipFill>
                  <pic:spPr bwMode="auto">
                    <a:xfrm>
                      <a:off x="0" y="0"/>
                      <a:ext cx="4829598" cy="2871290"/>
                    </a:xfrm>
                    <a:prstGeom prst="rect">
                      <a:avLst/>
                    </a:prstGeom>
                    <a:noFill/>
                    <a:ln>
                      <a:noFill/>
                    </a:ln>
                    <a:extLst>
                      <a:ext uri="{53640926-AAD7-44D8-BBD7-CCE9431645EC}">
                        <a14:shadowObscured xmlns:a14="http://schemas.microsoft.com/office/drawing/2010/main"/>
                      </a:ext>
                    </a:extLst>
                  </pic:spPr>
                </pic:pic>
              </a:graphicData>
            </a:graphic>
          </wp:inline>
        </w:drawing>
      </w:r>
    </w:p>
    <w:p w14:paraId="5349E472" w14:textId="77777777" w:rsidR="00D36EFE" w:rsidRPr="00D86289" w:rsidRDefault="00D36EFE" w:rsidP="00D36EFE">
      <w:pPr>
        <w:spacing w:line="360" w:lineRule="auto"/>
        <w:jc w:val="both"/>
        <w:rPr>
          <w:b/>
          <w:sz w:val="14"/>
        </w:rPr>
      </w:pPr>
      <w:r w:rsidRPr="00D86289">
        <w:rPr>
          <w:b/>
          <w:sz w:val="14"/>
        </w:rPr>
        <w:t>Fuente: Elaboración propia DCGCH.</w:t>
      </w:r>
    </w:p>
    <w:p w14:paraId="7B53A766" w14:textId="77777777" w:rsidR="00D36EFE" w:rsidRPr="003C5726" w:rsidRDefault="00D36EFE" w:rsidP="00C77C87">
      <w:pPr>
        <w:spacing w:line="360" w:lineRule="auto"/>
        <w:jc w:val="both"/>
        <w:rPr>
          <w:rFonts w:ascii="Arial" w:hAnsi="Arial" w:cs="Arial"/>
          <w:b/>
          <w:sz w:val="14"/>
          <w:highlight w:val="yellow"/>
        </w:rPr>
      </w:pPr>
    </w:p>
    <w:p w14:paraId="3CD6745A" w14:textId="55628C22" w:rsidR="00797B9A" w:rsidRDefault="002A529D" w:rsidP="00797B9A">
      <w:pPr>
        <w:spacing w:line="360" w:lineRule="auto"/>
        <w:jc w:val="both"/>
        <w:rPr>
          <w:sz w:val="20"/>
          <w:szCs w:val="20"/>
        </w:rPr>
      </w:pPr>
      <w:r w:rsidRPr="002A529D">
        <w:rPr>
          <w:sz w:val="20"/>
          <w:szCs w:val="20"/>
        </w:rPr>
        <w:t>Para el ejercicio fiscal 2023, se prevé una variación del 13.53% en las participaciones federales, respecto de las cifras autorizadas en la Ley de Ingresos del Estado de Tlaxcala para el Ejercicio Fiscal 2022, tal y como se muestra en la gráfica siguiente</w:t>
      </w:r>
      <w:r w:rsidR="00797B9A" w:rsidRPr="00D86289">
        <w:rPr>
          <w:sz w:val="20"/>
          <w:szCs w:val="20"/>
        </w:rPr>
        <w:t>:</w:t>
      </w:r>
    </w:p>
    <w:p w14:paraId="0EF68A97" w14:textId="77777777" w:rsidR="007A4BB5" w:rsidRPr="00D86289" w:rsidRDefault="007A4BB5" w:rsidP="00797B9A">
      <w:pPr>
        <w:spacing w:line="360" w:lineRule="auto"/>
        <w:jc w:val="both"/>
        <w:rPr>
          <w:sz w:val="20"/>
          <w:szCs w:val="20"/>
        </w:rPr>
      </w:pPr>
    </w:p>
    <w:p w14:paraId="41789725" w14:textId="3C5F0600" w:rsidR="00A32AFB" w:rsidRPr="00797B9A" w:rsidRDefault="007A4BB5" w:rsidP="00C77C87">
      <w:pPr>
        <w:spacing w:line="360" w:lineRule="auto"/>
        <w:jc w:val="center"/>
        <w:rPr>
          <w:rFonts w:ascii="Arial" w:hAnsi="Arial" w:cs="Arial"/>
        </w:rPr>
      </w:pPr>
      <w:r>
        <w:rPr>
          <w:rFonts w:ascii="Arial" w:hAnsi="Arial" w:cs="Arial"/>
          <w:noProof/>
          <w:lang w:val="es-MX" w:eastAsia="es-MX"/>
        </w:rPr>
        <w:drawing>
          <wp:inline distT="0" distB="0" distL="0" distR="0" wp14:anchorId="2475EF90" wp14:editId="46F60CD5">
            <wp:extent cx="4300800" cy="2562225"/>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t="5908" r="5174" b="3979"/>
                    <a:stretch/>
                  </pic:blipFill>
                  <pic:spPr bwMode="auto">
                    <a:xfrm>
                      <a:off x="0" y="0"/>
                      <a:ext cx="4304131" cy="2564210"/>
                    </a:xfrm>
                    <a:prstGeom prst="rect">
                      <a:avLst/>
                    </a:prstGeom>
                    <a:noFill/>
                    <a:ln>
                      <a:noFill/>
                    </a:ln>
                    <a:extLst>
                      <a:ext uri="{53640926-AAD7-44D8-BBD7-CCE9431645EC}">
                        <a14:shadowObscured xmlns:a14="http://schemas.microsoft.com/office/drawing/2010/main"/>
                      </a:ext>
                    </a:extLst>
                  </pic:spPr>
                </pic:pic>
              </a:graphicData>
            </a:graphic>
          </wp:inline>
        </w:drawing>
      </w:r>
    </w:p>
    <w:p w14:paraId="135835B0" w14:textId="77777777" w:rsidR="00F7394D" w:rsidRPr="00D86289" w:rsidRDefault="00F7394D" w:rsidP="00F7394D">
      <w:pPr>
        <w:spacing w:line="360" w:lineRule="auto"/>
        <w:jc w:val="both"/>
        <w:rPr>
          <w:b/>
          <w:sz w:val="14"/>
        </w:rPr>
      </w:pPr>
      <w:r w:rsidRPr="00D86289">
        <w:rPr>
          <w:b/>
          <w:sz w:val="14"/>
        </w:rPr>
        <w:t>Fuente: Elaboración propia DCGCH.</w:t>
      </w:r>
    </w:p>
    <w:p w14:paraId="4A4B3B43" w14:textId="77777777" w:rsidR="009C4AF9" w:rsidRPr="003C5726" w:rsidRDefault="009C4AF9" w:rsidP="00CC771B">
      <w:pPr>
        <w:spacing w:line="360" w:lineRule="auto"/>
        <w:jc w:val="both"/>
        <w:rPr>
          <w:rFonts w:ascii="Arial" w:hAnsi="Arial" w:cs="Arial"/>
          <w:highlight w:val="yellow"/>
        </w:rPr>
      </w:pPr>
    </w:p>
    <w:p w14:paraId="744BD1DF" w14:textId="53A8E545" w:rsidR="00797B9A" w:rsidRPr="00D86289" w:rsidRDefault="002A529D" w:rsidP="00797B9A">
      <w:pPr>
        <w:spacing w:line="360" w:lineRule="auto"/>
        <w:jc w:val="both"/>
        <w:rPr>
          <w:sz w:val="20"/>
          <w:szCs w:val="20"/>
        </w:rPr>
      </w:pPr>
      <w:r w:rsidRPr="002A529D">
        <w:rPr>
          <w:sz w:val="20"/>
          <w:szCs w:val="20"/>
        </w:rPr>
        <w:t>En el caso de las aportaciones federales, se espera un comportamiento al alza, dado que son recursos etiquetados, se estima una variación positiva del 12.00% con relación a las cifras aprobadas en el ejercicio fiscal 2022, como se ejemplifica a continuación</w:t>
      </w:r>
      <w:r w:rsidR="00797B9A" w:rsidRPr="00D86289">
        <w:rPr>
          <w:sz w:val="20"/>
          <w:szCs w:val="20"/>
        </w:rPr>
        <w:t xml:space="preserve">: </w:t>
      </w:r>
    </w:p>
    <w:p w14:paraId="3AA976BB" w14:textId="107DBBF0" w:rsidR="00F54069" w:rsidRPr="00797B9A" w:rsidRDefault="007A4BB5" w:rsidP="00C77C87">
      <w:pPr>
        <w:spacing w:line="360" w:lineRule="auto"/>
        <w:jc w:val="center"/>
      </w:pPr>
      <w:r>
        <w:rPr>
          <w:noProof/>
          <w:lang w:val="es-MX" w:eastAsia="es-MX"/>
        </w:rPr>
        <w:drawing>
          <wp:inline distT="0" distB="0" distL="0" distR="0" wp14:anchorId="429FAABF" wp14:editId="241AF6D4">
            <wp:extent cx="4228446" cy="1962150"/>
            <wp:effectExtent l="0" t="0" r="127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t="7505"/>
                    <a:stretch/>
                  </pic:blipFill>
                  <pic:spPr bwMode="auto">
                    <a:xfrm>
                      <a:off x="0" y="0"/>
                      <a:ext cx="4269665" cy="1981277"/>
                    </a:xfrm>
                    <a:prstGeom prst="rect">
                      <a:avLst/>
                    </a:prstGeom>
                    <a:noFill/>
                    <a:ln>
                      <a:noFill/>
                    </a:ln>
                    <a:extLst>
                      <a:ext uri="{53640926-AAD7-44D8-BBD7-CCE9431645EC}">
                        <a14:shadowObscured xmlns:a14="http://schemas.microsoft.com/office/drawing/2010/main"/>
                      </a:ext>
                    </a:extLst>
                  </pic:spPr>
                </pic:pic>
              </a:graphicData>
            </a:graphic>
          </wp:inline>
        </w:drawing>
      </w:r>
    </w:p>
    <w:p w14:paraId="3A106114" w14:textId="77777777" w:rsidR="00F7394D" w:rsidRPr="00D86289" w:rsidRDefault="00F7394D" w:rsidP="00F7394D">
      <w:pPr>
        <w:spacing w:line="360" w:lineRule="auto"/>
        <w:jc w:val="both"/>
        <w:rPr>
          <w:b/>
          <w:sz w:val="14"/>
        </w:rPr>
      </w:pPr>
      <w:r w:rsidRPr="00D86289">
        <w:rPr>
          <w:b/>
          <w:sz w:val="14"/>
        </w:rPr>
        <w:t>Fuente: Elaboración propia DCGCH.</w:t>
      </w:r>
    </w:p>
    <w:p w14:paraId="71ECFF40" w14:textId="77777777" w:rsidR="004A6EF1" w:rsidRPr="003C5726" w:rsidRDefault="004A6EF1" w:rsidP="00F7394D">
      <w:pPr>
        <w:spacing w:line="360" w:lineRule="auto"/>
        <w:jc w:val="both"/>
        <w:rPr>
          <w:rFonts w:ascii="Arial" w:hAnsi="Arial" w:cs="Arial"/>
          <w:highlight w:val="yellow"/>
        </w:rPr>
      </w:pPr>
    </w:p>
    <w:p w14:paraId="6E67D4ED" w14:textId="5DD58E42" w:rsidR="00091AA8" w:rsidRPr="003C5726" w:rsidRDefault="002A529D" w:rsidP="007B7264">
      <w:pPr>
        <w:spacing w:line="360" w:lineRule="auto"/>
        <w:jc w:val="both"/>
        <w:rPr>
          <w:rFonts w:ascii="Arial" w:hAnsi="Arial" w:cs="Arial"/>
          <w:highlight w:val="yellow"/>
        </w:rPr>
      </w:pPr>
      <w:r w:rsidRPr="002A529D">
        <w:rPr>
          <w:sz w:val="20"/>
          <w:szCs w:val="20"/>
        </w:rPr>
        <w:t>Para el ejercicio fiscal 2023, se prevé obtener un total de ingresos para el Estado de Tlaxcala por $25,571,563,376.00, provenientes de fuentes locales, participaciones e incentivos económicos, aportaciones federales, convenios suscritos con el Gobierno Federal y extraordinarios, lo que representa una variación del 13.05% respecto de las cifras autorizadas en la Ley de Ingresos del Estado de Tlaxcala, para el Ejercicio Fiscal 2022, tal y como se observa en la gráfica siguiente</w:t>
      </w:r>
      <w:r w:rsidR="00797B9A" w:rsidRPr="00D86289">
        <w:rPr>
          <w:sz w:val="20"/>
          <w:szCs w:val="20"/>
        </w:rPr>
        <w:t>:</w:t>
      </w:r>
    </w:p>
    <w:p w14:paraId="206084EE" w14:textId="6080CDB3" w:rsidR="00824AFB" w:rsidRPr="005178C5" w:rsidRDefault="00613629" w:rsidP="00613629">
      <w:pPr>
        <w:spacing w:line="360" w:lineRule="auto"/>
        <w:jc w:val="center"/>
        <w:rPr>
          <w:rFonts w:ascii="Arial" w:hAnsi="Arial" w:cs="Arial"/>
        </w:rPr>
      </w:pPr>
      <w:r>
        <w:rPr>
          <w:rFonts w:ascii="Arial" w:hAnsi="Arial" w:cs="Arial"/>
          <w:noProof/>
          <w:lang w:val="es-MX" w:eastAsia="es-MX"/>
        </w:rPr>
        <w:drawing>
          <wp:inline distT="0" distB="0" distL="0" distR="0" wp14:anchorId="48602365" wp14:editId="7A5CA5E8">
            <wp:extent cx="4418579" cy="2152650"/>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53290" cy="2169561"/>
                    </a:xfrm>
                    <a:prstGeom prst="rect">
                      <a:avLst/>
                    </a:prstGeom>
                    <a:noFill/>
                  </pic:spPr>
                </pic:pic>
              </a:graphicData>
            </a:graphic>
          </wp:inline>
        </w:drawing>
      </w:r>
    </w:p>
    <w:p w14:paraId="7330A3EF" w14:textId="77777777" w:rsidR="00F7394D" w:rsidRPr="00D86289" w:rsidRDefault="00F7394D" w:rsidP="00F7394D">
      <w:pPr>
        <w:spacing w:line="360" w:lineRule="auto"/>
        <w:jc w:val="both"/>
        <w:rPr>
          <w:b/>
          <w:sz w:val="14"/>
        </w:rPr>
      </w:pPr>
      <w:r w:rsidRPr="00D86289">
        <w:rPr>
          <w:b/>
          <w:sz w:val="14"/>
        </w:rPr>
        <w:t>Fuente: Elaboración propia DCGCH.</w:t>
      </w:r>
    </w:p>
    <w:p w14:paraId="56588CFE" w14:textId="6715DF09" w:rsidR="00CC771B" w:rsidRPr="00D86289" w:rsidRDefault="002A529D" w:rsidP="00CC771B">
      <w:pPr>
        <w:spacing w:line="360" w:lineRule="auto"/>
        <w:jc w:val="both"/>
        <w:rPr>
          <w:sz w:val="20"/>
          <w:szCs w:val="20"/>
        </w:rPr>
      </w:pPr>
      <w:r w:rsidRPr="002A529D">
        <w:rPr>
          <w:sz w:val="20"/>
          <w:szCs w:val="20"/>
        </w:rPr>
        <w:lastRenderedPageBreak/>
        <w:t>La presente Iniciativa, garantiza que las fuentes de financiamiento de los programas y proyectos previstos en la Iniciativa de Decreto de Presupuesto de Egresos del Estado de Tlaxcala, para el Ejercicio Fiscal 2023, observando los principios de eficiencia, economía, austeridad y eficacia</w:t>
      </w:r>
      <w:r w:rsidR="00CC771B" w:rsidRPr="00D86289">
        <w:rPr>
          <w:sz w:val="20"/>
          <w:szCs w:val="20"/>
        </w:rPr>
        <w:t>.</w:t>
      </w:r>
    </w:p>
    <w:p w14:paraId="1E25C7C3" w14:textId="77777777" w:rsidR="007B7264" w:rsidRPr="00D86289" w:rsidRDefault="007B7264" w:rsidP="007159E7">
      <w:pPr>
        <w:spacing w:line="360" w:lineRule="auto"/>
        <w:jc w:val="both"/>
        <w:rPr>
          <w:sz w:val="20"/>
          <w:szCs w:val="20"/>
        </w:rPr>
      </w:pPr>
    </w:p>
    <w:p w14:paraId="38907747" w14:textId="562D534C" w:rsidR="002A5FEB" w:rsidRPr="00D86289" w:rsidRDefault="002A5FEB" w:rsidP="007159E7">
      <w:pPr>
        <w:spacing w:line="360" w:lineRule="auto"/>
        <w:jc w:val="both"/>
        <w:rPr>
          <w:sz w:val="20"/>
          <w:szCs w:val="20"/>
        </w:rPr>
      </w:pPr>
    </w:p>
    <w:p w14:paraId="23E15E4F" w14:textId="77777777" w:rsidR="00797B9A" w:rsidRPr="00D86289" w:rsidRDefault="00797B9A" w:rsidP="007159E7">
      <w:pPr>
        <w:spacing w:line="360" w:lineRule="auto"/>
        <w:jc w:val="both"/>
        <w:rPr>
          <w:sz w:val="20"/>
          <w:szCs w:val="20"/>
        </w:rPr>
      </w:pPr>
    </w:p>
    <w:p w14:paraId="77199B09" w14:textId="5B0CE44B" w:rsidR="00EF3880" w:rsidRPr="00D86289" w:rsidRDefault="00EF3880" w:rsidP="00EF3880">
      <w:pPr>
        <w:numPr>
          <w:ilvl w:val="0"/>
          <w:numId w:val="8"/>
        </w:numPr>
        <w:spacing w:line="360" w:lineRule="auto"/>
        <w:ind w:left="567" w:hanging="567"/>
        <w:jc w:val="both"/>
        <w:rPr>
          <w:b/>
          <w:bCs/>
          <w:sz w:val="20"/>
          <w:szCs w:val="20"/>
        </w:rPr>
      </w:pPr>
      <w:r w:rsidRPr="00D86289">
        <w:rPr>
          <w:b/>
          <w:bCs/>
          <w:sz w:val="20"/>
          <w:szCs w:val="20"/>
        </w:rPr>
        <w:t>PERSPECTIVAS ECONÓMICAS</w:t>
      </w:r>
      <w:r w:rsidR="008D3728" w:rsidRPr="00D86289">
        <w:rPr>
          <w:b/>
          <w:bCs/>
          <w:sz w:val="20"/>
          <w:szCs w:val="20"/>
        </w:rPr>
        <w:t xml:space="preserve"> </w:t>
      </w:r>
      <w:r w:rsidRPr="00D86289">
        <w:rPr>
          <w:b/>
          <w:bCs/>
          <w:sz w:val="20"/>
          <w:szCs w:val="20"/>
        </w:rPr>
        <w:t xml:space="preserve">Y FISCALES </w:t>
      </w:r>
      <w:r w:rsidR="008D3728" w:rsidRPr="00D86289">
        <w:rPr>
          <w:b/>
          <w:bCs/>
          <w:sz w:val="20"/>
          <w:szCs w:val="20"/>
        </w:rPr>
        <w:t xml:space="preserve">DEL ESTADO DE TLAXCALA </w:t>
      </w:r>
      <w:r w:rsidR="00185604" w:rsidRPr="00D86289">
        <w:rPr>
          <w:b/>
          <w:bCs/>
          <w:sz w:val="20"/>
          <w:szCs w:val="20"/>
        </w:rPr>
        <w:t>20</w:t>
      </w:r>
      <w:r w:rsidR="00890AD4" w:rsidRPr="00D86289">
        <w:rPr>
          <w:b/>
          <w:bCs/>
          <w:sz w:val="20"/>
          <w:szCs w:val="20"/>
        </w:rPr>
        <w:t>2</w:t>
      </w:r>
      <w:r w:rsidR="00613629">
        <w:rPr>
          <w:b/>
          <w:bCs/>
          <w:sz w:val="20"/>
          <w:szCs w:val="20"/>
        </w:rPr>
        <w:t>3</w:t>
      </w:r>
      <w:r w:rsidRPr="00D86289">
        <w:rPr>
          <w:b/>
          <w:bCs/>
          <w:sz w:val="20"/>
          <w:szCs w:val="20"/>
        </w:rPr>
        <w:t>-202</w:t>
      </w:r>
      <w:r w:rsidR="00613629">
        <w:rPr>
          <w:b/>
          <w:bCs/>
          <w:sz w:val="20"/>
          <w:szCs w:val="20"/>
        </w:rPr>
        <w:t>8</w:t>
      </w:r>
      <w:r w:rsidR="002F0F09" w:rsidRPr="00D86289">
        <w:rPr>
          <w:b/>
          <w:bCs/>
          <w:sz w:val="20"/>
          <w:szCs w:val="20"/>
        </w:rPr>
        <w:t>.</w:t>
      </w:r>
    </w:p>
    <w:p w14:paraId="2C5D8DA6" w14:textId="77777777" w:rsidR="00EF3880" w:rsidRPr="00D86289" w:rsidRDefault="00EF3880" w:rsidP="007159E7">
      <w:pPr>
        <w:spacing w:line="360" w:lineRule="auto"/>
        <w:jc w:val="both"/>
        <w:rPr>
          <w:sz w:val="20"/>
          <w:szCs w:val="20"/>
        </w:rPr>
      </w:pPr>
    </w:p>
    <w:p w14:paraId="4E31CF0B" w14:textId="77777777" w:rsidR="002A529D" w:rsidRPr="002A529D" w:rsidRDefault="002A529D" w:rsidP="002A529D">
      <w:pPr>
        <w:spacing w:line="360" w:lineRule="auto"/>
        <w:jc w:val="both"/>
        <w:rPr>
          <w:sz w:val="20"/>
          <w:szCs w:val="20"/>
        </w:rPr>
      </w:pPr>
      <w:r w:rsidRPr="002A529D">
        <w:rPr>
          <w:sz w:val="20"/>
          <w:szCs w:val="20"/>
        </w:rPr>
        <w:t>El Paquete Económico Estatal para el ejercicio fiscal 2023 que se somete a consideración del Congreso del Estado, refleja el compromiso de esta Administración de manejar responsablemente y con transparencia las finanzas públicas, considerando los impactos que tendrán las políticas y programas que se implementen en el tejido social, en el entorno y en los horizontes de corto y largo plazo, siguiendo la idea de que el desarrollo subsane las injusticias sociales e impulse el crecimiento económico sin provocar afectaciones a la convivencia de los ciudadanos, sin menoscabo de los riesgos que pueden afectar a la economía mundial y que repercuten en nuestro país y la Entidad.</w:t>
      </w:r>
    </w:p>
    <w:p w14:paraId="67E0AE56" w14:textId="77777777" w:rsidR="002A529D" w:rsidRPr="002A529D" w:rsidRDefault="002A529D" w:rsidP="002A529D">
      <w:pPr>
        <w:spacing w:line="360" w:lineRule="auto"/>
        <w:jc w:val="both"/>
        <w:rPr>
          <w:sz w:val="20"/>
          <w:szCs w:val="20"/>
        </w:rPr>
      </w:pPr>
    </w:p>
    <w:p w14:paraId="318D152D" w14:textId="77777777" w:rsidR="002A529D" w:rsidRPr="002A529D" w:rsidRDefault="002A529D" w:rsidP="002A529D">
      <w:pPr>
        <w:spacing w:line="360" w:lineRule="auto"/>
        <w:jc w:val="both"/>
        <w:rPr>
          <w:sz w:val="20"/>
          <w:szCs w:val="20"/>
        </w:rPr>
      </w:pPr>
      <w:r w:rsidRPr="002A529D">
        <w:rPr>
          <w:sz w:val="20"/>
          <w:szCs w:val="20"/>
        </w:rPr>
        <w:t xml:space="preserve">El escenario de finanzas públicas de mediano plazo, para los años 2023-2028, se prevé que la mayoría de los países logren un crecimiento económico estable cercano a su PIB potencial en ausencia de nuevos choques por factores políticos, climatológicos o sanitarios. Si bien algunos países han aumentado su nivel de endeudamiento de forma notable particularmente desde 2020 a raíz de la pandemia de la COVID-19, no se pueden anticipar problemas estructurales que lleven a un crecimiento menor de la economía global o un riesgo sistémico en el sistema financiero internacional. </w:t>
      </w:r>
    </w:p>
    <w:p w14:paraId="3BB03719" w14:textId="77777777" w:rsidR="002A529D" w:rsidRDefault="002A529D" w:rsidP="002A529D">
      <w:pPr>
        <w:spacing w:line="360" w:lineRule="auto"/>
        <w:jc w:val="both"/>
        <w:rPr>
          <w:sz w:val="20"/>
          <w:szCs w:val="20"/>
        </w:rPr>
      </w:pPr>
    </w:p>
    <w:p w14:paraId="0C722376" w14:textId="77777777" w:rsidR="002A529D" w:rsidRPr="002A529D" w:rsidRDefault="002A529D" w:rsidP="002A529D">
      <w:pPr>
        <w:spacing w:line="360" w:lineRule="auto"/>
        <w:jc w:val="both"/>
        <w:rPr>
          <w:sz w:val="20"/>
          <w:szCs w:val="20"/>
        </w:rPr>
      </w:pPr>
      <w:r w:rsidRPr="002A529D">
        <w:rPr>
          <w:sz w:val="20"/>
          <w:szCs w:val="20"/>
        </w:rPr>
        <w:t xml:space="preserve">En lo que corresponde al PIB de EE.UU., el escenario central indica que la senda de crecimiento regresará a la trayectoria de tendencia previa a la pandemia. En esa línea, los analistas encuestados por Blue Chip, en la edición de marzo de 2022, pronosticaron que entre 2024 y 2028 el PIB real del país se expandirá a un ritmo anual promedio de 2.0%. De acuerdo con la misma encuesta, la tasa de desempleo promedio en este país se ubicará en 2.8%, mientras que la inflación se situaría en 2.2% y los rendimientos de los bonos del Tesoro a tres meses y diez años en promedio alcanzarán niveles de 2.1 y 3.0%, respectivamente. </w:t>
      </w:r>
    </w:p>
    <w:p w14:paraId="11C71D9E" w14:textId="77777777" w:rsidR="002A529D" w:rsidRPr="002A529D" w:rsidRDefault="002A529D" w:rsidP="002A529D">
      <w:pPr>
        <w:spacing w:line="360" w:lineRule="auto"/>
        <w:jc w:val="both"/>
        <w:rPr>
          <w:sz w:val="20"/>
          <w:szCs w:val="20"/>
        </w:rPr>
      </w:pPr>
    </w:p>
    <w:p w14:paraId="1EC7EF45" w14:textId="77777777" w:rsidR="002A529D" w:rsidRPr="002A529D" w:rsidRDefault="002A529D" w:rsidP="002A529D">
      <w:pPr>
        <w:spacing w:line="360" w:lineRule="auto"/>
        <w:jc w:val="both"/>
        <w:rPr>
          <w:sz w:val="20"/>
          <w:szCs w:val="20"/>
        </w:rPr>
      </w:pPr>
      <w:r w:rsidRPr="002A529D">
        <w:rPr>
          <w:sz w:val="20"/>
          <w:szCs w:val="20"/>
        </w:rPr>
        <w:lastRenderedPageBreak/>
        <w:t xml:space="preserve">En este contexto, México se verá favorecido por factores externos dada la estrecha integración comercial que existe con la economía global y con EE.UU. en particular. Por ende, se prevé un desempeño positivo para las exportaciones, en particular, para equipo de transporte, aparatos electrónicos, minería no petrolera, alimentos procesados y comercio electrónico. Las recientes inversiones de diversas empresas para localizarse en México sustentan la mayor capacidad del país para aumentar dicha exportación. Asimismo, un buen desempeño de la economía estadounidense apoyará a la inversión extranjera, el turismo y el flujo de remesas. Respecto a la demanda interna, se prevé que la economía mexicana mantenga un sólido dinamismo principalmente como resultado de las reformas al mercado laboral que se han implementado en beneficio de mayores ingresos y mejores condiciones para los trabajadores; un mayor crecimiento económico en la región sur-sureste que aumentará el mercado interno, la conectividad entre regiones, así como la reducción de la pobreza y de la desigualdad en esta región; y finalmente, una mayor profundidad del sistema financiero derivado de las acciones impulsadas para fortalecer el ahorro y la inclusión financiera, cuyo principal resultado es que más personas y empresas tengan acceso a crédito y a otros servicios bancarios. </w:t>
      </w:r>
    </w:p>
    <w:p w14:paraId="7732FEBB" w14:textId="77777777" w:rsidR="002A529D" w:rsidRPr="002A529D" w:rsidRDefault="002A529D" w:rsidP="002A529D">
      <w:pPr>
        <w:spacing w:line="360" w:lineRule="auto"/>
        <w:jc w:val="both"/>
        <w:rPr>
          <w:sz w:val="20"/>
          <w:szCs w:val="20"/>
        </w:rPr>
      </w:pPr>
    </w:p>
    <w:p w14:paraId="7A6355E0" w14:textId="77777777" w:rsidR="002A529D" w:rsidRPr="002A529D" w:rsidRDefault="002A529D" w:rsidP="002A529D">
      <w:pPr>
        <w:spacing w:line="360" w:lineRule="auto"/>
        <w:jc w:val="both"/>
        <w:rPr>
          <w:sz w:val="20"/>
          <w:szCs w:val="20"/>
        </w:rPr>
      </w:pPr>
      <w:r w:rsidRPr="002A529D">
        <w:rPr>
          <w:sz w:val="20"/>
          <w:szCs w:val="20"/>
        </w:rPr>
        <w:t xml:space="preserve">Se estima que en el periodo 2024-2028 el PIB de México registrará un crecimiento real anual de entre 1.9 y 2.9%. De manera puntual, se proyecta una expansión de 2.4% para el periodo en cuestión. Para 2023, se estima un crecimiento real anual de entre 1.2 y 3.0%, y de manera puntual, se proyecta una expansión de 3.0%. Estas estimaciones se encuentran en línea con las estimaciones del PIB potencial establecidas en el art. 11C del Reglamento de la LFPRH, aunque ligeramente por arriba de lo publicado en la encuesta de expectativas del sector privado del 1 de julio de 2022 que realizó el Banco de México, en donde la mediana del pronóstico del PIB para los próximos diez años es de 2.0%. </w:t>
      </w:r>
    </w:p>
    <w:p w14:paraId="4FE25BA6" w14:textId="77777777" w:rsidR="002A529D" w:rsidRPr="002A529D" w:rsidRDefault="002A529D" w:rsidP="002A529D">
      <w:pPr>
        <w:spacing w:line="360" w:lineRule="auto"/>
        <w:jc w:val="both"/>
        <w:rPr>
          <w:sz w:val="20"/>
          <w:szCs w:val="20"/>
        </w:rPr>
      </w:pPr>
    </w:p>
    <w:p w14:paraId="39E2D116" w14:textId="77777777" w:rsidR="002A529D" w:rsidRPr="002A529D" w:rsidRDefault="002A529D" w:rsidP="002A529D">
      <w:pPr>
        <w:spacing w:line="360" w:lineRule="auto"/>
        <w:jc w:val="both"/>
        <w:rPr>
          <w:sz w:val="20"/>
          <w:szCs w:val="20"/>
        </w:rPr>
      </w:pPr>
      <w:r w:rsidRPr="002A529D">
        <w:rPr>
          <w:sz w:val="20"/>
          <w:szCs w:val="20"/>
        </w:rPr>
        <w:t xml:space="preserve">Consistente con el escenario de crecimiento de tendencia, en materia de precios se estima que la inflación se ubicará en la meta establecida por el Banco de México de 3.0% durante el periodo 2024-2028 y ligeramente arriba en el ejercicio 2023, con un 3.2%. Asimismo, para el tipo de cambio nominal, se prevé una ligera depreciación en el horizonte de pronóstico, congruente con una trayectoria constante del tipo de cambio real y tomando en cuenta el comportamiento esperado de mediano plazo para la inflación de EE.UU. Al considerar dichas proyecciones, se asume que continuará la disminución gradual de la tasa de CETES a 28 días hasta situarse en 5.5% en 2026. Lo anterior es consistente con una postura monetaria neutral de equilibrio y resultaría que el diferencial entre la tasa de interés de México y EE.UU. se reduzca desde 2025 y logre estabilizarse posteriormente. </w:t>
      </w:r>
    </w:p>
    <w:p w14:paraId="4D7C1467" w14:textId="77777777" w:rsidR="002A529D" w:rsidRPr="002A529D" w:rsidRDefault="002A529D" w:rsidP="002A529D">
      <w:pPr>
        <w:spacing w:line="360" w:lineRule="auto"/>
        <w:jc w:val="both"/>
        <w:rPr>
          <w:sz w:val="20"/>
          <w:szCs w:val="20"/>
        </w:rPr>
      </w:pPr>
    </w:p>
    <w:p w14:paraId="2C27A456" w14:textId="77777777" w:rsidR="002A529D" w:rsidRPr="002A529D" w:rsidRDefault="002A529D" w:rsidP="002A529D">
      <w:pPr>
        <w:spacing w:line="360" w:lineRule="auto"/>
        <w:jc w:val="both"/>
        <w:rPr>
          <w:sz w:val="20"/>
          <w:szCs w:val="20"/>
        </w:rPr>
      </w:pPr>
      <w:r w:rsidRPr="002A529D">
        <w:rPr>
          <w:sz w:val="20"/>
          <w:szCs w:val="20"/>
        </w:rPr>
        <w:t xml:space="preserve">En el periodo 2024-2028, el déficit de la cuenta corriente de la balanza de pagos se mantendrá por debajo del promedio histórico al ubicarse en un nivel promedio de 1.0% del PIB derivado de un desempeño positivo de las remesas, y acorde al crecimiento previsto para EE.UU., así como por la evolución esperada de la balanza comercial petrolera y de servicios en donde México podría continuar registrando un déficit. En cuanto a los precios de la mezcla mexicana, se prevé un precio promedio de 56.9 dpb en el periodo 2024-2028, el cual es consistente con la dinámica que muestra la curva de futuros al mes de agosto. Para la plataforma de producción de crudo, se asume una trayectoria conservadora con respecto a las proyecciones de PEMEX y de las empresas privadas. </w:t>
      </w:r>
    </w:p>
    <w:p w14:paraId="07D846D2" w14:textId="77777777" w:rsidR="002A529D" w:rsidRPr="002A529D" w:rsidRDefault="002A529D" w:rsidP="002A529D">
      <w:pPr>
        <w:spacing w:line="360" w:lineRule="auto"/>
        <w:jc w:val="both"/>
        <w:rPr>
          <w:sz w:val="20"/>
          <w:szCs w:val="20"/>
        </w:rPr>
      </w:pPr>
    </w:p>
    <w:p w14:paraId="16850C58" w14:textId="723E9B56" w:rsidR="002A529D" w:rsidRDefault="002A529D" w:rsidP="002A529D">
      <w:pPr>
        <w:pStyle w:val="PRIMERAPLANA"/>
        <w:spacing w:line="360" w:lineRule="auto"/>
        <w:rPr>
          <w:rFonts w:ascii="Times New Roman" w:hAnsi="Times New Roman"/>
          <w:bCs/>
          <w:lang w:val="es-ES"/>
        </w:rPr>
      </w:pPr>
      <w:r w:rsidRPr="002A529D">
        <w:rPr>
          <w:rFonts w:ascii="Times New Roman" w:hAnsi="Times New Roman"/>
          <w:bCs/>
          <w:lang w:val="es-ES"/>
        </w:rPr>
        <w:t xml:space="preserve">El marco macroeconómico descrito se encuentra sujeto a riesgos que podrían modificar las trayectorias estimadas. Los riesgos a la baja se presentan a continuación: </w:t>
      </w:r>
    </w:p>
    <w:p w14:paraId="28052738" w14:textId="77777777" w:rsidR="00EA4924" w:rsidRPr="002A529D" w:rsidRDefault="00EA4924" w:rsidP="002A529D">
      <w:pPr>
        <w:pStyle w:val="PRIMERAPLANA"/>
        <w:spacing w:line="360" w:lineRule="auto"/>
        <w:rPr>
          <w:rFonts w:ascii="Times New Roman" w:hAnsi="Times New Roman"/>
          <w:bCs/>
          <w:lang w:val="es-ES"/>
        </w:rPr>
      </w:pPr>
    </w:p>
    <w:p w14:paraId="09374D3C" w14:textId="77777777" w:rsidR="002A529D" w:rsidRPr="002A529D" w:rsidRDefault="002A529D" w:rsidP="002A529D">
      <w:pPr>
        <w:pStyle w:val="PRIMERAPLANA"/>
        <w:numPr>
          <w:ilvl w:val="0"/>
          <w:numId w:val="48"/>
        </w:numPr>
        <w:spacing w:line="360" w:lineRule="auto"/>
        <w:rPr>
          <w:rFonts w:ascii="Times New Roman" w:hAnsi="Times New Roman"/>
          <w:bCs/>
          <w:lang w:val="es-ES"/>
        </w:rPr>
      </w:pPr>
      <w:r w:rsidRPr="002A529D">
        <w:rPr>
          <w:rFonts w:ascii="Times New Roman" w:hAnsi="Times New Roman"/>
          <w:bCs/>
          <w:lang w:val="es-ES"/>
        </w:rPr>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2EB6A344" w14:textId="77777777" w:rsidR="002A529D" w:rsidRPr="002A529D" w:rsidRDefault="002A529D" w:rsidP="002A529D">
      <w:pPr>
        <w:pStyle w:val="PRIMERAPLANA"/>
        <w:numPr>
          <w:ilvl w:val="0"/>
          <w:numId w:val="48"/>
        </w:numPr>
        <w:spacing w:line="360" w:lineRule="auto"/>
        <w:rPr>
          <w:rFonts w:ascii="Times New Roman" w:hAnsi="Times New Roman"/>
          <w:bCs/>
          <w:lang w:val="es-ES"/>
        </w:rPr>
      </w:pPr>
      <w:r w:rsidRPr="002A529D">
        <w:rPr>
          <w:rFonts w:ascii="Times New Roman" w:hAnsi="Times New Roman"/>
          <w:bCs/>
          <w:lang w:val="es-ES"/>
        </w:rPr>
        <w:t>Una política monetaria restrictiva prolongada, que presione las condiciones financieras y contribuya a un crecimiento global por abajo del promedio histórico.</w:t>
      </w:r>
    </w:p>
    <w:p w14:paraId="7BD0C4A9" w14:textId="77777777" w:rsidR="002A529D" w:rsidRPr="002A529D" w:rsidRDefault="002A529D" w:rsidP="002A529D">
      <w:pPr>
        <w:pStyle w:val="PRIMERAPLANA"/>
        <w:numPr>
          <w:ilvl w:val="0"/>
          <w:numId w:val="48"/>
        </w:numPr>
        <w:spacing w:line="360" w:lineRule="auto"/>
        <w:rPr>
          <w:rFonts w:ascii="Times New Roman" w:hAnsi="Times New Roman"/>
          <w:bCs/>
          <w:lang w:val="es-ES"/>
        </w:rPr>
      </w:pPr>
      <w:r w:rsidRPr="002A529D">
        <w:rPr>
          <w:rFonts w:ascii="Times New Roman" w:hAnsi="Times New Roman"/>
          <w:bCs/>
          <w:lang w:val="es-ES"/>
        </w:rPr>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3AE8F6F3" w14:textId="77777777" w:rsidR="002A529D" w:rsidRPr="002A529D" w:rsidRDefault="002A529D" w:rsidP="002A529D">
      <w:pPr>
        <w:pStyle w:val="PRIMERAPLANA"/>
        <w:numPr>
          <w:ilvl w:val="0"/>
          <w:numId w:val="48"/>
        </w:numPr>
        <w:spacing w:line="360" w:lineRule="auto"/>
        <w:rPr>
          <w:rFonts w:ascii="Times New Roman" w:hAnsi="Times New Roman"/>
          <w:bCs/>
          <w:lang w:val="es-ES"/>
        </w:rPr>
      </w:pPr>
      <w:r w:rsidRPr="002A529D">
        <w:rPr>
          <w:rFonts w:ascii="Times New Roman" w:hAnsi="Times New Roman"/>
          <w:bCs/>
          <w:lang w:val="es-ES"/>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1656995A" w14:textId="77777777" w:rsidR="002A529D" w:rsidRPr="002A529D" w:rsidRDefault="002A529D" w:rsidP="002A529D">
      <w:pPr>
        <w:pStyle w:val="PRIMERAPLANA"/>
        <w:spacing w:line="360" w:lineRule="auto"/>
        <w:rPr>
          <w:rFonts w:ascii="Times New Roman" w:hAnsi="Times New Roman"/>
          <w:bCs/>
          <w:lang w:val="es-ES"/>
        </w:rPr>
      </w:pPr>
    </w:p>
    <w:p w14:paraId="1345D9B4" w14:textId="77777777" w:rsidR="002A529D" w:rsidRPr="002A529D" w:rsidRDefault="002A529D" w:rsidP="002A529D">
      <w:pPr>
        <w:pStyle w:val="PRIMERAPLANA"/>
        <w:spacing w:line="360" w:lineRule="auto"/>
        <w:rPr>
          <w:rFonts w:ascii="Times New Roman" w:hAnsi="Times New Roman"/>
          <w:bCs/>
          <w:lang w:val="es-ES"/>
        </w:rPr>
      </w:pPr>
      <w:r w:rsidRPr="002A529D">
        <w:rPr>
          <w:rFonts w:ascii="Times New Roman" w:hAnsi="Times New Roman"/>
          <w:bCs/>
          <w:lang w:val="es-ES"/>
        </w:rPr>
        <w:t>Los riesgos al alza a considerar, son los siguientes:</w:t>
      </w:r>
    </w:p>
    <w:p w14:paraId="79BD9738" w14:textId="77777777" w:rsidR="002A529D" w:rsidRPr="002A529D" w:rsidRDefault="002A529D" w:rsidP="002A529D">
      <w:pPr>
        <w:pStyle w:val="PRIMERAPLANA"/>
        <w:spacing w:line="360" w:lineRule="auto"/>
        <w:rPr>
          <w:rFonts w:ascii="Times New Roman" w:hAnsi="Times New Roman"/>
          <w:bCs/>
          <w:lang w:val="es-ES"/>
        </w:rPr>
      </w:pPr>
    </w:p>
    <w:p w14:paraId="53864D17" w14:textId="7C4289FB" w:rsidR="002A529D" w:rsidRPr="002A529D" w:rsidRDefault="002A529D" w:rsidP="00B77C25">
      <w:pPr>
        <w:pStyle w:val="PRIMERAPLANA"/>
        <w:numPr>
          <w:ilvl w:val="0"/>
          <w:numId w:val="49"/>
        </w:numPr>
        <w:spacing w:line="360" w:lineRule="auto"/>
        <w:rPr>
          <w:rFonts w:ascii="Times New Roman" w:hAnsi="Times New Roman"/>
          <w:bCs/>
          <w:lang w:val="es-ES"/>
        </w:rPr>
      </w:pPr>
      <w:r w:rsidRPr="002A529D">
        <w:rPr>
          <w:rFonts w:ascii="Times New Roman" w:hAnsi="Times New Roman"/>
          <w:bCs/>
          <w:lang w:val="es-ES"/>
        </w:rPr>
        <w:lastRenderedPageBreak/>
        <w:t>Mejoras importantes en las condiciones de informalidad derivado de las reformas en materia laboral implementadas desde el inicio de la administración, las cuales beneficiarían al consumo, la productividad y a la recaudación tributaria.</w:t>
      </w:r>
    </w:p>
    <w:p w14:paraId="62485EAB" w14:textId="77777777" w:rsidR="002A529D" w:rsidRPr="002A529D" w:rsidRDefault="002A529D" w:rsidP="002A529D">
      <w:pPr>
        <w:pStyle w:val="PRIMERAPLANA"/>
        <w:numPr>
          <w:ilvl w:val="0"/>
          <w:numId w:val="49"/>
        </w:numPr>
        <w:spacing w:line="360" w:lineRule="auto"/>
        <w:rPr>
          <w:rFonts w:ascii="Times New Roman" w:hAnsi="Times New Roman"/>
          <w:bCs/>
          <w:lang w:val="es-ES"/>
        </w:rPr>
      </w:pPr>
      <w:r w:rsidRPr="002A529D">
        <w:rPr>
          <w:rFonts w:ascii="Times New Roman" w:hAnsi="Times New Roman"/>
          <w:bCs/>
          <w:lang w:val="es-ES"/>
        </w:rPr>
        <w:t>Aumentos en la productividad de factores por una mayor innovación, que permitiría una distribución más eficiente del empleo y el capital.</w:t>
      </w:r>
    </w:p>
    <w:p w14:paraId="088F56DB" w14:textId="6B7B6DF4" w:rsidR="001C7425" w:rsidRPr="002A529D" w:rsidRDefault="002A529D" w:rsidP="002A529D">
      <w:pPr>
        <w:pStyle w:val="Prrafodelista"/>
        <w:numPr>
          <w:ilvl w:val="0"/>
          <w:numId w:val="31"/>
        </w:numPr>
        <w:spacing w:line="360" w:lineRule="auto"/>
        <w:jc w:val="both"/>
        <w:rPr>
          <w:sz w:val="20"/>
          <w:szCs w:val="20"/>
        </w:rPr>
      </w:pPr>
      <w:r w:rsidRPr="002A529D">
        <w:rPr>
          <w:bCs/>
          <w:sz w:val="20"/>
          <w:szCs w:val="20"/>
        </w:rPr>
        <w:t>Una mayor competencia económica que contribuya a la disminución de las presiones inflacionarias, fomente la mayor disponibilidad de productos y, mejore la calidad de los servicios y la competitividad de México en el ámbito internacional</w:t>
      </w:r>
      <w:r w:rsidR="00A43EB4" w:rsidRPr="002A529D">
        <w:rPr>
          <w:sz w:val="20"/>
          <w:szCs w:val="20"/>
        </w:rPr>
        <w:t>.</w:t>
      </w:r>
    </w:p>
    <w:p w14:paraId="7D688000" w14:textId="7E154477" w:rsidR="001C7425" w:rsidRDefault="00613629" w:rsidP="00613629">
      <w:pPr>
        <w:spacing w:line="360" w:lineRule="auto"/>
        <w:jc w:val="center"/>
        <w:rPr>
          <w:rFonts w:ascii="Arial" w:hAnsi="Arial" w:cs="Arial"/>
        </w:rPr>
      </w:pPr>
      <w:r>
        <w:rPr>
          <w:noProof/>
          <w:lang w:val="es-MX" w:eastAsia="es-MX"/>
        </w:rPr>
        <w:drawing>
          <wp:inline distT="0" distB="0" distL="0" distR="0" wp14:anchorId="10F08098" wp14:editId="408D89E8">
            <wp:extent cx="4048125" cy="347349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BEBA8EAE-BF5A-486C-A8C5-ECC9F3942E4B}">
                          <a14:imgProps xmlns:a14="http://schemas.microsoft.com/office/drawing/2010/main">
                            <a14:imgLayer r:embed="rId46">
                              <a14:imgEffect>
                                <a14:brightnessContrast contrast="20000"/>
                              </a14:imgEffect>
                            </a14:imgLayer>
                          </a14:imgProps>
                        </a:ext>
                      </a:extLst>
                    </a:blip>
                    <a:srcRect l="24584" t="22599" r="23996" b="11361"/>
                    <a:stretch/>
                  </pic:blipFill>
                  <pic:spPr bwMode="auto">
                    <a:xfrm>
                      <a:off x="0" y="0"/>
                      <a:ext cx="4051716" cy="3476576"/>
                    </a:xfrm>
                    <a:prstGeom prst="rect">
                      <a:avLst/>
                    </a:prstGeom>
                    <a:ln>
                      <a:noFill/>
                    </a:ln>
                    <a:extLst>
                      <a:ext uri="{53640926-AAD7-44D8-BBD7-CCE9431645EC}">
                        <a14:shadowObscured xmlns:a14="http://schemas.microsoft.com/office/drawing/2010/main"/>
                      </a:ext>
                    </a:extLst>
                  </pic:spPr>
                </pic:pic>
              </a:graphicData>
            </a:graphic>
          </wp:inline>
        </w:drawing>
      </w:r>
    </w:p>
    <w:p w14:paraId="5FA2B199" w14:textId="2A996046" w:rsidR="001C7425" w:rsidRDefault="001C7425" w:rsidP="00DD6971">
      <w:pPr>
        <w:spacing w:line="360" w:lineRule="auto"/>
        <w:jc w:val="both"/>
        <w:rPr>
          <w:rFonts w:ascii="Arial" w:hAnsi="Arial" w:cs="Arial"/>
        </w:rPr>
      </w:pPr>
    </w:p>
    <w:p w14:paraId="218F3B5A" w14:textId="1835627B" w:rsidR="0026749A" w:rsidRPr="00D86289" w:rsidRDefault="002A529D" w:rsidP="0026749A">
      <w:pPr>
        <w:spacing w:line="360" w:lineRule="auto"/>
        <w:jc w:val="both"/>
        <w:rPr>
          <w:sz w:val="20"/>
          <w:szCs w:val="20"/>
        </w:rPr>
      </w:pPr>
      <w:r w:rsidRPr="002A529D">
        <w:rPr>
          <w:sz w:val="20"/>
          <w:szCs w:val="20"/>
        </w:rPr>
        <w:t>En el siguiente cuadro se presentan las perspectivas de finanzas públicas de mediano plazo para el Estado de Tlaxcala, tomando como referencia los Criterios Generales de Política Económica para la Iniciativa de Ley de Ingresos y el Proyecto de Presupuesto de Egresos de la Federación correspondientes al Ejercicio Fiscal 2023</w:t>
      </w:r>
      <w:r w:rsidR="00827206" w:rsidRPr="00D86289">
        <w:rPr>
          <w:sz w:val="20"/>
          <w:szCs w:val="20"/>
        </w:rPr>
        <w:t>.</w:t>
      </w:r>
    </w:p>
    <w:p w14:paraId="72C635EB" w14:textId="384B9F4D" w:rsidR="00CC24CE" w:rsidRDefault="002A529D" w:rsidP="00CC24CE">
      <w:pPr>
        <w:spacing w:line="360" w:lineRule="auto"/>
        <w:jc w:val="center"/>
        <w:rPr>
          <w:rFonts w:ascii="Arial" w:hAnsi="Arial" w:cs="Arial"/>
        </w:rPr>
      </w:pPr>
      <w:r w:rsidRPr="006A3317">
        <w:rPr>
          <w:noProof/>
          <w:lang w:val="es-MX" w:eastAsia="es-MX"/>
        </w:rPr>
        <w:lastRenderedPageBreak/>
        <w:drawing>
          <wp:inline distT="0" distB="0" distL="0" distR="0" wp14:anchorId="482B28C2" wp14:editId="69926F22">
            <wp:extent cx="5143500" cy="4506001"/>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3500" cy="4506001"/>
                    </a:xfrm>
                    <a:prstGeom prst="rect">
                      <a:avLst/>
                    </a:prstGeom>
                    <a:noFill/>
                    <a:ln>
                      <a:noFill/>
                    </a:ln>
                  </pic:spPr>
                </pic:pic>
              </a:graphicData>
            </a:graphic>
          </wp:inline>
        </w:drawing>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5846"/>
      </w:tblGrid>
      <w:tr w:rsidR="00613629" w:rsidRPr="00613629" w14:paraId="047D2107" w14:textId="77777777" w:rsidTr="009274F7">
        <w:tc>
          <w:tcPr>
            <w:tcW w:w="8222" w:type="dxa"/>
            <w:gridSpan w:val="2"/>
            <w:shd w:val="clear" w:color="auto" w:fill="A8D08D" w:themeFill="accent6" w:themeFillTint="99"/>
          </w:tcPr>
          <w:p w14:paraId="0E1C4E5A" w14:textId="77777777" w:rsidR="00613629" w:rsidRPr="00613629" w:rsidRDefault="00613629" w:rsidP="009274F7">
            <w:pPr>
              <w:spacing w:line="360" w:lineRule="auto"/>
              <w:jc w:val="center"/>
              <w:rPr>
                <w:b/>
                <w:sz w:val="20"/>
                <w:szCs w:val="20"/>
              </w:rPr>
            </w:pPr>
            <w:r w:rsidRPr="00613629">
              <w:rPr>
                <w:b/>
                <w:sz w:val="20"/>
                <w:szCs w:val="20"/>
              </w:rPr>
              <w:t>GOBIERNO DEL ESTADO DE TLAXCALA</w:t>
            </w:r>
          </w:p>
          <w:p w14:paraId="6EF69348" w14:textId="77777777" w:rsidR="00613629" w:rsidRPr="00613629" w:rsidRDefault="00613629" w:rsidP="009274F7">
            <w:pPr>
              <w:spacing w:line="360" w:lineRule="auto"/>
              <w:jc w:val="center"/>
              <w:rPr>
                <w:b/>
                <w:sz w:val="20"/>
                <w:szCs w:val="20"/>
              </w:rPr>
            </w:pPr>
            <w:r w:rsidRPr="00613629">
              <w:rPr>
                <w:b/>
                <w:sz w:val="20"/>
                <w:szCs w:val="20"/>
              </w:rPr>
              <w:t>SUPUESTOS DE FINANZAS PÚBLICAS DE MEDIANO PLAZO 2023-2028</w:t>
            </w:r>
          </w:p>
        </w:tc>
      </w:tr>
      <w:tr w:rsidR="00613629" w:rsidRPr="00613629" w14:paraId="594D3015" w14:textId="77777777" w:rsidTr="009274F7">
        <w:tc>
          <w:tcPr>
            <w:tcW w:w="2376" w:type="dxa"/>
            <w:vMerge w:val="restart"/>
          </w:tcPr>
          <w:p w14:paraId="4F68C45C" w14:textId="77777777" w:rsidR="00613629" w:rsidRPr="00613629" w:rsidRDefault="00613629" w:rsidP="009274F7">
            <w:pPr>
              <w:spacing w:line="360" w:lineRule="auto"/>
              <w:jc w:val="center"/>
              <w:rPr>
                <w:b/>
                <w:sz w:val="20"/>
                <w:szCs w:val="20"/>
              </w:rPr>
            </w:pPr>
            <w:r w:rsidRPr="00613629">
              <w:rPr>
                <w:b/>
                <w:sz w:val="20"/>
                <w:szCs w:val="20"/>
              </w:rPr>
              <w:t>Concepto</w:t>
            </w:r>
          </w:p>
        </w:tc>
        <w:tc>
          <w:tcPr>
            <w:tcW w:w="5846" w:type="dxa"/>
          </w:tcPr>
          <w:p w14:paraId="0141EDD2" w14:textId="77777777" w:rsidR="00613629" w:rsidRPr="00613629" w:rsidRDefault="00613629" w:rsidP="009274F7">
            <w:pPr>
              <w:spacing w:line="360" w:lineRule="auto"/>
              <w:jc w:val="center"/>
              <w:rPr>
                <w:b/>
                <w:sz w:val="20"/>
                <w:szCs w:val="20"/>
              </w:rPr>
            </w:pPr>
            <w:r w:rsidRPr="00613629">
              <w:rPr>
                <w:b/>
                <w:sz w:val="20"/>
                <w:szCs w:val="20"/>
              </w:rPr>
              <w:t>Supuestos</w:t>
            </w:r>
          </w:p>
        </w:tc>
      </w:tr>
      <w:tr w:rsidR="00613629" w:rsidRPr="00613629" w14:paraId="436607AE" w14:textId="77777777" w:rsidTr="009274F7">
        <w:tc>
          <w:tcPr>
            <w:tcW w:w="2376" w:type="dxa"/>
            <w:vMerge/>
          </w:tcPr>
          <w:p w14:paraId="013A8893" w14:textId="77777777" w:rsidR="00613629" w:rsidRPr="00613629" w:rsidRDefault="00613629" w:rsidP="009274F7">
            <w:pPr>
              <w:spacing w:line="360" w:lineRule="auto"/>
              <w:jc w:val="both"/>
              <w:rPr>
                <w:b/>
                <w:sz w:val="20"/>
                <w:szCs w:val="20"/>
              </w:rPr>
            </w:pPr>
          </w:p>
        </w:tc>
        <w:tc>
          <w:tcPr>
            <w:tcW w:w="5846" w:type="dxa"/>
          </w:tcPr>
          <w:p w14:paraId="3D962068" w14:textId="77777777" w:rsidR="00613629" w:rsidRPr="00613629" w:rsidRDefault="00613629" w:rsidP="009274F7">
            <w:pPr>
              <w:spacing w:line="360" w:lineRule="auto"/>
              <w:jc w:val="center"/>
              <w:rPr>
                <w:b/>
                <w:sz w:val="20"/>
                <w:szCs w:val="20"/>
              </w:rPr>
            </w:pPr>
            <w:r w:rsidRPr="00613629">
              <w:rPr>
                <w:b/>
                <w:sz w:val="20"/>
                <w:szCs w:val="20"/>
              </w:rPr>
              <w:t>Fuente de recursos</w:t>
            </w:r>
          </w:p>
        </w:tc>
      </w:tr>
      <w:tr w:rsidR="00613629" w:rsidRPr="00613629" w14:paraId="1C52CA6B" w14:textId="77777777" w:rsidTr="009274F7">
        <w:tc>
          <w:tcPr>
            <w:tcW w:w="2376" w:type="dxa"/>
          </w:tcPr>
          <w:p w14:paraId="3C41719B" w14:textId="77777777" w:rsidR="00613629" w:rsidRPr="00613629" w:rsidRDefault="00613629" w:rsidP="009274F7">
            <w:pPr>
              <w:spacing w:line="360" w:lineRule="auto"/>
              <w:jc w:val="both"/>
              <w:rPr>
                <w:sz w:val="20"/>
                <w:szCs w:val="20"/>
              </w:rPr>
            </w:pPr>
            <w:r w:rsidRPr="00613629">
              <w:rPr>
                <w:sz w:val="20"/>
                <w:szCs w:val="20"/>
              </w:rPr>
              <w:t>Impuestos</w:t>
            </w:r>
          </w:p>
        </w:tc>
        <w:tc>
          <w:tcPr>
            <w:tcW w:w="5846" w:type="dxa"/>
          </w:tcPr>
          <w:p w14:paraId="41E8D57C" w14:textId="0C55F5ED" w:rsidR="00613629" w:rsidRPr="00613629" w:rsidRDefault="00613629" w:rsidP="00613629">
            <w:pPr>
              <w:spacing w:line="360" w:lineRule="auto"/>
              <w:jc w:val="both"/>
              <w:rPr>
                <w:sz w:val="20"/>
                <w:szCs w:val="20"/>
              </w:rPr>
            </w:pPr>
            <w:r w:rsidRPr="00613629">
              <w:rPr>
                <w:sz w:val="20"/>
                <w:szCs w:val="20"/>
              </w:rPr>
              <w:t>La recaudación aumenta a una tasa anual promedio de 3%, ligeramente mayor a lo estimado.</w:t>
            </w:r>
          </w:p>
        </w:tc>
      </w:tr>
      <w:tr w:rsidR="00613629" w:rsidRPr="00613629" w14:paraId="6396F215" w14:textId="77777777" w:rsidTr="009274F7">
        <w:tc>
          <w:tcPr>
            <w:tcW w:w="2376" w:type="dxa"/>
          </w:tcPr>
          <w:p w14:paraId="2F2C3294" w14:textId="77777777" w:rsidR="00613629" w:rsidRPr="00613629" w:rsidRDefault="00613629" w:rsidP="009274F7">
            <w:pPr>
              <w:spacing w:line="360" w:lineRule="auto"/>
              <w:jc w:val="both"/>
              <w:rPr>
                <w:sz w:val="20"/>
                <w:szCs w:val="20"/>
              </w:rPr>
            </w:pPr>
            <w:r w:rsidRPr="00613629">
              <w:rPr>
                <w:sz w:val="20"/>
                <w:szCs w:val="20"/>
              </w:rPr>
              <w:t>Derechos</w:t>
            </w:r>
          </w:p>
        </w:tc>
        <w:tc>
          <w:tcPr>
            <w:tcW w:w="5846" w:type="dxa"/>
          </w:tcPr>
          <w:p w14:paraId="218AC43C" w14:textId="58C8398C" w:rsidR="00613629" w:rsidRPr="00613629" w:rsidRDefault="00613629" w:rsidP="00613629">
            <w:pPr>
              <w:spacing w:line="360" w:lineRule="auto"/>
              <w:jc w:val="both"/>
              <w:rPr>
                <w:sz w:val="20"/>
                <w:szCs w:val="20"/>
              </w:rPr>
            </w:pPr>
            <w:r w:rsidRPr="00613629">
              <w:rPr>
                <w:sz w:val="20"/>
                <w:szCs w:val="20"/>
              </w:rPr>
              <w:t>La recaudación aumenta a una tasa anual promedio de 3%, ligeramente mayor a lo estimado, derivado de los servicios prestados por Dependencias del Poder Ejecutivo.</w:t>
            </w:r>
          </w:p>
        </w:tc>
      </w:tr>
      <w:tr w:rsidR="00613629" w:rsidRPr="00613629" w14:paraId="6DF482F1" w14:textId="77777777" w:rsidTr="009274F7">
        <w:tc>
          <w:tcPr>
            <w:tcW w:w="2376" w:type="dxa"/>
          </w:tcPr>
          <w:p w14:paraId="30D209FD" w14:textId="77777777" w:rsidR="00613629" w:rsidRPr="00613629" w:rsidRDefault="00613629" w:rsidP="009274F7">
            <w:pPr>
              <w:spacing w:line="360" w:lineRule="auto"/>
              <w:jc w:val="both"/>
              <w:rPr>
                <w:sz w:val="20"/>
                <w:szCs w:val="20"/>
              </w:rPr>
            </w:pPr>
            <w:r w:rsidRPr="00613629">
              <w:rPr>
                <w:sz w:val="20"/>
                <w:szCs w:val="20"/>
              </w:rPr>
              <w:lastRenderedPageBreak/>
              <w:t>Productos</w:t>
            </w:r>
          </w:p>
        </w:tc>
        <w:tc>
          <w:tcPr>
            <w:tcW w:w="5846" w:type="dxa"/>
          </w:tcPr>
          <w:p w14:paraId="1FE9F8A5" w14:textId="14548F65" w:rsidR="00613629" w:rsidRPr="00613629" w:rsidRDefault="00613629" w:rsidP="00613629">
            <w:pPr>
              <w:spacing w:line="360" w:lineRule="auto"/>
              <w:jc w:val="both"/>
              <w:rPr>
                <w:sz w:val="20"/>
                <w:szCs w:val="20"/>
              </w:rPr>
            </w:pPr>
            <w:r w:rsidRPr="00613629">
              <w:rPr>
                <w:sz w:val="20"/>
                <w:szCs w:val="20"/>
              </w:rPr>
              <w:t>Aumentan a una tasa similar al crecimiento real de la recaudación de contribuciones.</w:t>
            </w:r>
          </w:p>
        </w:tc>
      </w:tr>
      <w:tr w:rsidR="00613629" w:rsidRPr="00613629" w14:paraId="128CF7DF" w14:textId="77777777" w:rsidTr="009274F7">
        <w:tc>
          <w:tcPr>
            <w:tcW w:w="2376" w:type="dxa"/>
          </w:tcPr>
          <w:p w14:paraId="58504FCF" w14:textId="77777777" w:rsidR="00613629" w:rsidRPr="00613629" w:rsidRDefault="00613629" w:rsidP="009274F7">
            <w:pPr>
              <w:spacing w:line="360" w:lineRule="auto"/>
              <w:jc w:val="both"/>
              <w:rPr>
                <w:sz w:val="20"/>
                <w:szCs w:val="20"/>
              </w:rPr>
            </w:pPr>
            <w:r w:rsidRPr="00613629">
              <w:rPr>
                <w:sz w:val="20"/>
                <w:szCs w:val="20"/>
              </w:rPr>
              <w:t>Aprovechamientos</w:t>
            </w:r>
          </w:p>
        </w:tc>
        <w:tc>
          <w:tcPr>
            <w:tcW w:w="5846" w:type="dxa"/>
          </w:tcPr>
          <w:p w14:paraId="1C12A692" w14:textId="77777777" w:rsidR="00613629" w:rsidRPr="00613629" w:rsidRDefault="00613629" w:rsidP="009274F7">
            <w:pPr>
              <w:spacing w:line="360" w:lineRule="auto"/>
              <w:jc w:val="both"/>
              <w:rPr>
                <w:sz w:val="20"/>
                <w:szCs w:val="20"/>
              </w:rPr>
            </w:pPr>
            <w:r w:rsidRPr="00613629">
              <w:rPr>
                <w:sz w:val="20"/>
                <w:szCs w:val="20"/>
              </w:rPr>
              <w:t>Aumentan en función de la recaudación esperada en contribuciones.</w:t>
            </w:r>
          </w:p>
        </w:tc>
      </w:tr>
      <w:tr w:rsidR="00613629" w:rsidRPr="00613629" w14:paraId="480C1CA1" w14:textId="77777777" w:rsidTr="009274F7">
        <w:tc>
          <w:tcPr>
            <w:tcW w:w="2376" w:type="dxa"/>
          </w:tcPr>
          <w:p w14:paraId="450DEEC4" w14:textId="77777777" w:rsidR="00613629" w:rsidRPr="00613629" w:rsidRDefault="00613629" w:rsidP="009274F7">
            <w:pPr>
              <w:spacing w:line="360" w:lineRule="auto"/>
              <w:jc w:val="both"/>
              <w:rPr>
                <w:sz w:val="20"/>
                <w:szCs w:val="20"/>
              </w:rPr>
            </w:pPr>
            <w:r w:rsidRPr="00613629">
              <w:rPr>
                <w:sz w:val="20"/>
                <w:szCs w:val="20"/>
              </w:rPr>
              <w:t>Participaciones</w:t>
            </w:r>
          </w:p>
        </w:tc>
        <w:tc>
          <w:tcPr>
            <w:tcW w:w="5846" w:type="dxa"/>
          </w:tcPr>
          <w:p w14:paraId="52A611F7" w14:textId="0B0DDFE0" w:rsidR="00613629" w:rsidRPr="00613629" w:rsidRDefault="00613629" w:rsidP="00613629">
            <w:pPr>
              <w:spacing w:line="360" w:lineRule="auto"/>
              <w:jc w:val="both"/>
              <w:rPr>
                <w:sz w:val="20"/>
                <w:szCs w:val="20"/>
              </w:rPr>
            </w:pPr>
            <w:r w:rsidRPr="00613629">
              <w:rPr>
                <w:sz w:val="20"/>
                <w:szCs w:val="20"/>
              </w:rPr>
              <w:t>Consideran un incremento en función de la recaudación federal participable, tomando como base la recaudación de ingresos tributarios, no tributarios e ingresos petroleros.</w:t>
            </w:r>
          </w:p>
        </w:tc>
      </w:tr>
      <w:tr w:rsidR="00613629" w:rsidRPr="00613629" w14:paraId="53146DD2" w14:textId="77777777" w:rsidTr="009274F7">
        <w:tc>
          <w:tcPr>
            <w:tcW w:w="2376" w:type="dxa"/>
          </w:tcPr>
          <w:p w14:paraId="13B3158C" w14:textId="77777777" w:rsidR="00613629" w:rsidRPr="00613629" w:rsidRDefault="00613629" w:rsidP="009274F7">
            <w:pPr>
              <w:spacing w:line="360" w:lineRule="auto"/>
              <w:jc w:val="both"/>
              <w:rPr>
                <w:sz w:val="20"/>
                <w:szCs w:val="20"/>
              </w:rPr>
            </w:pPr>
            <w:r w:rsidRPr="00613629">
              <w:rPr>
                <w:sz w:val="20"/>
                <w:szCs w:val="20"/>
              </w:rPr>
              <w:t>Incentivos Económicos</w:t>
            </w:r>
          </w:p>
        </w:tc>
        <w:tc>
          <w:tcPr>
            <w:tcW w:w="5846" w:type="dxa"/>
          </w:tcPr>
          <w:p w14:paraId="4FD90151" w14:textId="2E52411C" w:rsidR="00613629" w:rsidRPr="00613629" w:rsidRDefault="00613629" w:rsidP="00613629">
            <w:pPr>
              <w:spacing w:line="360" w:lineRule="auto"/>
              <w:jc w:val="both"/>
              <w:rPr>
                <w:sz w:val="20"/>
                <w:szCs w:val="20"/>
              </w:rPr>
            </w:pPr>
            <w:r w:rsidRPr="00613629">
              <w:rPr>
                <w:sz w:val="20"/>
                <w:szCs w:val="20"/>
              </w:rPr>
              <w:t>Aumentan en función de las acciones de fiscalización concurrentes y de los incentivos otorgados a través del Convenio de Colaboración Administrativa en Materia Fiscal Federal.</w:t>
            </w:r>
          </w:p>
        </w:tc>
      </w:tr>
      <w:tr w:rsidR="00613629" w:rsidRPr="00613629" w14:paraId="30BEEF86" w14:textId="77777777" w:rsidTr="009274F7">
        <w:tc>
          <w:tcPr>
            <w:tcW w:w="2376" w:type="dxa"/>
          </w:tcPr>
          <w:p w14:paraId="51C5F29F" w14:textId="77777777" w:rsidR="00613629" w:rsidRPr="00613629" w:rsidRDefault="00613629" w:rsidP="009274F7">
            <w:pPr>
              <w:spacing w:line="360" w:lineRule="auto"/>
              <w:jc w:val="both"/>
              <w:rPr>
                <w:sz w:val="20"/>
                <w:szCs w:val="20"/>
              </w:rPr>
            </w:pPr>
            <w:r w:rsidRPr="00613629">
              <w:rPr>
                <w:sz w:val="20"/>
                <w:szCs w:val="20"/>
              </w:rPr>
              <w:t>Aportaciones</w:t>
            </w:r>
          </w:p>
        </w:tc>
        <w:tc>
          <w:tcPr>
            <w:tcW w:w="5846" w:type="dxa"/>
          </w:tcPr>
          <w:p w14:paraId="4EF1E3DA" w14:textId="24989382" w:rsidR="00613629" w:rsidRPr="00613629" w:rsidRDefault="00613629" w:rsidP="00613629">
            <w:pPr>
              <w:spacing w:line="360" w:lineRule="auto"/>
              <w:jc w:val="both"/>
              <w:rPr>
                <w:sz w:val="20"/>
                <w:szCs w:val="20"/>
              </w:rPr>
            </w:pPr>
            <w:r w:rsidRPr="00613629">
              <w:rPr>
                <w:sz w:val="20"/>
                <w:szCs w:val="20"/>
              </w:rPr>
              <w:t>Se incrementan a una tasa de crecimiento promedio del 3%.</w:t>
            </w:r>
          </w:p>
        </w:tc>
      </w:tr>
      <w:tr w:rsidR="00613629" w:rsidRPr="00613629" w14:paraId="7F71DDE9" w14:textId="77777777" w:rsidTr="009274F7">
        <w:tc>
          <w:tcPr>
            <w:tcW w:w="2376" w:type="dxa"/>
          </w:tcPr>
          <w:p w14:paraId="27F7AC8A" w14:textId="77777777" w:rsidR="00613629" w:rsidRPr="00613629" w:rsidRDefault="00613629" w:rsidP="009274F7">
            <w:pPr>
              <w:spacing w:line="360" w:lineRule="auto"/>
              <w:jc w:val="both"/>
              <w:rPr>
                <w:sz w:val="20"/>
                <w:szCs w:val="20"/>
              </w:rPr>
            </w:pPr>
            <w:r w:rsidRPr="00613629">
              <w:rPr>
                <w:sz w:val="20"/>
                <w:szCs w:val="20"/>
              </w:rPr>
              <w:t>Convenios</w:t>
            </w:r>
          </w:p>
        </w:tc>
        <w:tc>
          <w:tcPr>
            <w:tcW w:w="5846" w:type="dxa"/>
          </w:tcPr>
          <w:p w14:paraId="63A30133" w14:textId="77777777" w:rsidR="00613629" w:rsidRPr="00613629" w:rsidRDefault="00613629" w:rsidP="009274F7">
            <w:pPr>
              <w:spacing w:line="360" w:lineRule="auto"/>
              <w:jc w:val="both"/>
              <w:rPr>
                <w:sz w:val="20"/>
                <w:szCs w:val="20"/>
              </w:rPr>
            </w:pPr>
            <w:r w:rsidRPr="00613629">
              <w:rPr>
                <w:sz w:val="20"/>
                <w:szCs w:val="20"/>
              </w:rPr>
              <w:t>Considera una alta variabilidad ya que la obtención de recursos por este concepto está en función de las negociaciones del presupuesto que se efectúen.</w:t>
            </w:r>
          </w:p>
        </w:tc>
      </w:tr>
    </w:tbl>
    <w:p w14:paraId="487DE4DE" w14:textId="6752AF9F" w:rsidR="009C644E" w:rsidRDefault="009C644E" w:rsidP="007159E7">
      <w:pPr>
        <w:spacing w:line="360" w:lineRule="auto"/>
        <w:jc w:val="both"/>
        <w:rPr>
          <w:rFonts w:ascii="Arial" w:hAnsi="Arial" w:cs="Arial"/>
        </w:rPr>
      </w:pPr>
    </w:p>
    <w:p w14:paraId="6A28567A" w14:textId="77777777" w:rsidR="00526E6F" w:rsidRDefault="00526E6F" w:rsidP="007159E7">
      <w:pPr>
        <w:spacing w:line="360" w:lineRule="auto"/>
        <w:jc w:val="both"/>
        <w:rPr>
          <w:rFonts w:ascii="Arial" w:hAnsi="Arial" w:cs="Arial"/>
        </w:rPr>
      </w:pPr>
    </w:p>
    <w:p w14:paraId="74A07EEA" w14:textId="4CCCA4AC" w:rsidR="00E1065D" w:rsidRPr="00D86289" w:rsidRDefault="0050219A" w:rsidP="00E1065D">
      <w:pPr>
        <w:numPr>
          <w:ilvl w:val="0"/>
          <w:numId w:val="8"/>
        </w:numPr>
        <w:spacing w:line="360" w:lineRule="auto"/>
        <w:ind w:left="567" w:hanging="567"/>
        <w:jc w:val="both"/>
        <w:rPr>
          <w:b/>
          <w:bCs/>
          <w:sz w:val="20"/>
          <w:szCs w:val="20"/>
        </w:rPr>
      </w:pPr>
      <w:r w:rsidRPr="00D86289">
        <w:rPr>
          <w:b/>
          <w:bCs/>
          <w:sz w:val="20"/>
          <w:szCs w:val="20"/>
        </w:rPr>
        <w:t>RIESGOS FISCALES</w:t>
      </w:r>
    </w:p>
    <w:p w14:paraId="4C31DDA7" w14:textId="77777777" w:rsidR="00E1065D" w:rsidRPr="00D86289" w:rsidRDefault="00E1065D" w:rsidP="007159E7">
      <w:pPr>
        <w:spacing w:line="360" w:lineRule="auto"/>
        <w:jc w:val="both"/>
        <w:rPr>
          <w:sz w:val="20"/>
          <w:szCs w:val="20"/>
        </w:rPr>
      </w:pPr>
    </w:p>
    <w:p w14:paraId="2087106B" w14:textId="77777777" w:rsidR="002A529D" w:rsidRPr="002A529D" w:rsidRDefault="002A529D" w:rsidP="002A529D">
      <w:pPr>
        <w:spacing w:line="360" w:lineRule="auto"/>
        <w:jc w:val="both"/>
        <w:rPr>
          <w:sz w:val="20"/>
          <w:szCs w:val="20"/>
        </w:rPr>
      </w:pPr>
      <w:r w:rsidRPr="002A529D">
        <w:rPr>
          <w:sz w:val="20"/>
          <w:szCs w:val="20"/>
        </w:rPr>
        <w:t xml:space="preserve">El marco macroeconómico descrito se encuentra sujeto a riesgos que podrían modificar las trayectorias estimadas. Entre los factores que pueden generar un entorno más benéfico al alza se encuentran: </w:t>
      </w:r>
    </w:p>
    <w:p w14:paraId="6AACB439" w14:textId="77777777" w:rsidR="002A529D" w:rsidRPr="002A529D" w:rsidRDefault="002A529D" w:rsidP="002A529D">
      <w:pPr>
        <w:pStyle w:val="Prrafodelista"/>
        <w:numPr>
          <w:ilvl w:val="0"/>
          <w:numId w:val="42"/>
        </w:numPr>
        <w:spacing w:line="360" w:lineRule="auto"/>
        <w:jc w:val="both"/>
        <w:rPr>
          <w:sz w:val="20"/>
          <w:szCs w:val="20"/>
        </w:rPr>
      </w:pPr>
      <w:r w:rsidRPr="002A529D">
        <w:rPr>
          <w:sz w:val="20"/>
          <w:szCs w:val="20"/>
        </w:rPr>
        <w:t>Mejoras importantes en las condiciones de informalidad derivado de las reformas en materia laboral implementadas desde el inicio de la administración, las cuales beneficiarían al consumo, la productividad y a la recaudación tributaria.</w:t>
      </w:r>
    </w:p>
    <w:p w14:paraId="324FBA14" w14:textId="77777777" w:rsidR="002A529D" w:rsidRPr="002A529D" w:rsidRDefault="002A529D" w:rsidP="002A529D">
      <w:pPr>
        <w:pStyle w:val="Prrafodelista"/>
        <w:numPr>
          <w:ilvl w:val="0"/>
          <w:numId w:val="42"/>
        </w:numPr>
        <w:spacing w:line="360" w:lineRule="auto"/>
        <w:jc w:val="both"/>
        <w:rPr>
          <w:sz w:val="20"/>
          <w:szCs w:val="20"/>
        </w:rPr>
      </w:pPr>
      <w:r w:rsidRPr="002A529D">
        <w:rPr>
          <w:sz w:val="20"/>
          <w:szCs w:val="20"/>
        </w:rPr>
        <w:t>Aumentos en la productividad de factores por una mayor innovación, que permitiría una distribución más eficiente del empleo y el capital.</w:t>
      </w:r>
    </w:p>
    <w:p w14:paraId="69B7E1B9" w14:textId="6AC7CDE7" w:rsidR="002A529D" w:rsidRPr="002A529D" w:rsidRDefault="002A529D" w:rsidP="002A529D">
      <w:pPr>
        <w:pStyle w:val="Prrafodelista"/>
        <w:numPr>
          <w:ilvl w:val="0"/>
          <w:numId w:val="42"/>
        </w:numPr>
        <w:spacing w:line="360" w:lineRule="auto"/>
        <w:jc w:val="both"/>
        <w:rPr>
          <w:sz w:val="20"/>
          <w:szCs w:val="20"/>
        </w:rPr>
      </w:pPr>
      <w:r w:rsidRPr="002A529D">
        <w:rPr>
          <w:sz w:val="20"/>
          <w:szCs w:val="20"/>
        </w:rPr>
        <w:t>Una mayor competencia económica que contribuya a la disminución de las presiones inflacionarias, fomente la mayor disponibilidad de productos, mejore la calidad de los servicios y la competitividad de México en el ámbito internacional.</w:t>
      </w:r>
    </w:p>
    <w:p w14:paraId="4E5B7390" w14:textId="77777777" w:rsidR="002A529D" w:rsidRPr="002A529D" w:rsidRDefault="002A529D" w:rsidP="002A529D">
      <w:pPr>
        <w:spacing w:line="360" w:lineRule="auto"/>
        <w:jc w:val="both"/>
        <w:rPr>
          <w:sz w:val="20"/>
          <w:szCs w:val="20"/>
        </w:rPr>
      </w:pPr>
    </w:p>
    <w:p w14:paraId="256D30BC" w14:textId="77777777" w:rsidR="002A529D" w:rsidRPr="002A529D" w:rsidRDefault="002A529D" w:rsidP="002A529D">
      <w:pPr>
        <w:spacing w:line="360" w:lineRule="auto"/>
        <w:jc w:val="both"/>
        <w:rPr>
          <w:sz w:val="20"/>
          <w:szCs w:val="20"/>
        </w:rPr>
      </w:pPr>
      <w:r w:rsidRPr="002A529D">
        <w:rPr>
          <w:sz w:val="20"/>
          <w:szCs w:val="20"/>
        </w:rPr>
        <w:t xml:space="preserve">Dentro de los riesgos a la baja destacan los siguientes: </w:t>
      </w:r>
    </w:p>
    <w:p w14:paraId="68F35278" w14:textId="77777777" w:rsidR="002A529D" w:rsidRPr="002A529D" w:rsidRDefault="002A529D" w:rsidP="002A529D">
      <w:pPr>
        <w:spacing w:line="360" w:lineRule="auto"/>
        <w:jc w:val="both"/>
        <w:rPr>
          <w:sz w:val="20"/>
          <w:szCs w:val="20"/>
        </w:rPr>
      </w:pPr>
    </w:p>
    <w:p w14:paraId="59AFABF2" w14:textId="77777777" w:rsidR="002A529D" w:rsidRPr="002A529D" w:rsidRDefault="002A529D" w:rsidP="002A529D">
      <w:pPr>
        <w:pStyle w:val="Prrafodelista"/>
        <w:numPr>
          <w:ilvl w:val="0"/>
          <w:numId w:val="43"/>
        </w:numPr>
        <w:spacing w:line="360" w:lineRule="auto"/>
        <w:jc w:val="both"/>
        <w:rPr>
          <w:sz w:val="20"/>
          <w:szCs w:val="20"/>
        </w:rPr>
      </w:pPr>
      <w:r w:rsidRPr="002A529D">
        <w:rPr>
          <w:sz w:val="20"/>
          <w:szCs w:val="20"/>
        </w:rPr>
        <w:lastRenderedPageBreak/>
        <w:t>Prolongación de conflictos geopolíticos y creación de bloques comerciales entre países, así como sanciones económicas hacia Rusia o China. Lo anterior podría aumentar la volatilidad y el nivel de precios de algunas materias primas y alimentos, al tiempo que disminuiría el comercio internacional y los flujos financieros internacionales.</w:t>
      </w:r>
    </w:p>
    <w:p w14:paraId="782DC1C4" w14:textId="77777777" w:rsidR="002A529D" w:rsidRPr="002A529D" w:rsidRDefault="002A529D" w:rsidP="002A529D">
      <w:pPr>
        <w:pStyle w:val="Prrafodelista"/>
        <w:numPr>
          <w:ilvl w:val="0"/>
          <w:numId w:val="43"/>
        </w:numPr>
        <w:spacing w:line="360" w:lineRule="auto"/>
        <w:jc w:val="both"/>
        <w:rPr>
          <w:sz w:val="20"/>
          <w:szCs w:val="20"/>
        </w:rPr>
      </w:pPr>
      <w:r w:rsidRPr="002A529D">
        <w:rPr>
          <w:sz w:val="20"/>
          <w:szCs w:val="20"/>
        </w:rPr>
        <w:t>Una política monetaria restrictiva prolongada, que presione las condiciones financieras y contribuya a un crecimiento global por abajo del promedio histórico.</w:t>
      </w:r>
    </w:p>
    <w:p w14:paraId="6227A004" w14:textId="77777777" w:rsidR="002A529D" w:rsidRPr="002A529D" w:rsidRDefault="002A529D" w:rsidP="002A529D">
      <w:pPr>
        <w:pStyle w:val="Prrafodelista"/>
        <w:numPr>
          <w:ilvl w:val="0"/>
          <w:numId w:val="43"/>
        </w:numPr>
        <w:spacing w:line="360" w:lineRule="auto"/>
        <w:jc w:val="both"/>
        <w:rPr>
          <w:sz w:val="20"/>
          <w:szCs w:val="20"/>
        </w:rPr>
      </w:pPr>
      <w:r w:rsidRPr="002A529D">
        <w:rPr>
          <w:sz w:val="20"/>
          <w:szCs w:val="20"/>
        </w:rPr>
        <w:t>Escenario de impago de la deuda por las alzas en las tasas de interés a nivel mundial en un contexto donde los niveles de endeudamiento han alcanzado máximos históricos, particularmente de algunas economías que aumentaron su deuda para enfrentar la crisis sanitaria.</w:t>
      </w:r>
    </w:p>
    <w:p w14:paraId="20FE8DC6" w14:textId="77777777" w:rsidR="002A529D" w:rsidRPr="002A529D" w:rsidRDefault="002A529D" w:rsidP="002A529D">
      <w:pPr>
        <w:pStyle w:val="Prrafodelista"/>
        <w:numPr>
          <w:ilvl w:val="0"/>
          <w:numId w:val="43"/>
        </w:numPr>
        <w:spacing w:line="360" w:lineRule="auto"/>
        <w:jc w:val="both"/>
        <w:rPr>
          <w:sz w:val="20"/>
          <w:szCs w:val="20"/>
        </w:rPr>
      </w:pPr>
      <w:r w:rsidRPr="002A529D">
        <w:rPr>
          <w:sz w:val="20"/>
          <w:szCs w:val="20"/>
        </w:rPr>
        <w:t>Desaceleración económica de China por problemas políticos al interior y estructurales de su economía, en particular por una menor inversión en el sector inmobiliario y la acumulación de deuda que reduciría su demanda de las materias primas y aumentaría el riesgo de enfrentar problemas financieros.</w:t>
      </w:r>
    </w:p>
    <w:p w14:paraId="6091A0DF" w14:textId="77777777" w:rsidR="002A529D" w:rsidRPr="002A529D" w:rsidRDefault="002A529D" w:rsidP="002A529D">
      <w:pPr>
        <w:spacing w:line="360" w:lineRule="auto"/>
        <w:jc w:val="both"/>
        <w:rPr>
          <w:sz w:val="20"/>
          <w:szCs w:val="20"/>
        </w:rPr>
      </w:pPr>
    </w:p>
    <w:p w14:paraId="0D68256E" w14:textId="4DD570D7" w:rsidR="00EF3880" w:rsidRPr="002A529D" w:rsidRDefault="002A529D" w:rsidP="002A529D">
      <w:pPr>
        <w:spacing w:line="360" w:lineRule="auto"/>
        <w:jc w:val="both"/>
        <w:rPr>
          <w:sz w:val="20"/>
          <w:szCs w:val="20"/>
        </w:rPr>
      </w:pPr>
      <w:r w:rsidRPr="002A529D">
        <w:rPr>
          <w:sz w:val="20"/>
          <w:szCs w:val="20"/>
        </w:rPr>
        <w:t>Por lo anterior, el diseño e implementación de la política fiscal del Estado debe considerar los riesgos de mediano y largo plazos. A continuación, se presentan los principales factores estatales que podrían tener un impacto en las finanzas públicas y las acciones que se han tomado para evitar que se conviertan en un riesgo para las finanzas públicas del Estado</w:t>
      </w:r>
      <w:r w:rsidR="00B7607A" w:rsidRPr="002A529D">
        <w:rPr>
          <w:sz w:val="20"/>
          <w:szCs w:val="20"/>
        </w:rPr>
        <w:t>.</w:t>
      </w:r>
    </w:p>
    <w:p w14:paraId="44A1C898" w14:textId="77777777" w:rsidR="00342C51" w:rsidRPr="00D86289" w:rsidRDefault="00342C51" w:rsidP="00E725D0">
      <w:pPr>
        <w:spacing w:line="360" w:lineRule="auto"/>
        <w:jc w:val="both"/>
        <w:rPr>
          <w:b/>
          <w:sz w:val="20"/>
          <w:szCs w:val="20"/>
        </w:rPr>
      </w:pPr>
    </w:p>
    <w:p w14:paraId="49244C88" w14:textId="77777777" w:rsidR="00B7607A" w:rsidRPr="00D86289" w:rsidRDefault="00E725D0" w:rsidP="00E725D0">
      <w:pPr>
        <w:spacing w:line="360" w:lineRule="auto"/>
        <w:jc w:val="both"/>
        <w:rPr>
          <w:b/>
          <w:sz w:val="20"/>
          <w:szCs w:val="20"/>
        </w:rPr>
      </w:pPr>
      <w:r w:rsidRPr="00D86289">
        <w:rPr>
          <w:b/>
          <w:sz w:val="20"/>
          <w:szCs w:val="20"/>
        </w:rPr>
        <w:t xml:space="preserve">1. </w:t>
      </w:r>
      <w:r w:rsidR="00B7607A" w:rsidRPr="00D86289">
        <w:rPr>
          <w:b/>
          <w:sz w:val="20"/>
          <w:szCs w:val="20"/>
        </w:rPr>
        <w:t>Pensiones y Jubilaciones</w:t>
      </w:r>
    </w:p>
    <w:p w14:paraId="1098C797" w14:textId="77777777" w:rsidR="00031372" w:rsidRPr="00D86289" w:rsidRDefault="00031372" w:rsidP="00031372">
      <w:pPr>
        <w:spacing w:line="360" w:lineRule="auto"/>
        <w:jc w:val="both"/>
        <w:rPr>
          <w:sz w:val="20"/>
          <w:szCs w:val="20"/>
        </w:rPr>
      </w:pPr>
    </w:p>
    <w:p w14:paraId="377711D1" w14:textId="77777777" w:rsidR="00891F91" w:rsidRPr="00891F91" w:rsidRDefault="00891F91" w:rsidP="00891F91">
      <w:pPr>
        <w:spacing w:line="360" w:lineRule="auto"/>
        <w:jc w:val="both"/>
        <w:rPr>
          <w:sz w:val="20"/>
          <w:szCs w:val="20"/>
        </w:rPr>
      </w:pPr>
      <w:r w:rsidRPr="00891F91">
        <w:rPr>
          <w:sz w:val="20"/>
          <w:szCs w:val="20"/>
        </w:rPr>
        <w:t>El flujo de ingresos presente o futuro de una familia puede verse interrumpido por la materialización de los riesgos siguientes: la edad avanzada, la cesantía en edad avanzada, la muerte prematura, los accidentes y las enfermedades que causan la invalidez o incapacidad de seguir trabajando. Los sistemas de pensiones tienen como objetivo proteger el flujo de ingresos de un trabajador y su familia. El Sistema de Pensiones del Estado, desarrolló un esquema de reforma a las pensiones que permitirá, en el largo plazo, garantizar el pago de las mismas, respetando los plazos para las jubilaciones.</w:t>
      </w:r>
    </w:p>
    <w:p w14:paraId="6DF351B8" w14:textId="77777777" w:rsidR="00891F91" w:rsidRPr="00891F91" w:rsidRDefault="00891F91" w:rsidP="00891F91">
      <w:pPr>
        <w:spacing w:line="360" w:lineRule="auto"/>
        <w:jc w:val="both"/>
        <w:rPr>
          <w:sz w:val="20"/>
          <w:szCs w:val="20"/>
        </w:rPr>
      </w:pPr>
    </w:p>
    <w:p w14:paraId="62CF110A" w14:textId="253D0B4D" w:rsidR="00891F91" w:rsidRPr="00891F91" w:rsidRDefault="00891F91" w:rsidP="00891F91">
      <w:pPr>
        <w:spacing w:line="360" w:lineRule="auto"/>
        <w:jc w:val="both"/>
        <w:rPr>
          <w:sz w:val="20"/>
          <w:szCs w:val="20"/>
        </w:rPr>
      </w:pPr>
      <w:r w:rsidRPr="00891F91">
        <w:rPr>
          <w:sz w:val="20"/>
          <w:szCs w:val="20"/>
        </w:rPr>
        <w:t>Con las reformas estructurales efectuadas, se garantiza a los jubilados y pensionados el pago puntual de sus pensiones, otorgándoles seguridad económica, y conservar sus derechos de la Ley anterior. Entre las principales reformas efectuadas, tenemos:</w:t>
      </w:r>
    </w:p>
    <w:p w14:paraId="3CCDA45E" w14:textId="77777777" w:rsidR="00891F91" w:rsidRPr="00891F91" w:rsidRDefault="00891F91" w:rsidP="00891F91">
      <w:pPr>
        <w:pStyle w:val="Prrafodelista"/>
        <w:numPr>
          <w:ilvl w:val="0"/>
          <w:numId w:val="24"/>
        </w:numPr>
        <w:spacing w:line="360" w:lineRule="auto"/>
        <w:ind w:left="426" w:hanging="142"/>
        <w:jc w:val="both"/>
        <w:rPr>
          <w:sz w:val="20"/>
          <w:szCs w:val="20"/>
        </w:rPr>
      </w:pPr>
      <w:r w:rsidRPr="00891F91">
        <w:rPr>
          <w:sz w:val="20"/>
          <w:szCs w:val="20"/>
        </w:rPr>
        <w:lastRenderedPageBreak/>
        <w:t xml:space="preserve">Se aumentaron las aportaciones, ya que estas hubiesen sido suficientes para financiar las jubilaciones de los inactivos, pero no para pagar a los nuevos jubilados; </w:t>
      </w:r>
    </w:p>
    <w:p w14:paraId="60808140" w14:textId="77777777" w:rsidR="00891F91" w:rsidRPr="00891F91" w:rsidRDefault="00891F91" w:rsidP="00891F91">
      <w:pPr>
        <w:pStyle w:val="Prrafodelista"/>
        <w:numPr>
          <w:ilvl w:val="0"/>
          <w:numId w:val="24"/>
        </w:numPr>
        <w:spacing w:line="360" w:lineRule="auto"/>
        <w:ind w:left="426" w:hanging="142"/>
        <w:jc w:val="both"/>
        <w:rPr>
          <w:sz w:val="20"/>
          <w:szCs w:val="20"/>
        </w:rPr>
      </w:pPr>
      <w:r w:rsidRPr="00891F91">
        <w:rPr>
          <w:sz w:val="20"/>
          <w:szCs w:val="20"/>
        </w:rPr>
        <w:t>Se aumenta la edad promedio de jubilación para hombres y mujeres, y</w:t>
      </w:r>
    </w:p>
    <w:p w14:paraId="2D8972B7" w14:textId="77777777" w:rsidR="00891F91" w:rsidRPr="00891F91" w:rsidRDefault="00891F91" w:rsidP="00891F91">
      <w:pPr>
        <w:pStyle w:val="Prrafodelista"/>
        <w:numPr>
          <w:ilvl w:val="0"/>
          <w:numId w:val="24"/>
        </w:numPr>
        <w:spacing w:line="360" w:lineRule="auto"/>
        <w:ind w:left="426" w:hanging="142"/>
        <w:jc w:val="both"/>
        <w:rPr>
          <w:sz w:val="20"/>
          <w:szCs w:val="20"/>
        </w:rPr>
      </w:pPr>
      <w:r w:rsidRPr="00891F91">
        <w:rPr>
          <w:sz w:val="20"/>
          <w:szCs w:val="20"/>
        </w:rPr>
        <w:t>Se establecen cuentas individuales para los nuevos afiliados.</w:t>
      </w:r>
    </w:p>
    <w:p w14:paraId="0D0296B3" w14:textId="77777777" w:rsidR="00891F91" w:rsidRPr="00891F91" w:rsidRDefault="00891F91" w:rsidP="00891F91">
      <w:pPr>
        <w:spacing w:line="360" w:lineRule="auto"/>
        <w:jc w:val="both"/>
        <w:rPr>
          <w:sz w:val="20"/>
          <w:szCs w:val="20"/>
        </w:rPr>
      </w:pPr>
    </w:p>
    <w:p w14:paraId="29B99CE9" w14:textId="375BF7B1" w:rsidR="00222EA1" w:rsidRPr="00891F91" w:rsidRDefault="00891F91" w:rsidP="00891F91">
      <w:pPr>
        <w:spacing w:line="360" w:lineRule="auto"/>
        <w:jc w:val="both"/>
        <w:rPr>
          <w:sz w:val="20"/>
          <w:szCs w:val="20"/>
        </w:rPr>
      </w:pPr>
      <w:r w:rsidRPr="00891F91">
        <w:rPr>
          <w:sz w:val="20"/>
          <w:szCs w:val="20"/>
        </w:rPr>
        <w:t>Con estas reformas al Sistema Estatal de Pensiones y a los servicios médicos se buscó impulsar mecanismos que incentivaran su capitalización, adicionalmente, se establecieron nuevos esquemas para el otorgamiento de créditos, fortaleciendo el régimen de inversión de los recursos pensionarios de los trabajadores. Por último, se buscó la consolidación del sistema de cuentas individuales de aportación, siendo obligatoria para los trabajadores de nuevo ingreso</w:t>
      </w:r>
      <w:r w:rsidR="00222EA1" w:rsidRPr="00891F91">
        <w:rPr>
          <w:sz w:val="20"/>
          <w:szCs w:val="20"/>
        </w:rPr>
        <w:t>.</w:t>
      </w:r>
    </w:p>
    <w:p w14:paraId="5D984032" w14:textId="77777777" w:rsidR="00D42996" w:rsidRPr="00D86289" w:rsidRDefault="00D42996" w:rsidP="007159E7">
      <w:pPr>
        <w:spacing w:line="360" w:lineRule="auto"/>
        <w:jc w:val="both"/>
        <w:rPr>
          <w:sz w:val="20"/>
          <w:szCs w:val="20"/>
        </w:rPr>
      </w:pPr>
    </w:p>
    <w:p w14:paraId="22D3E894" w14:textId="77777777" w:rsidR="009B52A6" w:rsidRPr="00D86289" w:rsidRDefault="009B52A6" w:rsidP="007159E7">
      <w:pPr>
        <w:spacing w:line="360" w:lineRule="auto"/>
        <w:jc w:val="both"/>
        <w:rPr>
          <w:b/>
          <w:sz w:val="20"/>
          <w:szCs w:val="20"/>
        </w:rPr>
      </w:pPr>
      <w:r w:rsidRPr="00D86289">
        <w:rPr>
          <w:b/>
          <w:sz w:val="20"/>
          <w:szCs w:val="20"/>
        </w:rPr>
        <w:t>2. Deuda Pública</w:t>
      </w:r>
    </w:p>
    <w:p w14:paraId="368E3994" w14:textId="77777777" w:rsidR="009B52A6" w:rsidRPr="00D86289" w:rsidRDefault="009B52A6" w:rsidP="007159E7">
      <w:pPr>
        <w:spacing w:line="360" w:lineRule="auto"/>
        <w:jc w:val="both"/>
        <w:rPr>
          <w:sz w:val="20"/>
          <w:szCs w:val="20"/>
        </w:rPr>
      </w:pPr>
    </w:p>
    <w:p w14:paraId="0943A502" w14:textId="6399FA11" w:rsidR="009B52A6" w:rsidRPr="00D86289" w:rsidRDefault="00891F91" w:rsidP="009B52A6">
      <w:pPr>
        <w:spacing w:line="360" w:lineRule="auto"/>
        <w:jc w:val="both"/>
        <w:rPr>
          <w:sz w:val="20"/>
          <w:szCs w:val="20"/>
        </w:rPr>
      </w:pPr>
      <w:r w:rsidRPr="00891F91">
        <w:rPr>
          <w:sz w:val="20"/>
          <w:szCs w:val="20"/>
        </w:rPr>
        <w:t>El Estado de Tlaxcala ha sido ejemplo a nivel nacional, al implementar una  Política de Deuda en la que los principios de disciplina y responsabilidad presupuestaria, han permitido ubicar a Tlaxcala con un 0% como porcentaje del PIB Estatal en nivel de endeudamiento; sin embargo, considerando el deterioro de los resultados fiscales a nivel nacional podría conducir al requerimiento de recursos para mejorar los niveles de liquidez para promover la inversión pública productiva, por lo que no se desestima en el mediano plazo, la posibilidad de la contratación de deuda para el financiamiento del gasto de inversión; de igual manera se cuenta con la asesoría de la banca de desarrollo, para tener información que nos permita tomar las mejores decisiones en cuestiones de contratación de financiamientos</w:t>
      </w:r>
      <w:r w:rsidR="009B52A6" w:rsidRPr="00D86289">
        <w:rPr>
          <w:sz w:val="20"/>
          <w:szCs w:val="20"/>
        </w:rPr>
        <w:t>.</w:t>
      </w:r>
    </w:p>
    <w:p w14:paraId="2C42C604" w14:textId="77777777" w:rsidR="00C167B8" w:rsidRPr="00D86289" w:rsidRDefault="00C167B8" w:rsidP="007159E7">
      <w:pPr>
        <w:spacing w:line="360" w:lineRule="auto"/>
        <w:jc w:val="both"/>
        <w:rPr>
          <w:sz w:val="20"/>
          <w:szCs w:val="20"/>
        </w:rPr>
      </w:pPr>
    </w:p>
    <w:p w14:paraId="18B352C3" w14:textId="77777777" w:rsidR="009B52A6" w:rsidRPr="00D86289" w:rsidRDefault="009B52A6" w:rsidP="009B52A6">
      <w:pPr>
        <w:spacing w:line="360" w:lineRule="auto"/>
        <w:jc w:val="both"/>
        <w:rPr>
          <w:b/>
          <w:sz w:val="20"/>
          <w:szCs w:val="20"/>
        </w:rPr>
      </w:pPr>
      <w:r w:rsidRPr="00D86289">
        <w:rPr>
          <w:b/>
          <w:sz w:val="20"/>
          <w:szCs w:val="20"/>
        </w:rPr>
        <w:t>3. Menor crecimiento económico</w:t>
      </w:r>
    </w:p>
    <w:p w14:paraId="327ABC03" w14:textId="77777777" w:rsidR="009B52A6" w:rsidRPr="00D86289" w:rsidRDefault="009B52A6" w:rsidP="009B52A6">
      <w:pPr>
        <w:spacing w:line="360" w:lineRule="auto"/>
        <w:jc w:val="both"/>
        <w:rPr>
          <w:sz w:val="20"/>
          <w:szCs w:val="20"/>
        </w:rPr>
      </w:pPr>
    </w:p>
    <w:p w14:paraId="691DEF29" w14:textId="2080A89A" w:rsidR="009B52A6" w:rsidRPr="00D86289" w:rsidRDefault="00891F91" w:rsidP="00613629">
      <w:pPr>
        <w:pStyle w:val="PRIMERAPLANA"/>
        <w:spacing w:line="360" w:lineRule="auto"/>
      </w:pPr>
      <w:r w:rsidRPr="00891F91">
        <w:rPr>
          <w:rFonts w:ascii="Times New Roman" w:hAnsi="Times New Roman"/>
          <w:iCs/>
          <w:lang w:val="es-ES"/>
        </w:rPr>
        <w:t>Para contener este riesgo, el Gobierno del Estado ha llevado a cabo una serie de acciones, entre las que encontramos una mayor promoción en el ámbito local e internacional de la inversión pública y privada, así como de las actividades turísticas, la incorporación de contribuyentes informales a la formalidad, intensificar las acciones de fiscalización y la recaudación de contribuciones locales, para incentivar la actividad económica; sin embargo, el confinamiento y las restricciones establecidas por el Consejo Estatal de Salud enfocadas a diversos sectores de la economía estatal, han determinado su comportamiento a la baja</w:t>
      </w:r>
      <w:r w:rsidR="005C6F0C" w:rsidRPr="00D86289">
        <w:rPr>
          <w:rFonts w:ascii="Times New Roman" w:hAnsi="Times New Roman"/>
          <w:iCs/>
          <w:lang w:val="es-ES"/>
        </w:rPr>
        <w:t>.</w:t>
      </w:r>
    </w:p>
    <w:p w14:paraId="4CD3C188" w14:textId="7F68B70C" w:rsidR="00BB2E8A" w:rsidRPr="00D86289" w:rsidRDefault="00BB2E8A" w:rsidP="00BB2E8A">
      <w:pPr>
        <w:numPr>
          <w:ilvl w:val="0"/>
          <w:numId w:val="8"/>
        </w:numPr>
        <w:spacing w:line="360" w:lineRule="auto"/>
        <w:ind w:left="567" w:hanging="567"/>
        <w:jc w:val="both"/>
        <w:rPr>
          <w:b/>
          <w:bCs/>
          <w:sz w:val="20"/>
          <w:szCs w:val="20"/>
        </w:rPr>
      </w:pPr>
      <w:r w:rsidRPr="00D86289">
        <w:rPr>
          <w:b/>
          <w:bCs/>
          <w:sz w:val="20"/>
          <w:szCs w:val="20"/>
        </w:rPr>
        <w:lastRenderedPageBreak/>
        <w:t>EVOLUCIÓN DE LAS FINANZAS PÚBLICAS 201</w:t>
      </w:r>
      <w:r w:rsidR="00613629">
        <w:rPr>
          <w:b/>
          <w:bCs/>
          <w:sz w:val="20"/>
          <w:szCs w:val="20"/>
        </w:rPr>
        <w:t>7</w:t>
      </w:r>
      <w:r w:rsidRPr="00D86289">
        <w:rPr>
          <w:b/>
          <w:bCs/>
          <w:sz w:val="20"/>
          <w:szCs w:val="20"/>
        </w:rPr>
        <w:t>-20</w:t>
      </w:r>
      <w:r w:rsidR="00E128AC" w:rsidRPr="00D86289">
        <w:rPr>
          <w:b/>
          <w:bCs/>
          <w:sz w:val="20"/>
          <w:szCs w:val="20"/>
        </w:rPr>
        <w:t>2</w:t>
      </w:r>
      <w:r w:rsidR="00613629">
        <w:rPr>
          <w:b/>
          <w:bCs/>
          <w:sz w:val="20"/>
          <w:szCs w:val="20"/>
        </w:rPr>
        <w:t>2</w:t>
      </w:r>
      <w:r w:rsidR="008D7AC7" w:rsidRPr="00D86289">
        <w:rPr>
          <w:b/>
          <w:bCs/>
          <w:sz w:val="20"/>
          <w:szCs w:val="20"/>
        </w:rPr>
        <w:t>.</w:t>
      </w:r>
    </w:p>
    <w:p w14:paraId="72B461FC" w14:textId="77777777" w:rsidR="00BB2E8A" w:rsidRPr="00D86289" w:rsidRDefault="00BB2E8A" w:rsidP="007159E7">
      <w:pPr>
        <w:spacing w:line="360" w:lineRule="auto"/>
        <w:jc w:val="both"/>
        <w:rPr>
          <w:sz w:val="20"/>
          <w:szCs w:val="20"/>
        </w:rPr>
      </w:pPr>
    </w:p>
    <w:p w14:paraId="0D1FE9C0" w14:textId="3A0A8877" w:rsidR="006655F8" w:rsidRPr="00D86289" w:rsidRDefault="00891F91" w:rsidP="007159E7">
      <w:pPr>
        <w:spacing w:line="360" w:lineRule="auto"/>
        <w:jc w:val="both"/>
        <w:rPr>
          <w:sz w:val="20"/>
          <w:szCs w:val="20"/>
        </w:rPr>
      </w:pPr>
      <w:r w:rsidRPr="00891F91">
        <w:rPr>
          <w:sz w:val="20"/>
          <w:szCs w:val="20"/>
        </w:rPr>
        <w:t>La evolución de las finanzas públicas del Estado obedece a la dinámica recaudatoria de los ingresos estatales totales y de las transferencias federales, las que a su vez son determinadas por el comportamiento de la Recaudación Federal Participable (RFP); representando una dependencia significativa de los ingresos federales. Esta situación no es privativa del Estado de Tlaxcala, sino que se presenta en la gran mayoría de las Entidades Federativas, pues tienen potestades tributarias limitadas y otro tanto se encuentran reguladas en los Convenios de Coordinación Fiscal para evitar la doble tributación, por lo que las finanzas estatales son muy sensibles al comportamiento de la economía nacional y de los choques externos, tal y como se observa en la gráfica siguiente</w:t>
      </w:r>
      <w:r w:rsidR="004D5CEE" w:rsidRPr="00D86289">
        <w:rPr>
          <w:sz w:val="20"/>
          <w:szCs w:val="20"/>
        </w:rPr>
        <w:t>:</w:t>
      </w:r>
    </w:p>
    <w:p w14:paraId="1C571F21" w14:textId="5BA01207" w:rsidR="00907A5A" w:rsidRDefault="00891F91" w:rsidP="00613629">
      <w:pPr>
        <w:spacing w:line="360" w:lineRule="auto"/>
        <w:jc w:val="center"/>
        <w:rPr>
          <w:rFonts w:ascii="Arial" w:hAnsi="Arial" w:cs="Arial"/>
        </w:rPr>
      </w:pPr>
      <w:r>
        <w:rPr>
          <w:rFonts w:ascii="Arial" w:hAnsi="Arial" w:cs="Arial"/>
          <w:noProof/>
          <w:lang w:val="es-MX" w:eastAsia="es-MX"/>
        </w:rPr>
        <w:drawing>
          <wp:inline distT="0" distB="0" distL="0" distR="0" wp14:anchorId="26E0842A" wp14:editId="6E4D98A6">
            <wp:extent cx="4010025" cy="235244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017366" cy="2356750"/>
                    </a:xfrm>
                    <a:prstGeom prst="rect">
                      <a:avLst/>
                    </a:prstGeom>
                    <a:noFill/>
                  </pic:spPr>
                </pic:pic>
              </a:graphicData>
            </a:graphic>
          </wp:inline>
        </w:drawing>
      </w:r>
    </w:p>
    <w:p w14:paraId="5551E730" w14:textId="6EC31EEA" w:rsidR="00907A5A" w:rsidRPr="00D86289" w:rsidRDefault="00907A5A" w:rsidP="00907A5A">
      <w:pPr>
        <w:spacing w:line="360" w:lineRule="auto"/>
        <w:jc w:val="both"/>
        <w:rPr>
          <w:sz w:val="12"/>
        </w:rPr>
      </w:pPr>
      <w:r w:rsidRPr="00D86289">
        <w:rPr>
          <w:b/>
          <w:sz w:val="14"/>
        </w:rPr>
        <w:t xml:space="preserve">Fuente: </w:t>
      </w:r>
      <w:r w:rsidRPr="00D86289">
        <w:rPr>
          <w:sz w:val="12"/>
        </w:rPr>
        <w:t>www.DOF.gob.mx Ley de Ingresos de la Federac</w:t>
      </w:r>
      <w:r w:rsidR="00E128AC" w:rsidRPr="00D86289">
        <w:rPr>
          <w:sz w:val="12"/>
        </w:rPr>
        <w:t>ión Ejercicios Fiscales 2012-2021*</w:t>
      </w:r>
      <w:r w:rsidR="00CA396E" w:rsidRPr="00D86289">
        <w:rPr>
          <w:sz w:val="12"/>
        </w:rPr>
        <w:t xml:space="preserve">, </w:t>
      </w:r>
      <w:r w:rsidR="0002266C" w:rsidRPr="00D86289">
        <w:rPr>
          <w:sz w:val="12"/>
        </w:rPr>
        <w:t>Criterios Gene</w:t>
      </w:r>
      <w:r w:rsidR="00CA396E" w:rsidRPr="00D86289">
        <w:rPr>
          <w:sz w:val="12"/>
        </w:rPr>
        <w:t>rales de Política Económica 2020</w:t>
      </w:r>
      <w:r w:rsidRPr="00D86289">
        <w:rPr>
          <w:sz w:val="12"/>
        </w:rPr>
        <w:t xml:space="preserve">. </w:t>
      </w:r>
    </w:p>
    <w:p w14:paraId="5D64E6D2" w14:textId="77777777" w:rsidR="00894E91" w:rsidRPr="00907A5A" w:rsidRDefault="00894E91" w:rsidP="00907A5A">
      <w:pPr>
        <w:spacing w:line="360" w:lineRule="auto"/>
        <w:jc w:val="both"/>
        <w:rPr>
          <w:rFonts w:ascii="Arial" w:hAnsi="Arial" w:cs="Arial"/>
          <w:sz w:val="12"/>
        </w:rPr>
      </w:pPr>
    </w:p>
    <w:p w14:paraId="7A5A442F" w14:textId="1D681D84" w:rsidR="00613629" w:rsidRPr="00613629" w:rsidRDefault="00891F91" w:rsidP="00613629">
      <w:pPr>
        <w:spacing w:line="360" w:lineRule="auto"/>
        <w:jc w:val="both"/>
        <w:rPr>
          <w:sz w:val="20"/>
          <w:szCs w:val="20"/>
        </w:rPr>
      </w:pPr>
      <w:r w:rsidRPr="00891F91">
        <w:rPr>
          <w:sz w:val="20"/>
          <w:szCs w:val="20"/>
        </w:rPr>
        <w:t>Durante el periodo 2018-2022, respecto al desenvolvimiento histórico del Estado en los últimos años, este ha presentado altibajos; entre los años 2010 y 2020 se presentaron cuatro años en los que la tasa de crecimiento anual del PIB en términos reales fue negativa (en 2011 fue de -3.13%, en 2013 de -2.51%, en 2017 de -1.32% y -12.13% en 2020). Aunque en los dos años previos a la pandemia la economía creció más que el agregado nacional, el efecto de la COVID-19 fue demoledor para nuestro desempeño económico, al presentarse el máximo decrecimiento en el periodo considerado</w:t>
      </w:r>
      <w:r w:rsidR="00613629" w:rsidRPr="00613629">
        <w:rPr>
          <w:sz w:val="20"/>
          <w:szCs w:val="20"/>
        </w:rPr>
        <w:t xml:space="preserve">. </w:t>
      </w:r>
    </w:p>
    <w:p w14:paraId="73F6A679" w14:textId="77777777" w:rsidR="00613629" w:rsidRPr="00613629" w:rsidRDefault="00613629" w:rsidP="00613629">
      <w:pPr>
        <w:spacing w:line="360" w:lineRule="auto"/>
        <w:jc w:val="both"/>
        <w:rPr>
          <w:sz w:val="20"/>
          <w:szCs w:val="20"/>
        </w:rPr>
      </w:pPr>
    </w:p>
    <w:p w14:paraId="170969A0" w14:textId="77777777" w:rsidR="00891F91" w:rsidRPr="00891F91" w:rsidRDefault="00891F91" w:rsidP="00891F91">
      <w:pPr>
        <w:spacing w:line="360" w:lineRule="auto"/>
        <w:jc w:val="both"/>
        <w:rPr>
          <w:sz w:val="20"/>
          <w:szCs w:val="20"/>
        </w:rPr>
      </w:pPr>
      <w:r w:rsidRPr="00891F91">
        <w:rPr>
          <w:sz w:val="20"/>
          <w:szCs w:val="20"/>
        </w:rPr>
        <w:t xml:space="preserve">En general, en el ámbito de las decisiones estratégicas de política económica y social, Tlaxcala no ha conformado un patrón propio de crecimiento interno estatal, que permita contribuir al incremento </w:t>
      </w:r>
      <w:r w:rsidRPr="00891F91">
        <w:rPr>
          <w:sz w:val="20"/>
          <w:szCs w:val="20"/>
        </w:rPr>
        <w:lastRenderedPageBreak/>
        <w:t xml:space="preserve">sostenido de la riqueza material y transformarlo en mejores condiciones de bienestar. Esta tendencia se expresa en la tasa de crecimiento medio anual, observada en el periodo 2010 al 2020, la que fue para el país del 1.26% y para Tlaxcala del 0.24%. De conformidad a las cifras presentadas por el INEGI en 2020, Tlaxcala ocupó la posición número 32 en el contexto nacional por el tamaño de su PIB, que en el último registro anual con cifras preliminares, reportó 91 mil 005 millones de pesos a precios constantes del 2013, aportando a la producción nacional el 0.56%. </w:t>
      </w:r>
    </w:p>
    <w:p w14:paraId="5F25D8E5" w14:textId="77777777" w:rsidR="00891F91" w:rsidRPr="00891F91" w:rsidRDefault="00891F91" w:rsidP="00891F91">
      <w:pPr>
        <w:spacing w:line="360" w:lineRule="auto"/>
        <w:jc w:val="both"/>
        <w:rPr>
          <w:sz w:val="20"/>
          <w:szCs w:val="20"/>
        </w:rPr>
      </w:pPr>
    </w:p>
    <w:p w14:paraId="49FEA4C1" w14:textId="77777777" w:rsidR="00891F91" w:rsidRPr="00891F91" w:rsidRDefault="00891F91" w:rsidP="00891F91">
      <w:pPr>
        <w:spacing w:line="360" w:lineRule="auto"/>
        <w:jc w:val="both"/>
        <w:rPr>
          <w:sz w:val="20"/>
          <w:szCs w:val="20"/>
        </w:rPr>
      </w:pPr>
      <w:r w:rsidRPr="00891F91">
        <w:rPr>
          <w:sz w:val="20"/>
          <w:szCs w:val="20"/>
        </w:rPr>
        <w:t>Durante el 2020 el PIB total nacional registró una reducción anual del 7.93% en términos reales, con relación al 2019; solo en Tabasco se registró una variación positiva del PIB del 3.48% en términos reales, mientras que Tlaxcala tuvo una caída del 12.13% en términos reales, siendo una de las tres entidades federativas con mayor decrecimiento, junto con Baja California Sur y Quintana Roo, donde se redujo el PIB en 23.51% y 24.11%, respectivamente.</w:t>
      </w:r>
    </w:p>
    <w:p w14:paraId="4903589A" w14:textId="77777777" w:rsidR="00891F91" w:rsidRPr="00891F91" w:rsidRDefault="00891F91" w:rsidP="00891F91">
      <w:pPr>
        <w:spacing w:line="360" w:lineRule="auto"/>
        <w:jc w:val="both"/>
        <w:rPr>
          <w:sz w:val="20"/>
          <w:szCs w:val="20"/>
        </w:rPr>
      </w:pPr>
    </w:p>
    <w:p w14:paraId="7B2B68FB" w14:textId="206AF9A5" w:rsidR="00BB2E8A" w:rsidRDefault="00891F91" w:rsidP="00891F91">
      <w:pPr>
        <w:spacing w:line="360" w:lineRule="auto"/>
        <w:jc w:val="both"/>
        <w:rPr>
          <w:sz w:val="20"/>
          <w:szCs w:val="20"/>
        </w:rPr>
      </w:pPr>
      <w:r w:rsidRPr="00891F91">
        <w:rPr>
          <w:sz w:val="20"/>
          <w:szCs w:val="20"/>
        </w:rPr>
        <w:t>La variación anual del PIB experimentada entre el 2019 y el 2020, se explica por una reducción del orden del 10.7% en la producción de las actividades primarias, una caída del 21.2% en las actividades secundarias, y una disminución del 6.3% en las terciarias</w:t>
      </w:r>
      <w:r w:rsidR="007C0BE2" w:rsidRPr="00D86289">
        <w:rPr>
          <w:sz w:val="20"/>
          <w:szCs w:val="20"/>
        </w:rPr>
        <w:t>.</w:t>
      </w:r>
    </w:p>
    <w:p w14:paraId="29B5CE24" w14:textId="77777777" w:rsidR="00613629" w:rsidRDefault="00613629" w:rsidP="00613629">
      <w:pPr>
        <w:spacing w:line="360" w:lineRule="auto"/>
        <w:jc w:val="both"/>
        <w:rPr>
          <w:sz w:val="20"/>
          <w:szCs w:val="20"/>
        </w:rPr>
      </w:pPr>
    </w:p>
    <w:p w14:paraId="53E87C7E" w14:textId="6E4A0BDB" w:rsidR="00613629" w:rsidRPr="00613629" w:rsidRDefault="00613629" w:rsidP="00613629">
      <w:pPr>
        <w:spacing w:line="360" w:lineRule="auto"/>
        <w:jc w:val="center"/>
        <w:rPr>
          <w:b/>
          <w:sz w:val="20"/>
          <w:szCs w:val="20"/>
        </w:rPr>
      </w:pPr>
      <w:r w:rsidRPr="00613629">
        <w:rPr>
          <w:b/>
          <w:sz w:val="20"/>
          <w:szCs w:val="20"/>
        </w:rPr>
        <w:t>Variación porcentual anual del PIB nacional y de Tlaxcala, en valores constantes año base=2013, Serie de 2010 a 2020 preliminar.</w:t>
      </w:r>
    </w:p>
    <w:p w14:paraId="1B6E2896" w14:textId="1DD1D948" w:rsidR="001E1CB3" w:rsidRDefault="00891F91" w:rsidP="001E1CB3">
      <w:pPr>
        <w:spacing w:line="360" w:lineRule="auto"/>
        <w:jc w:val="center"/>
        <w:rPr>
          <w:rFonts w:ascii="Arial" w:hAnsi="Arial" w:cs="Arial"/>
          <w:b/>
          <w:sz w:val="14"/>
        </w:rPr>
      </w:pPr>
      <w:r w:rsidRPr="00017BE6">
        <w:rPr>
          <w:noProof/>
          <w:lang w:val="es-MX" w:eastAsia="es-MX"/>
        </w:rPr>
        <w:drawing>
          <wp:inline distT="0" distB="0" distL="0" distR="0" wp14:anchorId="1689654B" wp14:editId="68EC0792">
            <wp:extent cx="4979957" cy="23431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50">
                              <a14:imgEffect>
                                <a14:saturation sat="200000"/>
                              </a14:imgEffect>
                            </a14:imgLayer>
                          </a14:imgProps>
                        </a:ext>
                      </a:extLst>
                    </a:blip>
                    <a:srcRect t="9011"/>
                    <a:stretch/>
                  </pic:blipFill>
                  <pic:spPr bwMode="auto">
                    <a:xfrm>
                      <a:off x="0" y="0"/>
                      <a:ext cx="4982886" cy="2344528"/>
                    </a:xfrm>
                    <a:prstGeom prst="rect">
                      <a:avLst/>
                    </a:prstGeom>
                    <a:ln>
                      <a:noFill/>
                    </a:ln>
                    <a:extLst>
                      <a:ext uri="{53640926-AAD7-44D8-BBD7-CCE9431645EC}">
                        <a14:shadowObscured xmlns:a14="http://schemas.microsoft.com/office/drawing/2010/main"/>
                      </a:ext>
                    </a:extLst>
                  </pic:spPr>
                </pic:pic>
              </a:graphicData>
            </a:graphic>
          </wp:inline>
        </w:drawing>
      </w:r>
    </w:p>
    <w:p w14:paraId="0DE5D964" w14:textId="4EC3F5CE" w:rsidR="005F2CA4" w:rsidRPr="00D86289" w:rsidRDefault="005F2CA4" w:rsidP="005F2CA4">
      <w:pPr>
        <w:spacing w:line="360" w:lineRule="auto"/>
        <w:rPr>
          <w:b/>
          <w:sz w:val="14"/>
        </w:rPr>
      </w:pPr>
      <w:r w:rsidRPr="00D86289">
        <w:rPr>
          <w:b/>
          <w:sz w:val="14"/>
        </w:rPr>
        <w:t xml:space="preserve">Fuente: </w:t>
      </w:r>
      <w:r w:rsidR="00613629" w:rsidRPr="00613629">
        <w:rPr>
          <w:b/>
          <w:sz w:val="14"/>
        </w:rPr>
        <w:t>PED 2021-2027</w:t>
      </w:r>
      <w:r w:rsidRPr="00D86289">
        <w:rPr>
          <w:b/>
          <w:sz w:val="14"/>
        </w:rPr>
        <w:t>.</w:t>
      </w:r>
    </w:p>
    <w:p w14:paraId="17369F3F" w14:textId="7EED9442" w:rsidR="00E725D0" w:rsidRDefault="00891F91" w:rsidP="007159E7">
      <w:pPr>
        <w:spacing w:line="360" w:lineRule="auto"/>
        <w:jc w:val="both"/>
        <w:rPr>
          <w:sz w:val="20"/>
          <w:szCs w:val="20"/>
        </w:rPr>
      </w:pPr>
      <w:r w:rsidRPr="00891F91">
        <w:rPr>
          <w:sz w:val="20"/>
          <w:szCs w:val="20"/>
        </w:rPr>
        <w:lastRenderedPageBreak/>
        <w:t>Durante el primer trimestre de 2022, la actividad económica de Tlaxcala mostró un crecimiento anual de 2.7%, que resultó de la evolución de las Actividades Secundarias y Terciarias de 5.2 y 1.5%, respectivamente, y del retroceso de las Primarias de 0.4%</w:t>
      </w:r>
      <w:r w:rsidR="00613629" w:rsidRPr="00613629">
        <w:rPr>
          <w:sz w:val="20"/>
          <w:szCs w:val="20"/>
        </w:rPr>
        <w:t>.</w:t>
      </w:r>
    </w:p>
    <w:p w14:paraId="589541C7" w14:textId="71095B43" w:rsidR="00613629" w:rsidRPr="00D86289" w:rsidRDefault="00613629" w:rsidP="00613629">
      <w:pPr>
        <w:spacing w:line="360" w:lineRule="auto"/>
        <w:jc w:val="center"/>
        <w:rPr>
          <w:sz w:val="20"/>
          <w:szCs w:val="20"/>
        </w:rPr>
      </w:pPr>
      <w:r>
        <w:rPr>
          <w:noProof/>
          <w:lang w:val="es-MX" w:eastAsia="es-MX"/>
        </w:rPr>
        <w:drawing>
          <wp:inline distT="0" distB="0" distL="0" distR="0" wp14:anchorId="0EFF0FBB" wp14:editId="6A0B2C1B">
            <wp:extent cx="4198925" cy="2282042"/>
            <wp:effectExtent l="0" t="0" r="0" b="444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096" t="1987" r="6214" b="2310"/>
                    <a:stretch/>
                  </pic:blipFill>
                  <pic:spPr bwMode="auto">
                    <a:xfrm>
                      <a:off x="0" y="0"/>
                      <a:ext cx="4353430" cy="2366013"/>
                    </a:xfrm>
                    <a:prstGeom prst="rect">
                      <a:avLst/>
                    </a:prstGeom>
                    <a:ln>
                      <a:noFill/>
                    </a:ln>
                    <a:extLst>
                      <a:ext uri="{53640926-AAD7-44D8-BBD7-CCE9431645EC}">
                        <a14:shadowObscured xmlns:a14="http://schemas.microsoft.com/office/drawing/2010/main"/>
                      </a:ext>
                    </a:extLst>
                  </pic:spPr>
                </pic:pic>
              </a:graphicData>
            </a:graphic>
          </wp:inline>
        </w:drawing>
      </w:r>
    </w:p>
    <w:p w14:paraId="26021B7F" w14:textId="77777777" w:rsidR="00A3550E" w:rsidRDefault="00A3550E" w:rsidP="00613629">
      <w:pPr>
        <w:spacing w:line="360" w:lineRule="auto"/>
        <w:jc w:val="both"/>
        <w:rPr>
          <w:sz w:val="20"/>
          <w:szCs w:val="20"/>
        </w:rPr>
      </w:pPr>
    </w:p>
    <w:p w14:paraId="4DCB4762" w14:textId="77777777" w:rsidR="00297100" w:rsidRPr="00297100" w:rsidRDefault="00297100" w:rsidP="00297100">
      <w:pPr>
        <w:spacing w:line="360" w:lineRule="auto"/>
        <w:jc w:val="both"/>
        <w:rPr>
          <w:sz w:val="20"/>
          <w:szCs w:val="20"/>
        </w:rPr>
      </w:pPr>
      <w:r w:rsidRPr="00297100">
        <w:rPr>
          <w:sz w:val="20"/>
          <w:szCs w:val="20"/>
        </w:rPr>
        <w:t>En el periodo observado, los ingresos provenientes de la Federación registraron un incremento promedio moderado, debido principalmente a los resultados positivos de la economía nacional; sin embargo, la crisis sanitaria ocasionada por la COVID-19, implicó altos costos en materia de salud y bienestar para la población, aunado a un precio fluctuante en los precios internacionales del petróleo en años recientes y los conflictos bélicos internacionales y a una creciente inflación a nivel mundial, son factores que han aumentado la volatilidad de capitales.</w:t>
      </w:r>
    </w:p>
    <w:p w14:paraId="0A7E6A40" w14:textId="77777777" w:rsidR="00297100" w:rsidRPr="00297100" w:rsidRDefault="00297100" w:rsidP="00297100">
      <w:pPr>
        <w:spacing w:line="360" w:lineRule="auto"/>
        <w:jc w:val="both"/>
        <w:rPr>
          <w:sz w:val="20"/>
          <w:szCs w:val="20"/>
        </w:rPr>
      </w:pPr>
    </w:p>
    <w:p w14:paraId="2EBEBF17" w14:textId="77777777" w:rsidR="00297100" w:rsidRPr="00297100" w:rsidRDefault="00297100" w:rsidP="00297100">
      <w:pPr>
        <w:spacing w:line="360" w:lineRule="auto"/>
        <w:jc w:val="both"/>
        <w:rPr>
          <w:sz w:val="20"/>
          <w:szCs w:val="20"/>
        </w:rPr>
      </w:pPr>
      <w:r w:rsidRPr="00297100">
        <w:rPr>
          <w:sz w:val="20"/>
          <w:szCs w:val="20"/>
        </w:rPr>
        <w:t>En concordancia con las políticas aplicadas por el Gobierno Federal, el Ejecutivo del Estado ha implementado una política fiscal para la contención del gasto, limitando el crecimiento del presupuesto, el establecimiento de topes a ciertos rubros del gasto, el congelamiento de plazas vacantes no prioritarias y la aplicación del Acuerdo que establece los Lineamientos y Políticas Generales del Ejercicio del Presupuesto, las Medidas de Mejora y Modernización, así como de Austeridad del Gasto Público de la Gestión Administrativa por parte de las Dependencias y Entidades del Ejecutivo, a fin de optimizar el uso de recursos materiales y financieros en el sector público.</w:t>
      </w:r>
    </w:p>
    <w:p w14:paraId="66B5A4C7" w14:textId="77777777" w:rsidR="00297100" w:rsidRPr="00297100" w:rsidRDefault="00297100" w:rsidP="00297100">
      <w:pPr>
        <w:spacing w:line="360" w:lineRule="auto"/>
        <w:jc w:val="both"/>
        <w:rPr>
          <w:sz w:val="20"/>
          <w:szCs w:val="20"/>
        </w:rPr>
      </w:pPr>
    </w:p>
    <w:p w14:paraId="617F54CF" w14:textId="77777777" w:rsidR="00297100" w:rsidRPr="00297100" w:rsidRDefault="00297100" w:rsidP="00297100">
      <w:pPr>
        <w:spacing w:line="360" w:lineRule="auto"/>
        <w:jc w:val="both"/>
        <w:rPr>
          <w:sz w:val="20"/>
          <w:szCs w:val="20"/>
        </w:rPr>
      </w:pPr>
      <w:r w:rsidRPr="00297100">
        <w:rPr>
          <w:sz w:val="20"/>
          <w:szCs w:val="20"/>
        </w:rPr>
        <w:t xml:space="preserve">El fortalecimiento de la hacienda pública estatal a través de la modernización de la administración pública y de los medios disponibles para el pago de contribuciones vía internet a la ciudadanía para el </w:t>
      </w:r>
      <w:r w:rsidRPr="00297100">
        <w:rPr>
          <w:sz w:val="20"/>
          <w:szCs w:val="20"/>
        </w:rPr>
        <w:lastRenderedPageBreak/>
        <w:t>cumplimiento de sus obligaciones fiscales, tiene un papel fundamental, por lo que se han implementado mejoras administrativas, para la consolidación de sistemas recaudatorios y de fiscalización más eficientes.</w:t>
      </w:r>
    </w:p>
    <w:p w14:paraId="6CE58654" w14:textId="77777777" w:rsidR="00297100" w:rsidRPr="00297100" w:rsidRDefault="00297100" w:rsidP="00297100">
      <w:pPr>
        <w:spacing w:line="360" w:lineRule="auto"/>
        <w:jc w:val="both"/>
        <w:rPr>
          <w:sz w:val="20"/>
          <w:szCs w:val="20"/>
        </w:rPr>
      </w:pPr>
    </w:p>
    <w:p w14:paraId="6ADB2E03" w14:textId="2A10844E" w:rsidR="00613629" w:rsidRDefault="00297100" w:rsidP="00297100">
      <w:pPr>
        <w:spacing w:line="360" w:lineRule="auto"/>
        <w:jc w:val="both"/>
        <w:rPr>
          <w:sz w:val="20"/>
          <w:szCs w:val="20"/>
        </w:rPr>
      </w:pPr>
      <w:r w:rsidRPr="00297100">
        <w:rPr>
          <w:sz w:val="20"/>
          <w:szCs w:val="20"/>
        </w:rPr>
        <w:t>A continuación, se presentan los resultados obtenidos en la recaudación de contribuciones locales, así como de recursos federales etiquetados y de libre disposición en los últimos cinco años y el pronóstico de cierre 2022</w:t>
      </w:r>
      <w:r>
        <w:rPr>
          <w:sz w:val="20"/>
          <w:szCs w:val="20"/>
        </w:rPr>
        <w:t>.</w:t>
      </w:r>
    </w:p>
    <w:p w14:paraId="5539D08A" w14:textId="77777777" w:rsidR="00A3550E" w:rsidRPr="00613629" w:rsidRDefault="00A3550E" w:rsidP="00613629">
      <w:pPr>
        <w:spacing w:line="360" w:lineRule="auto"/>
        <w:jc w:val="both"/>
        <w:rPr>
          <w:sz w:val="20"/>
          <w:szCs w:val="20"/>
        </w:rPr>
      </w:pPr>
    </w:p>
    <w:p w14:paraId="41ADAA36" w14:textId="79A765B6" w:rsidR="00F916BC" w:rsidRDefault="00297100" w:rsidP="007159E7">
      <w:pPr>
        <w:spacing w:line="360" w:lineRule="auto"/>
        <w:jc w:val="both"/>
        <w:rPr>
          <w:rFonts w:ascii="Arial" w:hAnsi="Arial" w:cs="Arial"/>
        </w:rPr>
      </w:pPr>
      <w:r w:rsidRPr="008913B3">
        <w:rPr>
          <w:noProof/>
          <w:lang w:val="es-MX" w:eastAsia="es-MX"/>
        </w:rPr>
        <w:drawing>
          <wp:inline distT="0" distB="0" distL="0" distR="0" wp14:anchorId="25F5EDA8" wp14:editId="21281BBA">
            <wp:extent cx="5143500" cy="454194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500" cy="4541943"/>
                    </a:xfrm>
                    <a:prstGeom prst="rect">
                      <a:avLst/>
                    </a:prstGeom>
                    <a:noFill/>
                    <a:ln>
                      <a:noFill/>
                    </a:ln>
                  </pic:spPr>
                </pic:pic>
              </a:graphicData>
            </a:graphic>
          </wp:inline>
        </w:drawing>
      </w:r>
    </w:p>
    <w:p w14:paraId="09F68B01" w14:textId="77777777" w:rsidR="002F0F09" w:rsidRDefault="002F0F09" w:rsidP="007159E7">
      <w:pPr>
        <w:spacing w:line="360" w:lineRule="auto"/>
        <w:jc w:val="both"/>
        <w:rPr>
          <w:rFonts w:ascii="Arial" w:hAnsi="Arial" w:cs="Arial"/>
        </w:rPr>
      </w:pPr>
    </w:p>
    <w:p w14:paraId="39E5970D" w14:textId="77777777" w:rsidR="00A3550E" w:rsidRDefault="00A3550E" w:rsidP="007159E7">
      <w:pPr>
        <w:spacing w:line="360" w:lineRule="auto"/>
        <w:jc w:val="both"/>
        <w:rPr>
          <w:rFonts w:ascii="Arial" w:hAnsi="Arial" w:cs="Arial"/>
        </w:rPr>
      </w:pPr>
    </w:p>
    <w:p w14:paraId="0DD4B594" w14:textId="316F7D3C" w:rsidR="001A5C69" w:rsidRPr="00D86289" w:rsidRDefault="00E1065D" w:rsidP="001A5C69">
      <w:pPr>
        <w:numPr>
          <w:ilvl w:val="0"/>
          <w:numId w:val="8"/>
        </w:numPr>
        <w:spacing w:line="360" w:lineRule="auto"/>
        <w:ind w:left="567" w:hanging="567"/>
        <w:jc w:val="both"/>
        <w:rPr>
          <w:b/>
          <w:bCs/>
          <w:sz w:val="20"/>
          <w:szCs w:val="20"/>
        </w:rPr>
      </w:pPr>
      <w:r w:rsidRPr="00D86289">
        <w:rPr>
          <w:b/>
          <w:bCs/>
          <w:sz w:val="20"/>
          <w:szCs w:val="20"/>
        </w:rPr>
        <w:lastRenderedPageBreak/>
        <w:t xml:space="preserve">SISTEMA ESTATAL DE </w:t>
      </w:r>
      <w:r w:rsidR="0050219A" w:rsidRPr="00D86289">
        <w:rPr>
          <w:b/>
          <w:bCs/>
          <w:sz w:val="20"/>
          <w:szCs w:val="20"/>
        </w:rPr>
        <w:t>PENSIONES</w:t>
      </w:r>
    </w:p>
    <w:p w14:paraId="3446A70A" w14:textId="77777777" w:rsidR="00E329AF" w:rsidRPr="00D86289" w:rsidRDefault="00E329AF" w:rsidP="007159E7">
      <w:pPr>
        <w:spacing w:line="360" w:lineRule="auto"/>
        <w:jc w:val="both"/>
        <w:rPr>
          <w:sz w:val="20"/>
          <w:szCs w:val="20"/>
        </w:rPr>
      </w:pPr>
    </w:p>
    <w:p w14:paraId="1582EDEC" w14:textId="7F497A84" w:rsidR="004A5FFD" w:rsidRPr="00D86289" w:rsidRDefault="004A5FFD" w:rsidP="004A5FFD">
      <w:pPr>
        <w:spacing w:line="360" w:lineRule="auto"/>
        <w:jc w:val="both"/>
        <w:rPr>
          <w:sz w:val="20"/>
          <w:szCs w:val="20"/>
        </w:rPr>
      </w:pPr>
      <w:r w:rsidRPr="00D86289">
        <w:rPr>
          <w:sz w:val="20"/>
          <w:szCs w:val="20"/>
        </w:rPr>
        <w:t>De acuerdo al último estudio actuarial de las pensiones del Estado de Tlaxcala</w:t>
      </w:r>
      <w:r w:rsidRPr="00D86289">
        <w:rPr>
          <w:b/>
          <w:sz w:val="20"/>
          <w:szCs w:val="20"/>
          <w:vertAlign w:val="superscript"/>
        </w:rPr>
        <w:footnoteReference w:id="1"/>
      </w:r>
      <w:r w:rsidRPr="00D86289">
        <w:rPr>
          <w:sz w:val="20"/>
          <w:szCs w:val="20"/>
        </w:rPr>
        <w:t>, correspondiente al ejercicio fiscal 20</w:t>
      </w:r>
      <w:r w:rsidR="007C0BE2" w:rsidRPr="00D86289">
        <w:rPr>
          <w:sz w:val="20"/>
          <w:szCs w:val="20"/>
        </w:rPr>
        <w:t>21</w:t>
      </w:r>
      <w:r w:rsidRPr="00D86289">
        <w:rPr>
          <w:sz w:val="20"/>
          <w:szCs w:val="20"/>
        </w:rPr>
        <w:t xml:space="preserve"> y con una vigencia al ejercicio 20</w:t>
      </w:r>
      <w:r w:rsidR="00D11788" w:rsidRPr="00D86289">
        <w:rPr>
          <w:sz w:val="20"/>
          <w:szCs w:val="20"/>
        </w:rPr>
        <w:t>2</w:t>
      </w:r>
      <w:r w:rsidR="007C0BE2" w:rsidRPr="00D86289">
        <w:rPr>
          <w:sz w:val="20"/>
          <w:szCs w:val="20"/>
        </w:rPr>
        <w:t>3</w:t>
      </w:r>
      <w:r w:rsidRPr="00D86289">
        <w:rPr>
          <w:sz w:val="20"/>
          <w:szCs w:val="20"/>
        </w:rPr>
        <w:t xml:space="preserve"> se tiene una reserva actuarial de </w:t>
      </w:r>
      <w:r w:rsidR="002B65E4" w:rsidRPr="00D86289">
        <w:rPr>
          <w:sz w:val="20"/>
          <w:szCs w:val="20"/>
        </w:rPr>
        <w:t>3</w:t>
      </w:r>
      <w:r w:rsidR="00105C67" w:rsidRPr="00D86289">
        <w:rPr>
          <w:sz w:val="20"/>
          <w:szCs w:val="20"/>
        </w:rPr>
        <w:t>82</w:t>
      </w:r>
      <w:r w:rsidRPr="00D86289">
        <w:rPr>
          <w:sz w:val="20"/>
          <w:szCs w:val="20"/>
        </w:rPr>
        <w:t>.</w:t>
      </w:r>
      <w:r w:rsidR="00105C67" w:rsidRPr="00D86289">
        <w:rPr>
          <w:sz w:val="20"/>
          <w:szCs w:val="20"/>
        </w:rPr>
        <w:t>5</w:t>
      </w:r>
      <w:r w:rsidR="00FB6F8C" w:rsidRPr="00D86289">
        <w:rPr>
          <w:sz w:val="20"/>
          <w:szCs w:val="20"/>
        </w:rPr>
        <w:t>5</w:t>
      </w:r>
      <w:r w:rsidR="002273D1" w:rsidRPr="00D86289">
        <w:rPr>
          <w:sz w:val="20"/>
          <w:szCs w:val="20"/>
        </w:rPr>
        <w:t xml:space="preserve"> M</w:t>
      </w:r>
      <w:r w:rsidR="009358F9" w:rsidRPr="00D86289">
        <w:rPr>
          <w:sz w:val="20"/>
          <w:szCs w:val="20"/>
        </w:rPr>
        <w:t>dp</w:t>
      </w:r>
      <w:r w:rsidRPr="00D86289">
        <w:rPr>
          <w:sz w:val="20"/>
          <w:szCs w:val="20"/>
        </w:rPr>
        <w:t>, con una población afiliada activa de 8,</w:t>
      </w:r>
      <w:r w:rsidR="00FB6F8C" w:rsidRPr="00D86289">
        <w:rPr>
          <w:sz w:val="20"/>
          <w:szCs w:val="20"/>
        </w:rPr>
        <w:t>5</w:t>
      </w:r>
      <w:r w:rsidR="00105C67" w:rsidRPr="00D86289">
        <w:rPr>
          <w:sz w:val="20"/>
          <w:szCs w:val="20"/>
        </w:rPr>
        <w:t>67</w:t>
      </w:r>
      <w:r w:rsidR="002B65E4" w:rsidRPr="00D86289">
        <w:rPr>
          <w:sz w:val="20"/>
          <w:szCs w:val="20"/>
        </w:rPr>
        <w:t xml:space="preserve"> trabajadores y 2</w:t>
      </w:r>
      <w:r w:rsidRPr="00D86289">
        <w:rPr>
          <w:sz w:val="20"/>
          <w:szCs w:val="20"/>
        </w:rPr>
        <w:t>,</w:t>
      </w:r>
      <w:r w:rsidR="00105C67" w:rsidRPr="00D86289">
        <w:rPr>
          <w:sz w:val="20"/>
          <w:szCs w:val="20"/>
        </w:rPr>
        <w:t>237</w:t>
      </w:r>
      <w:r w:rsidRPr="00D86289">
        <w:rPr>
          <w:sz w:val="20"/>
          <w:szCs w:val="20"/>
        </w:rPr>
        <w:t xml:space="preserve"> </w:t>
      </w:r>
      <w:r w:rsidR="002B65E4" w:rsidRPr="00D86289">
        <w:rPr>
          <w:sz w:val="20"/>
          <w:szCs w:val="20"/>
        </w:rPr>
        <w:t>pension</w:t>
      </w:r>
      <w:r w:rsidRPr="00D86289">
        <w:rPr>
          <w:sz w:val="20"/>
          <w:szCs w:val="20"/>
        </w:rPr>
        <w:t>ados, como a continuación se presenta:</w:t>
      </w:r>
    </w:p>
    <w:p w14:paraId="45277DD7" w14:textId="77777777" w:rsidR="00F916BC" w:rsidRPr="00D86289" w:rsidRDefault="00F916BC" w:rsidP="004A5FFD">
      <w:pPr>
        <w:spacing w:line="360" w:lineRule="auto"/>
        <w:jc w:val="center"/>
        <w:rPr>
          <w:b/>
          <w:sz w:val="20"/>
          <w:szCs w:val="20"/>
        </w:rPr>
      </w:pPr>
    </w:p>
    <w:p w14:paraId="5AEE2E8E" w14:textId="6F1D0471" w:rsidR="004A5FFD" w:rsidRPr="00D86289" w:rsidRDefault="004A5FFD" w:rsidP="004A5FFD">
      <w:pPr>
        <w:spacing w:line="360" w:lineRule="auto"/>
        <w:jc w:val="center"/>
        <w:rPr>
          <w:b/>
          <w:sz w:val="20"/>
          <w:szCs w:val="20"/>
        </w:rPr>
      </w:pPr>
      <w:r w:rsidRPr="00D86289">
        <w:rPr>
          <w:b/>
          <w:sz w:val="20"/>
          <w:szCs w:val="20"/>
        </w:rPr>
        <w:t>Estudio Actuarial de Pensiones</w:t>
      </w:r>
    </w:p>
    <w:p w14:paraId="47405D69" w14:textId="70014A39" w:rsidR="00105C67" w:rsidRDefault="00105C67" w:rsidP="004A5FFD">
      <w:pPr>
        <w:spacing w:line="360" w:lineRule="auto"/>
        <w:jc w:val="center"/>
        <w:rPr>
          <w:rFonts w:ascii="Arial" w:hAnsi="Arial" w:cs="Arial"/>
          <w:b/>
        </w:rPr>
      </w:pPr>
      <w:r>
        <w:rPr>
          <w:noProof/>
          <w:lang w:val="es-MX" w:eastAsia="es-MX"/>
        </w:rPr>
        <w:drawing>
          <wp:inline distT="0" distB="0" distL="0" distR="0" wp14:anchorId="7C894DD0" wp14:editId="16D5D2B5">
            <wp:extent cx="5137511" cy="3328416"/>
            <wp:effectExtent l="0" t="0" r="635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4155" t="27369" r="30933" b="20899"/>
                    <a:stretch/>
                  </pic:blipFill>
                  <pic:spPr bwMode="auto">
                    <a:xfrm>
                      <a:off x="0" y="0"/>
                      <a:ext cx="5180574" cy="3356315"/>
                    </a:xfrm>
                    <a:prstGeom prst="rect">
                      <a:avLst/>
                    </a:prstGeom>
                    <a:ln>
                      <a:noFill/>
                    </a:ln>
                    <a:extLst>
                      <a:ext uri="{53640926-AAD7-44D8-BBD7-CCE9431645EC}">
                        <a14:shadowObscured xmlns:a14="http://schemas.microsoft.com/office/drawing/2010/main"/>
                      </a:ext>
                    </a:extLst>
                  </pic:spPr>
                </pic:pic>
              </a:graphicData>
            </a:graphic>
          </wp:inline>
        </w:drawing>
      </w:r>
    </w:p>
    <w:p w14:paraId="4EFF5158" w14:textId="3719DAFB" w:rsidR="00AA6398" w:rsidRDefault="00AA6398" w:rsidP="004A5FFD">
      <w:pPr>
        <w:spacing w:line="360" w:lineRule="auto"/>
        <w:jc w:val="both"/>
        <w:rPr>
          <w:rFonts w:ascii="Arial" w:hAnsi="Arial" w:cs="Arial"/>
        </w:rPr>
      </w:pPr>
    </w:p>
    <w:p w14:paraId="0168BB60" w14:textId="3DF455EC" w:rsidR="004B0E8A" w:rsidRDefault="00105C67" w:rsidP="004A5FFD">
      <w:pPr>
        <w:spacing w:line="360" w:lineRule="auto"/>
        <w:jc w:val="both"/>
        <w:rPr>
          <w:rFonts w:ascii="Arial" w:hAnsi="Arial" w:cs="Arial"/>
        </w:rPr>
      </w:pPr>
      <w:r>
        <w:rPr>
          <w:noProof/>
          <w:lang w:val="es-MX" w:eastAsia="es-MX"/>
        </w:rPr>
        <w:lastRenderedPageBreak/>
        <w:drawing>
          <wp:inline distT="0" distB="0" distL="0" distR="0" wp14:anchorId="6191101B" wp14:editId="0CA9FAB1">
            <wp:extent cx="4619501" cy="2404563"/>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7540" t="24862" r="25573" b="29420"/>
                    <a:stretch/>
                  </pic:blipFill>
                  <pic:spPr bwMode="auto">
                    <a:xfrm>
                      <a:off x="0" y="0"/>
                      <a:ext cx="4706574" cy="2449887"/>
                    </a:xfrm>
                    <a:prstGeom prst="rect">
                      <a:avLst/>
                    </a:prstGeom>
                    <a:ln>
                      <a:noFill/>
                    </a:ln>
                    <a:extLst>
                      <a:ext uri="{53640926-AAD7-44D8-BBD7-CCE9431645EC}">
                        <a14:shadowObscured xmlns:a14="http://schemas.microsoft.com/office/drawing/2010/main"/>
                      </a:ext>
                    </a:extLst>
                  </pic:spPr>
                </pic:pic>
              </a:graphicData>
            </a:graphic>
          </wp:inline>
        </w:drawing>
      </w:r>
    </w:p>
    <w:p w14:paraId="21F42A0F" w14:textId="55878AEB" w:rsidR="004A5FFD" w:rsidRDefault="00105C67" w:rsidP="004A5FFD">
      <w:pPr>
        <w:spacing w:line="360" w:lineRule="auto"/>
        <w:jc w:val="both"/>
        <w:rPr>
          <w:rFonts w:ascii="Arial" w:hAnsi="Arial" w:cs="Arial"/>
        </w:rPr>
      </w:pPr>
      <w:r>
        <w:rPr>
          <w:noProof/>
          <w:lang w:val="es-MX" w:eastAsia="es-MX"/>
        </w:rPr>
        <w:drawing>
          <wp:inline distT="0" distB="0" distL="0" distR="0" wp14:anchorId="0388609D" wp14:editId="0CC4E49B">
            <wp:extent cx="4868883" cy="2137410"/>
            <wp:effectExtent l="0" t="0" r="825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4295" t="37664" r="30516" b="30185"/>
                    <a:stretch/>
                  </pic:blipFill>
                  <pic:spPr bwMode="auto">
                    <a:xfrm>
                      <a:off x="0" y="0"/>
                      <a:ext cx="4929537" cy="2164037"/>
                    </a:xfrm>
                    <a:prstGeom prst="rect">
                      <a:avLst/>
                    </a:prstGeom>
                    <a:ln>
                      <a:noFill/>
                    </a:ln>
                    <a:extLst>
                      <a:ext uri="{53640926-AAD7-44D8-BBD7-CCE9431645EC}">
                        <a14:shadowObscured xmlns:a14="http://schemas.microsoft.com/office/drawing/2010/main"/>
                      </a:ext>
                    </a:extLst>
                  </pic:spPr>
                </pic:pic>
              </a:graphicData>
            </a:graphic>
          </wp:inline>
        </w:drawing>
      </w:r>
    </w:p>
    <w:p w14:paraId="4BE92F77" w14:textId="756847FD" w:rsidR="003268AB" w:rsidRDefault="003268AB" w:rsidP="004A5FFD">
      <w:pPr>
        <w:spacing w:line="360" w:lineRule="auto"/>
        <w:jc w:val="both"/>
        <w:rPr>
          <w:rFonts w:ascii="Arial" w:hAnsi="Arial" w:cs="Arial"/>
        </w:rPr>
      </w:pPr>
      <w:r>
        <w:rPr>
          <w:noProof/>
          <w:lang w:val="es-MX" w:eastAsia="es-MX"/>
        </w:rPr>
        <w:drawing>
          <wp:inline distT="0" distB="0" distL="0" distR="0" wp14:anchorId="3C9EBD21" wp14:editId="3D2C9239">
            <wp:extent cx="4746410" cy="156754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169" t="45698" r="42471" b="34714"/>
                    <a:stretch/>
                  </pic:blipFill>
                  <pic:spPr bwMode="auto">
                    <a:xfrm>
                      <a:off x="0" y="0"/>
                      <a:ext cx="4853381" cy="1602871"/>
                    </a:xfrm>
                    <a:prstGeom prst="rect">
                      <a:avLst/>
                    </a:prstGeom>
                    <a:ln>
                      <a:noFill/>
                    </a:ln>
                    <a:extLst>
                      <a:ext uri="{53640926-AAD7-44D8-BBD7-CCE9431645EC}">
                        <a14:shadowObscured xmlns:a14="http://schemas.microsoft.com/office/drawing/2010/main"/>
                      </a:ext>
                    </a:extLst>
                  </pic:spPr>
                </pic:pic>
              </a:graphicData>
            </a:graphic>
          </wp:inline>
        </w:drawing>
      </w:r>
    </w:p>
    <w:p w14:paraId="6B6EE0AE" w14:textId="365D9A36" w:rsidR="004A5FFD" w:rsidRDefault="004A5FFD" w:rsidP="004A5FFD">
      <w:pPr>
        <w:spacing w:line="360" w:lineRule="auto"/>
        <w:jc w:val="both"/>
        <w:rPr>
          <w:rFonts w:ascii="Arial" w:hAnsi="Arial" w:cs="Arial"/>
        </w:rPr>
      </w:pPr>
    </w:p>
    <w:p w14:paraId="71CDB18E" w14:textId="452CB7FF" w:rsidR="004A5FFD" w:rsidRPr="00D86289" w:rsidRDefault="00A3550E" w:rsidP="004A5FFD">
      <w:pPr>
        <w:spacing w:line="360" w:lineRule="auto"/>
        <w:jc w:val="both"/>
        <w:rPr>
          <w:sz w:val="20"/>
          <w:szCs w:val="20"/>
        </w:rPr>
      </w:pPr>
      <w:r w:rsidRPr="00A3550E">
        <w:rPr>
          <w:sz w:val="20"/>
          <w:szCs w:val="20"/>
        </w:rPr>
        <w:lastRenderedPageBreak/>
        <w:t>Con la finalidad de coadyuvar en el saneamiento de las Pensiones Civiles del Estado de Tlaxcala, el Ejecutivo del Estado ha otorgado a la fecha aportaciones extraordinarias a Pensiones Civiles del Estado por un importe estimado de 781.3 Mdp al cierre de 2022, considerándose a su vez, dentro de la presente Iniciativa una aportación extraordinaria por hasta 35 Mdp</w:t>
      </w:r>
      <w:r w:rsidR="002F4EF8" w:rsidRPr="00D86289">
        <w:rPr>
          <w:sz w:val="20"/>
          <w:szCs w:val="20"/>
        </w:rPr>
        <w:t>.</w:t>
      </w:r>
    </w:p>
    <w:tbl>
      <w:tblPr>
        <w:tblW w:w="4067" w:type="dxa"/>
        <w:jc w:val="center"/>
        <w:tblCellMar>
          <w:left w:w="70" w:type="dxa"/>
          <w:right w:w="70" w:type="dxa"/>
        </w:tblCellMar>
        <w:tblLook w:val="04A0" w:firstRow="1" w:lastRow="0" w:firstColumn="1" w:lastColumn="0" w:noHBand="0" w:noVBand="1"/>
      </w:tblPr>
      <w:tblGrid>
        <w:gridCol w:w="1849"/>
        <w:gridCol w:w="2218"/>
      </w:tblGrid>
      <w:tr w:rsidR="004A5FFD" w:rsidRPr="00D86289" w14:paraId="351E60EC" w14:textId="77777777" w:rsidTr="00A3550E">
        <w:trPr>
          <w:trHeight w:val="701"/>
          <w:jc w:val="center"/>
        </w:trPr>
        <w:tc>
          <w:tcPr>
            <w:tcW w:w="1849"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50C36D3C" w14:textId="77777777" w:rsidR="004A5FFD" w:rsidRPr="00D86289" w:rsidRDefault="004A5FFD" w:rsidP="002B18DD">
            <w:pPr>
              <w:spacing w:line="360" w:lineRule="auto"/>
              <w:jc w:val="center"/>
              <w:rPr>
                <w:b/>
                <w:bCs/>
                <w:color w:val="000000"/>
                <w:sz w:val="22"/>
                <w:szCs w:val="22"/>
                <w:lang w:eastAsia="es-MX"/>
              </w:rPr>
            </w:pPr>
            <w:r w:rsidRPr="00D86289">
              <w:rPr>
                <w:b/>
                <w:bCs/>
                <w:color w:val="000000"/>
                <w:sz w:val="22"/>
                <w:szCs w:val="22"/>
                <w:lang w:eastAsia="es-MX"/>
              </w:rPr>
              <w:t>AÑO</w:t>
            </w:r>
          </w:p>
        </w:tc>
        <w:tc>
          <w:tcPr>
            <w:tcW w:w="2218"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744278BA" w14:textId="598D3173" w:rsidR="004A5FFD" w:rsidRPr="00D86289" w:rsidRDefault="004A5FFD" w:rsidP="002B18DD">
            <w:pPr>
              <w:spacing w:line="360" w:lineRule="auto"/>
              <w:jc w:val="center"/>
              <w:rPr>
                <w:b/>
                <w:bCs/>
                <w:color w:val="000000"/>
                <w:sz w:val="22"/>
                <w:szCs w:val="22"/>
                <w:lang w:eastAsia="es-MX"/>
              </w:rPr>
            </w:pPr>
            <w:r w:rsidRPr="00D86289">
              <w:rPr>
                <w:b/>
                <w:bCs/>
                <w:color w:val="000000"/>
                <w:sz w:val="22"/>
                <w:szCs w:val="22"/>
                <w:lang w:eastAsia="es-MX"/>
              </w:rPr>
              <w:t>APOYO ESTATAL EXTRAORDINARIO</w:t>
            </w:r>
            <w:r w:rsidR="00E15C97" w:rsidRPr="00D86289">
              <w:rPr>
                <w:b/>
                <w:bCs/>
                <w:color w:val="000000"/>
                <w:sz w:val="22"/>
                <w:szCs w:val="22"/>
                <w:lang w:eastAsia="es-MX"/>
              </w:rPr>
              <w:t xml:space="preserve"> (MDP)</w:t>
            </w:r>
          </w:p>
        </w:tc>
      </w:tr>
      <w:tr w:rsidR="004A5FFD" w:rsidRPr="00D86289" w14:paraId="1C2B8868" w14:textId="77777777" w:rsidTr="00A3550E">
        <w:trPr>
          <w:trHeight w:val="274"/>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14:paraId="69790032" w14:textId="77777777" w:rsidR="004A5FFD" w:rsidRPr="00D86289" w:rsidRDefault="004A5FFD" w:rsidP="002B18DD">
            <w:pPr>
              <w:spacing w:line="360" w:lineRule="auto"/>
              <w:rPr>
                <w:b/>
                <w:bCs/>
                <w:color w:val="000000"/>
                <w:sz w:val="22"/>
                <w:szCs w:val="22"/>
                <w:lang w:eastAsia="es-MX"/>
              </w:rPr>
            </w:pPr>
            <w:r w:rsidRPr="00D86289">
              <w:rPr>
                <w:b/>
                <w:bCs/>
                <w:color w:val="000000"/>
                <w:sz w:val="22"/>
                <w:szCs w:val="22"/>
                <w:lang w:eastAsia="es-MX"/>
              </w:rPr>
              <w:t>Ejercicio 2011</w:t>
            </w:r>
          </w:p>
        </w:tc>
        <w:tc>
          <w:tcPr>
            <w:tcW w:w="2218" w:type="dxa"/>
            <w:tcBorders>
              <w:top w:val="nil"/>
              <w:left w:val="nil"/>
              <w:bottom w:val="single" w:sz="4" w:space="0" w:color="auto"/>
              <w:right w:val="single" w:sz="4" w:space="0" w:color="auto"/>
            </w:tcBorders>
            <w:shd w:val="clear" w:color="auto" w:fill="auto"/>
            <w:noWrap/>
            <w:vAlign w:val="center"/>
            <w:hideMark/>
          </w:tcPr>
          <w:p w14:paraId="62095C6C" w14:textId="52DC9A7B" w:rsidR="004A5FFD" w:rsidRPr="00D86289" w:rsidRDefault="004A5FFD" w:rsidP="00726906">
            <w:pPr>
              <w:spacing w:line="360" w:lineRule="auto"/>
              <w:jc w:val="right"/>
              <w:rPr>
                <w:color w:val="000000"/>
                <w:sz w:val="22"/>
                <w:szCs w:val="22"/>
                <w:lang w:eastAsia="es-MX"/>
              </w:rPr>
            </w:pPr>
            <w:r w:rsidRPr="00D86289">
              <w:rPr>
                <w:color w:val="000000"/>
                <w:sz w:val="22"/>
                <w:szCs w:val="22"/>
                <w:lang w:eastAsia="es-MX"/>
              </w:rPr>
              <w:t>1</w:t>
            </w:r>
            <w:r w:rsidR="00726906" w:rsidRPr="00D86289">
              <w:rPr>
                <w:color w:val="000000"/>
                <w:sz w:val="22"/>
                <w:szCs w:val="22"/>
                <w:lang w:eastAsia="es-MX"/>
              </w:rPr>
              <w:t>40</w:t>
            </w:r>
            <w:r w:rsidRPr="00D86289">
              <w:rPr>
                <w:color w:val="000000"/>
                <w:sz w:val="22"/>
                <w:szCs w:val="22"/>
                <w:lang w:eastAsia="es-MX"/>
              </w:rPr>
              <w:t>.</w:t>
            </w:r>
            <w:r w:rsidR="00726906" w:rsidRPr="00D86289">
              <w:rPr>
                <w:color w:val="000000"/>
                <w:sz w:val="22"/>
                <w:szCs w:val="22"/>
                <w:lang w:eastAsia="es-MX"/>
              </w:rPr>
              <w:t>0</w:t>
            </w:r>
          </w:p>
        </w:tc>
      </w:tr>
      <w:tr w:rsidR="004A5FFD" w:rsidRPr="00D86289" w14:paraId="0C0F314A" w14:textId="77777777" w:rsidTr="00A3550E">
        <w:trPr>
          <w:trHeight w:val="153"/>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14:paraId="4D1CCA35" w14:textId="77777777" w:rsidR="004A5FFD" w:rsidRPr="00D86289" w:rsidRDefault="004A5FFD" w:rsidP="002B18DD">
            <w:pPr>
              <w:spacing w:line="360" w:lineRule="auto"/>
              <w:rPr>
                <w:b/>
                <w:bCs/>
                <w:color w:val="000000"/>
                <w:sz w:val="22"/>
                <w:szCs w:val="22"/>
                <w:lang w:eastAsia="es-MX"/>
              </w:rPr>
            </w:pPr>
            <w:r w:rsidRPr="00D86289">
              <w:rPr>
                <w:b/>
                <w:bCs/>
                <w:color w:val="000000"/>
                <w:sz w:val="22"/>
                <w:szCs w:val="22"/>
                <w:lang w:eastAsia="es-MX"/>
              </w:rPr>
              <w:t>Ejercicio 2012</w:t>
            </w:r>
          </w:p>
        </w:tc>
        <w:tc>
          <w:tcPr>
            <w:tcW w:w="2218" w:type="dxa"/>
            <w:tcBorders>
              <w:top w:val="nil"/>
              <w:left w:val="nil"/>
              <w:bottom w:val="single" w:sz="4" w:space="0" w:color="auto"/>
              <w:right w:val="single" w:sz="4" w:space="0" w:color="auto"/>
            </w:tcBorders>
            <w:shd w:val="clear" w:color="auto" w:fill="auto"/>
            <w:noWrap/>
            <w:vAlign w:val="center"/>
            <w:hideMark/>
          </w:tcPr>
          <w:p w14:paraId="64863795" w14:textId="6E13862A" w:rsidR="004A5FFD" w:rsidRPr="00D86289" w:rsidRDefault="004A5FFD" w:rsidP="00726906">
            <w:pPr>
              <w:spacing w:line="360" w:lineRule="auto"/>
              <w:jc w:val="right"/>
              <w:rPr>
                <w:color w:val="000000"/>
                <w:sz w:val="22"/>
                <w:szCs w:val="22"/>
                <w:lang w:eastAsia="es-MX"/>
              </w:rPr>
            </w:pPr>
            <w:r w:rsidRPr="00D86289">
              <w:rPr>
                <w:color w:val="000000"/>
                <w:sz w:val="22"/>
                <w:szCs w:val="22"/>
                <w:lang w:eastAsia="es-MX"/>
              </w:rPr>
              <w:t>118.</w:t>
            </w:r>
            <w:r w:rsidR="00726906" w:rsidRPr="00D86289">
              <w:rPr>
                <w:color w:val="000000"/>
                <w:sz w:val="22"/>
                <w:szCs w:val="22"/>
                <w:lang w:eastAsia="es-MX"/>
              </w:rPr>
              <w:t>2</w:t>
            </w:r>
          </w:p>
        </w:tc>
      </w:tr>
      <w:tr w:rsidR="004A5FFD" w:rsidRPr="00D86289" w14:paraId="3CF98EF4" w14:textId="77777777" w:rsidTr="00A3550E">
        <w:trPr>
          <w:trHeight w:val="300"/>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14:paraId="3DE29569" w14:textId="77777777" w:rsidR="004A5FFD" w:rsidRPr="00D86289" w:rsidRDefault="004A5FFD" w:rsidP="002B18DD">
            <w:pPr>
              <w:spacing w:line="360" w:lineRule="auto"/>
              <w:rPr>
                <w:b/>
                <w:bCs/>
                <w:color w:val="000000"/>
                <w:sz w:val="22"/>
                <w:szCs w:val="22"/>
                <w:lang w:eastAsia="es-MX"/>
              </w:rPr>
            </w:pPr>
            <w:r w:rsidRPr="00D86289">
              <w:rPr>
                <w:b/>
                <w:bCs/>
                <w:color w:val="000000"/>
                <w:sz w:val="22"/>
                <w:szCs w:val="22"/>
                <w:lang w:eastAsia="es-MX"/>
              </w:rPr>
              <w:t>Ejercicio 2013</w:t>
            </w:r>
          </w:p>
        </w:tc>
        <w:tc>
          <w:tcPr>
            <w:tcW w:w="2218" w:type="dxa"/>
            <w:tcBorders>
              <w:top w:val="nil"/>
              <w:left w:val="nil"/>
              <w:bottom w:val="single" w:sz="4" w:space="0" w:color="auto"/>
              <w:right w:val="single" w:sz="4" w:space="0" w:color="auto"/>
            </w:tcBorders>
            <w:shd w:val="clear" w:color="auto" w:fill="auto"/>
            <w:noWrap/>
            <w:vAlign w:val="center"/>
            <w:hideMark/>
          </w:tcPr>
          <w:p w14:paraId="388AB975" w14:textId="77777777" w:rsidR="004A5FFD" w:rsidRPr="00D86289" w:rsidRDefault="004A5FFD" w:rsidP="002B18DD">
            <w:pPr>
              <w:spacing w:line="360" w:lineRule="auto"/>
              <w:jc w:val="right"/>
              <w:rPr>
                <w:color w:val="000000"/>
                <w:sz w:val="22"/>
                <w:szCs w:val="22"/>
                <w:lang w:eastAsia="es-MX"/>
              </w:rPr>
            </w:pPr>
            <w:r w:rsidRPr="00D86289">
              <w:rPr>
                <w:color w:val="000000"/>
                <w:sz w:val="22"/>
                <w:szCs w:val="22"/>
                <w:lang w:eastAsia="es-MX"/>
              </w:rPr>
              <w:t>16.5</w:t>
            </w:r>
          </w:p>
        </w:tc>
      </w:tr>
      <w:tr w:rsidR="004A5FFD" w:rsidRPr="00D86289" w14:paraId="716ED99B" w14:textId="77777777" w:rsidTr="00A3550E">
        <w:trPr>
          <w:trHeight w:val="320"/>
          <w:jc w:val="center"/>
        </w:trPr>
        <w:tc>
          <w:tcPr>
            <w:tcW w:w="1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DEB20" w14:textId="77777777" w:rsidR="004A5FFD" w:rsidRPr="00D86289" w:rsidRDefault="004A5FFD" w:rsidP="002B18DD">
            <w:pPr>
              <w:spacing w:line="360" w:lineRule="auto"/>
              <w:rPr>
                <w:b/>
                <w:bCs/>
                <w:color w:val="000000"/>
                <w:sz w:val="22"/>
                <w:szCs w:val="22"/>
                <w:lang w:eastAsia="es-MX"/>
              </w:rPr>
            </w:pPr>
            <w:r w:rsidRPr="00D86289">
              <w:rPr>
                <w:b/>
                <w:bCs/>
                <w:color w:val="000000"/>
                <w:sz w:val="22"/>
                <w:szCs w:val="22"/>
                <w:lang w:eastAsia="es-MX"/>
              </w:rPr>
              <w:t>Ejercicio 2014</w:t>
            </w:r>
          </w:p>
        </w:tc>
        <w:tc>
          <w:tcPr>
            <w:tcW w:w="22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20536" w14:textId="77777777" w:rsidR="004A5FFD" w:rsidRPr="00D86289" w:rsidRDefault="004A5FFD" w:rsidP="002B18DD">
            <w:pPr>
              <w:spacing w:line="360" w:lineRule="auto"/>
              <w:jc w:val="right"/>
              <w:rPr>
                <w:color w:val="000000"/>
                <w:sz w:val="22"/>
                <w:szCs w:val="22"/>
                <w:lang w:eastAsia="es-MX"/>
              </w:rPr>
            </w:pPr>
            <w:r w:rsidRPr="00D86289">
              <w:rPr>
                <w:color w:val="000000"/>
                <w:sz w:val="22"/>
                <w:szCs w:val="22"/>
                <w:lang w:eastAsia="es-MX"/>
              </w:rPr>
              <w:t>29.0</w:t>
            </w:r>
          </w:p>
        </w:tc>
      </w:tr>
      <w:tr w:rsidR="004A5FFD" w:rsidRPr="00D86289" w14:paraId="52D11E69" w14:textId="77777777" w:rsidTr="00A3550E">
        <w:trPr>
          <w:trHeight w:val="326"/>
          <w:jc w:val="center"/>
        </w:trPr>
        <w:tc>
          <w:tcPr>
            <w:tcW w:w="18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F0C37" w14:textId="77777777" w:rsidR="004A5FFD" w:rsidRPr="00D86289" w:rsidRDefault="004A5FFD" w:rsidP="002B18DD">
            <w:pPr>
              <w:spacing w:line="360" w:lineRule="auto"/>
              <w:rPr>
                <w:b/>
                <w:bCs/>
                <w:color w:val="000000"/>
                <w:sz w:val="22"/>
                <w:szCs w:val="22"/>
                <w:lang w:eastAsia="es-MX"/>
              </w:rPr>
            </w:pPr>
            <w:r w:rsidRPr="00D86289">
              <w:rPr>
                <w:b/>
                <w:bCs/>
                <w:color w:val="000000"/>
                <w:sz w:val="22"/>
                <w:szCs w:val="22"/>
                <w:lang w:eastAsia="es-MX"/>
              </w:rPr>
              <w:t>Ejercicio 2015</w:t>
            </w:r>
          </w:p>
        </w:tc>
        <w:tc>
          <w:tcPr>
            <w:tcW w:w="2218" w:type="dxa"/>
            <w:tcBorders>
              <w:top w:val="single" w:sz="4" w:space="0" w:color="auto"/>
              <w:left w:val="nil"/>
              <w:bottom w:val="single" w:sz="4" w:space="0" w:color="auto"/>
              <w:right w:val="single" w:sz="4" w:space="0" w:color="auto"/>
            </w:tcBorders>
            <w:shd w:val="clear" w:color="auto" w:fill="auto"/>
            <w:noWrap/>
            <w:vAlign w:val="center"/>
            <w:hideMark/>
          </w:tcPr>
          <w:p w14:paraId="24A46C07" w14:textId="77777777" w:rsidR="004A5FFD" w:rsidRPr="00D86289" w:rsidRDefault="004A5FFD" w:rsidP="002B18DD">
            <w:pPr>
              <w:spacing w:line="360" w:lineRule="auto"/>
              <w:jc w:val="right"/>
              <w:rPr>
                <w:color w:val="000000"/>
                <w:sz w:val="22"/>
                <w:szCs w:val="22"/>
                <w:lang w:eastAsia="es-MX"/>
              </w:rPr>
            </w:pPr>
            <w:r w:rsidRPr="00D86289">
              <w:rPr>
                <w:color w:val="000000"/>
                <w:sz w:val="22"/>
                <w:szCs w:val="22"/>
                <w:lang w:eastAsia="es-MX"/>
              </w:rPr>
              <w:t>34.6</w:t>
            </w:r>
          </w:p>
        </w:tc>
      </w:tr>
      <w:tr w:rsidR="004A5FFD" w:rsidRPr="00D86289" w14:paraId="1718DCC5" w14:textId="77777777" w:rsidTr="00A3550E">
        <w:trPr>
          <w:trHeight w:val="332"/>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14:paraId="3B888221" w14:textId="77777777" w:rsidR="004A5FFD" w:rsidRPr="00D86289" w:rsidRDefault="004A5FFD" w:rsidP="00A4442A">
            <w:pPr>
              <w:spacing w:line="360" w:lineRule="auto"/>
              <w:rPr>
                <w:b/>
                <w:bCs/>
                <w:color w:val="000000"/>
                <w:sz w:val="22"/>
                <w:szCs w:val="22"/>
                <w:lang w:eastAsia="es-MX"/>
              </w:rPr>
            </w:pPr>
            <w:r w:rsidRPr="00D86289">
              <w:rPr>
                <w:b/>
                <w:bCs/>
                <w:color w:val="000000"/>
                <w:sz w:val="22"/>
                <w:szCs w:val="22"/>
                <w:lang w:eastAsia="es-MX"/>
              </w:rPr>
              <w:t>Ejercicio 2016</w:t>
            </w:r>
          </w:p>
        </w:tc>
        <w:tc>
          <w:tcPr>
            <w:tcW w:w="2218" w:type="dxa"/>
            <w:tcBorders>
              <w:top w:val="nil"/>
              <w:left w:val="nil"/>
              <w:bottom w:val="single" w:sz="4" w:space="0" w:color="auto"/>
              <w:right w:val="single" w:sz="4" w:space="0" w:color="auto"/>
            </w:tcBorders>
            <w:shd w:val="clear" w:color="auto" w:fill="auto"/>
            <w:noWrap/>
            <w:vAlign w:val="center"/>
            <w:hideMark/>
          </w:tcPr>
          <w:p w14:paraId="7EF4F99C" w14:textId="77777777" w:rsidR="004A5FFD" w:rsidRPr="00D86289" w:rsidRDefault="00A4442A" w:rsidP="00A4442A">
            <w:pPr>
              <w:spacing w:line="360" w:lineRule="auto"/>
              <w:jc w:val="right"/>
              <w:rPr>
                <w:color w:val="000000"/>
                <w:sz w:val="22"/>
                <w:szCs w:val="22"/>
                <w:lang w:eastAsia="es-MX"/>
              </w:rPr>
            </w:pPr>
            <w:r w:rsidRPr="00D86289">
              <w:rPr>
                <w:color w:val="000000"/>
                <w:sz w:val="22"/>
                <w:szCs w:val="22"/>
                <w:lang w:eastAsia="es-MX"/>
              </w:rPr>
              <w:t>165</w:t>
            </w:r>
            <w:r w:rsidR="00B216E0" w:rsidRPr="00D86289">
              <w:rPr>
                <w:color w:val="000000"/>
                <w:sz w:val="22"/>
                <w:szCs w:val="22"/>
                <w:lang w:eastAsia="es-MX"/>
              </w:rPr>
              <w:t>.</w:t>
            </w:r>
            <w:r w:rsidRPr="00D86289">
              <w:rPr>
                <w:color w:val="000000"/>
                <w:sz w:val="22"/>
                <w:szCs w:val="22"/>
                <w:lang w:eastAsia="es-MX"/>
              </w:rPr>
              <w:t>3</w:t>
            </w:r>
          </w:p>
        </w:tc>
      </w:tr>
      <w:tr w:rsidR="00A4442A" w:rsidRPr="00D86289" w14:paraId="1613A586" w14:textId="77777777" w:rsidTr="00A3550E">
        <w:trPr>
          <w:trHeight w:val="209"/>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2FDA383A" w14:textId="44A37FE3" w:rsidR="00A4442A" w:rsidRPr="00D86289" w:rsidRDefault="00A4442A" w:rsidP="00A3550E">
            <w:pPr>
              <w:spacing w:line="360" w:lineRule="auto"/>
              <w:rPr>
                <w:b/>
                <w:bCs/>
                <w:color w:val="000000"/>
                <w:sz w:val="22"/>
                <w:szCs w:val="22"/>
                <w:lang w:eastAsia="es-MX"/>
              </w:rPr>
            </w:pPr>
            <w:r w:rsidRPr="00D86289">
              <w:rPr>
                <w:b/>
                <w:bCs/>
                <w:color w:val="000000"/>
                <w:sz w:val="22"/>
                <w:szCs w:val="22"/>
                <w:lang w:eastAsia="es-MX"/>
              </w:rPr>
              <w:t>Ejercicio 2017</w:t>
            </w:r>
          </w:p>
        </w:tc>
        <w:tc>
          <w:tcPr>
            <w:tcW w:w="2218" w:type="dxa"/>
            <w:tcBorders>
              <w:top w:val="nil"/>
              <w:left w:val="nil"/>
              <w:bottom w:val="single" w:sz="4" w:space="0" w:color="auto"/>
              <w:right w:val="single" w:sz="4" w:space="0" w:color="auto"/>
            </w:tcBorders>
            <w:shd w:val="clear" w:color="auto" w:fill="auto"/>
            <w:noWrap/>
            <w:vAlign w:val="center"/>
          </w:tcPr>
          <w:p w14:paraId="61ABC78F" w14:textId="07F6E1C0" w:rsidR="00A4442A" w:rsidRPr="00D86289" w:rsidRDefault="005E73F9" w:rsidP="005E73F9">
            <w:pPr>
              <w:spacing w:line="360" w:lineRule="auto"/>
              <w:jc w:val="right"/>
              <w:rPr>
                <w:bCs/>
                <w:color w:val="000000"/>
                <w:sz w:val="22"/>
                <w:szCs w:val="22"/>
                <w:highlight w:val="yellow"/>
                <w:lang w:eastAsia="es-MX"/>
              </w:rPr>
            </w:pPr>
            <w:r w:rsidRPr="00D86289">
              <w:rPr>
                <w:bCs/>
                <w:color w:val="000000"/>
                <w:sz w:val="22"/>
                <w:szCs w:val="22"/>
                <w:lang w:eastAsia="es-MX"/>
              </w:rPr>
              <w:t>26</w:t>
            </w:r>
            <w:r w:rsidR="00A4442A" w:rsidRPr="00D86289">
              <w:rPr>
                <w:bCs/>
                <w:color w:val="000000"/>
                <w:sz w:val="22"/>
                <w:szCs w:val="22"/>
                <w:lang w:eastAsia="es-MX"/>
              </w:rPr>
              <w:t>.</w:t>
            </w:r>
            <w:r w:rsidRPr="00D86289">
              <w:rPr>
                <w:bCs/>
                <w:color w:val="000000"/>
                <w:sz w:val="22"/>
                <w:szCs w:val="22"/>
                <w:lang w:eastAsia="es-MX"/>
              </w:rPr>
              <w:t>6</w:t>
            </w:r>
          </w:p>
        </w:tc>
      </w:tr>
      <w:tr w:rsidR="00A674A7" w:rsidRPr="00D86289" w14:paraId="7BD1B736" w14:textId="77777777" w:rsidTr="00A3550E">
        <w:trPr>
          <w:trHeight w:val="257"/>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28EA12A9" w14:textId="19D24E23" w:rsidR="00A674A7" w:rsidRPr="00D86289" w:rsidRDefault="00A674A7" w:rsidP="00A3550E">
            <w:pPr>
              <w:spacing w:line="360" w:lineRule="auto"/>
              <w:rPr>
                <w:b/>
                <w:bCs/>
                <w:color w:val="000000"/>
                <w:sz w:val="22"/>
                <w:szCs w:val="22"/>
                <w:lang w:eastAsia="es-MX"/>
              </w:rPr>
            </w:pPr>
            <w:r w:rsidRPr="00D86289">
              <w:rPr>
                <w:b/>
                <w:bCs/>
                <w:color w:val="000000"/>
                <w:sz w:val="22"/>
                <w:szCs w:val="22"/>
                <w:lang w:eastAsia="es-MX"/>
              </w:rPr>
              <w:t>Ejercicio 2018</w:t>
            </w:r>
          </w:p>
        </w:tc>
        <w:tc>
          <w:tcPr>
            <w:tcW w:w="2218" w:type="dxa"/>
            <w:tcBorders>
              <w:top w:val="nil"/>
              <w:left w:val="nil"/>
              <w:bottom w:val="single" w:sz="4" w:space="0" w:color="auto"/>
              <w:right w:val="single" w:sz="4" w:space="0" w:color="auto"/>
            </w:tcBorders>
            <w:shd w:val="clear" w:color="auto" w:fill="auto"/>
            <w:noWrap/>
            <w:vAlign w:val="center"/>
          </w:tcPr>
          <w:p w14:paraId="36DA9D4F" w14:textId="0D48D5C7" w:rsidR="00A674A7" w:rsidRPr="00D86289" w:rsidRDefault="00CD3C22" w:rsidP="007B42A1">
            <w:pPr>
              <w:spacing w:line="360" w:lineRule="auto"/>
              <w:jc w:val="right"/>
              <w:rPr>
                <w:bCs/>
                <w:color w:val="000000"/>
                <w:sz w:val="22"/>
                <w:szCs w:val="22"/>
                <w:lang w:eastAsia="es-MX"/>
              </w:rPr>
            </w:pPr>
            <w:r w:rsidRPr="00D86289">
              <w:rPr>
                <w:bCs/>
                <w:color w:val="000000"/>
                <w:sz w:val="22"/>
                <w:szCs w:val="22"/>
                <w:lang w:eastAsia="es-MX"/>
              </w:rPr>
              <w:t>3</w:t>
            </w:r>
            <w:r w:rsidR="007B42A1" w:rsidRPr="00D86289">
              <w:rPr>
                <w:bCs/>
                <w:color w:val="000000"/>
                <w:sz w:val="22"/>
                <w:szCs w:val="22"/>
                <w:lang w:eastAsia="es-MX"/>
              </w:rPr>
              <w:t>1</w:t>
            </w:r>
            <w:r w:rsidR="00A674A7" w:rsidRPr="00D86289">
              <w:rPr>
                <w:bCs/>
                <w:color w:val="000000"/>
                <w:sz w:val="22"/>
                <w:szCs w:val="22"/>
                <w:lang w:eastAsia="es-MX"/>
              </w:rPr>
              <w:t>.0</w:t>
            </w:r>
          </w:p>
        </w:tc>
      </w:tr>
      <w:tr w:rsidR="00A674A7" w:rsidRPr="00D86289" w14:paraId="1F94A37A" w14:textId="77777777" w:rsidTr="00A3550E">
        <w:trPr>
          <w:trHeight w:val="278"/>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3BC48493" w14:textId="400574D4" w:rsidR="00A674A7" w:rsidRPr="00D86289" w:rsidRDefault="00A674A7" w:rsidP="00A3550E">
            <w:pPr>
              <w:spacing w:line="360" w:lineRule="auto"/>
              <w:rPr>
                <w:b/>
                <w:bCs/>
                <w:color w:val="000000"/>
                <w:sz w:val="22"/>
                <w:szCs w:val="22"/>
                <w:lang w:eastAsia="es-MX"/>
              </w:rPr>
            </w:pPr>
            <w:r w:rsidRPr="00D86289">
              <w:rPr>
                <w:b/>
                <w:bCs/>
                <w:color w:val="000000"/>
                <w:sz w:val="22"/>
                <w:szCs w:val="22"/>
                <w:lang w:eastAsia="es-MX"/>
              </w:rPr>
              <w:t>Ejercicio 2019</w:t>
            </w:r>
          </w:p>
        </w:tc>
        <w:tc>
          <w:tcPr>
            <w:tcW w:w="2218" w:type="dxa"/>
            <w:tcBorders>
              <w:top w:val="nil"/>
              <w:left w:val="nil"/>
              <w:bottom w:val="single" w:sz="4" w:space="0" w:color="auto"/>
              <w:right w:val="single" w:sz="4" w:space="0" w:color="auto"/>
            </w:tcBorders>
            <w:shd w:val="clear" w:color="auto" w:fill="auto"/>
            <w:noWrap/>
            <w:vAlign w:val="center"/>
          </w:tcPr>
          <w:p w14:paraId="7D1EBF0F" w14:textId="5E76B3CD" w:rsidR="00A674A7" w:rsidRPr="00D86289" w:rsidRDefault="004E5905" w:rsidP="00A674A7">
            <w:pPr>
              <w:spacing w:line="360" w:lineRule="auto"/>
              <w:jc w:val="right"/>
              <w:rPr>
                <w:bCs/>
                <w:color w:val="000000"/>
                <w:sz w:val="22"/>
                <w:szCs w:val="22"/>
                <w:lang w:eastAsia="es-MX"/>
              </w:rPr>
            </w:pPr>
            <w:r w:rsidRPr="00D86289">
              <w:rPr>
                <w:bCs/>
                <w:color w:val="000000"/>
                <w:sz w:val="22"/>
                <w:szCs w:val="22"/>
                <w:lang w:eastAsia="es-MX"/>
              </w:rPr>
              <w:t>5</w:t>
            </w:r>
            <w:r w:rsidR="00805C87" w:rsidRPr="00D86289">
              <w:rPr>
                <w:bCs/>
                <w:color w:val="000000"/>
                <w:sz w:val="22"/>
                <w:szCs w:val="22"/>
                <w:lang w:eastAsia="es-MX"/>
              </w:rPr>
              <w:t>5</w:t>
            </w:r>
            <w:r w:rsidR="00A674A7" w:rsidRPr="00D86289">
              <w:rPr>
                <w:bCs/>
                <w:color w:val="000000"/>
                <w:sz w:val="22"/>
                <w:szCs w:val="22"/>
                <w:lang w:eastAsia="es-MX"/>
              </w:rPr>
              <w:t>.0</w:t>
            </w:r>
          </w:p>
        </w:tc>
      </w:tr>
      <w:tr w:rsidR="008C157D" w:rsidRPr="00D86289" w14:paraId="19B16024" w14:textId="77777777" w:rsidTr="00A3550E">
        <w:trPr>
          <w:trHeight w:val="283"/>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71FD2EF5" w14:textId="73D9529F" w:rsidR="008C157D" w:rsidRPr="00D86289" w:rsidRDefault="008C157D" w:rsidP="00A3550E">
            <w:pPr>
              <w:spacing w:line="360" w:lineRule="auto"/>
              <w:rPr>
                <w:b/>
                <w:bCs/>
                <w:color w:val="000000"/>
                <w:sz w:val="22"/>
                <w:szCs w:val="22"/>
                <w:lang w:eastAsia="es-MX"/>
              </w:rPr>
            </w:pPr>
            <w:r w:rsidRPr="00D86289">
              <w:rPr>
                <w:b/>
                <w:bCs/>
                <w:color w:val="000000"/>
                <w:sz w:val="22"/>
                <w:szCs w:val="22"/>
                <w:lang w:eastAsia="es-MX"/>
              </w:rPr>
              <w:t>Ejercicio 2020</w:t>
            </w:r>
          </w:p>
        </w:tc>
        <w:tc>
          <w:tcPr>
            <w:tcW w:w="2218" w:type="dxa"/>
            <w:tcBorders>
              <w:top w:val="nil"/>
              <w:left w:val="nil"/>
              <w:bottom w:val="single" w:sz="4" w:space="0" w:color="auto"/>
              <w:right w:val="single" w:sz="4" w:space="0" w:color="auto"/>
            </w:tcBorders>
            <w:shd w:val="clear" w:color="auto" w:fill="auto"/>
            <w:noWrap/>
            <w:vAlign w:val="center"/>
          </w:tcPr>
          <w:p w14:paraId="18FF6AD0" w14:textId="5D320BEF" w:rsidR="008C157D" w:rsidRPr="00D86289" w:rsidRDefault="00D55E30" w:rsidP="00A83F52">
            <w:pPr>
              <w:spacing w:line="360" w:lineRule="auto"/>
              <w:jc w:val="right"/>
              <w:rPr>
                <w:bCs/>
                <w:color w:val="000000"/>
                <w:sz w:val="22"/>
                <w:szCs w:val="22"/>
                <w:lang w:eastAsia="es-MX"/>
              </w:rPr>
            </w:pPr>
            <w:r w:rsidRPr="00D86289">
              <w:rPr>
                <w:bCs/>
                <w:color w:val="000000"/>
                <w:sz w:val="22"/>
                <w:szCs w:val="22"/>
                <w:lang w:eastAsia="es-MX"/>
              </w:rPr>
              <w:t>80</w:t>
            </w:r>
            <w:r w:rsidR="000B70CA" w:rsidRPr="00D86289">
              <w:rPr>
                <w:bCs/>
                <w:color w:val="000000"/>
                <w:sz w:val="22"/>
                <w:szCs w:val="22"/>
                <w:lang w:eastAsia="es-MX"/>
              </w:rPr>
              <w:t>.</w:t>
            </w:r>
            <w:r w:rsidR="00A83F52" w:rsidRPr="00D86289">
              <w:rPr>
                <w:bCs/>
                <w:color w:val="000000"/>
                <w:sz w:val="22"/>
                <w:szCs w:val="22"/>
                <w:lang w:eastAsia="es-MX"/>
              </w:rPr>
              <w:t>5</w:t>
            </w:r>
          </w:p>
        </w:tc>
      </w:tr>
      <w:tr w:rsidR="00A3550E" w:rsidRPr="00D86289" w14:paraId="165536EB" w14:textId="77777777" w:rsidTr="00A3550E">
        <w:trPr>
          <w:trHeight w:val="283"/>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75F99734" w14:textId="191D3104" w:rsidR="00A3550E" w:rsidRPr="00D86289" w:rsidRDefault="00A3550E" w:rsidP="00A3550E">
            <w:pPr>
              <w:spacing w:line="360" w:lineRule="auto"/>
              <w:rPr>
                <w:b/>
                <w:bCs/>
                <w:color w:val="000000"/>
                <w:sz w:val="22"/>
                <w:szCs w:val="22"/>
                <w:lang w:eastAsia="es-MX"/>
              </w:rPr>
            </w:pPr>
            <w:r>
              <w:rPr>
                <w:b/>
                <w:bCs/>
                <w:color w:val="000000"/>
                <w:sz w:val="22"/>
                <w:szCs w:val="22"/>
                <w:lang w:eastAsia="es-MX"/>
              </w:rPr>
              <w:t>Ejercicio 2021</w:t>
            </w:r>
          </w:p>
        </w:tc>
        <w:tc>
          <w:tcPr>
            <w:tcW w:w="2218" w:type="dxa"/>
            <w:tcBorders>
              <w:top w:val="nil"/>
              <w:left w:val="nil"/>
              <w:bottom w:val="single" w:sz="4" w:space="0" w:color="auto"/>
              <w:right w:val="single" w:sz="4" w:space="0" w:color="auto"/>
            </w:tcBorders>
            <w:shd w:val="clear" w:color="auto" w:fill="auto"/>
            <w:noWrap/>
            <w:vAlign w:val="center"/>
          </w:tcPr>
          <w:p w14:paraId="032AA6FF" w14:textId="43FE4FE7" w:rsidR="00A3550E" w:rsidRPr="00D86289" w:rsidRDefault="00A3550E" w:rsidP="00A83F52">
            <w:pPr>
              <w:spacing w:line="360" w:lineRule="auto"/>
              <w:jc w:val="right"/>
              <w:rPr>
                <w:bCs/>
                <w:color w:val="000000"/>
                <w:sz w:val="22"/>
                <w:szCs w:val="22"/>
                <w:lang w:eastAsia="es-MX"/>
              </w:rPr>
            </w:pPr>
            <w:r>
              <w:rPr>
                <w:bCs/>
                <w:color w:val="000000"/>
                <w:sz w:val="22"/>
                <w:szCs w:val="22"/>
                <w:lang w:eastAsia="es-MX"/>
              </w:rPr>
              <w:t>49.6</w:t>
            </w:r>
          </w:p>
        </w:tc>
      </w:tr>
      <w:tr w:rsidR="00F41C71" w:rsidRPr="00D86289" w14:paraId="4E8BD051" w14:textId="77777777" w:rsidTr="00A3550E">
        <w:trPr>
          <w:trHeight w:val="283"/>
          <w:jc w:val="center"/>
        </w:trPr>
        <w:tc>
          <w:tcPr>
            <w:tcW w:w="1849" w:type="dxa"/>
            <w:tcBorders>
              <w:top w:val="nil"/>
              <w:left w:val="single" w:sz="4" w:space="0" w:color="auto"/>
              <w:bottom w:val="single" w:sz="4" w:space="0" w:color="auto"/>
              <w:right w:val="single" w:sz="4" w:space="0" w:color="auto"/>
            </w:tcBorders>
            <w:shd w:val="clear" w:color="auto" w:fill="auto"/>
            <w:noWrap/>
            <w:vAlign w:val="center"/>
          </w:tcPr>
          <w:p w14:paraId="40E03679" w14:textId="1C6456E4" w:rsidR="00F41C71" w:rsidRPr="00D86289" w:rsidRDefault="00A3550E" w:rsidP="00A3550E">
            <w:pPr>
              <w:spacing w:line="360" w:lineRule="auto"/>
              <w:rPr>
                <w:b/>
                <w:bCs/>
                <w:color w:val="000000"/>
                <w:sz w:val="22"/>
                <w:szCs w:val="22"/>
                <w:lang w:eastAsia="es-MX"/>
              </w:rPr>
            </w:pPr>
            <w:r>
              <w:rPr>
                <w:b/>
                <w:bCs/>
                <w:color w:val="000000"/>
                <w:sz w:val="22"/>
                <w:szCs w:val="22"/>
                <w:lang w:eastAsia="es-MX"/>
              </w:rPr>
              <w:t>*Ejercicio 2022</w:t>
            </w:r>
          </w:p>
        </w:tc>
        <w:tc>
          <w:tcPr>
            <w:tcW w:w="2218" w:type="dxa"/>
            <w:tcBorders>
              <w:top w:val="nil"/>
              <w:left w:val="nil"/>
              <w:bottom w:val="single" w:sz="4" w:space="0" w:color="auto"/>
              <w:right w:val="single" w:sz="4" w:space="0" w:color="auto"/>
            </w:tcBorders>
            <w:shd w:val="clear" w:color="auto" w:fill="auto"/>
            <w:noWrap/>
            <w:vAlign w:val="center"/>
          </w:tcPr>
          <w:p w14:paraId="74968C28" w14:textId="3D290857" w:rsidR="00F41C71" w:rsidRPr="00D86289" w:rsidRDefault="00A3550E" w:rsidP="00A3550E">
            <w:pPr>
              <w:spacing w:line="360" w:lineRule="auto"/>
              <w:jc w:val="right"/>
              <w:rPr>
                <w:b/>
                <w:bCs/>
                <w:color w:val="000000"/>
                <w:sz w:val="22"/>
                <w:szCs w:val="22"/>
                <w:lang w:eastAsia="es-MX"/>
              </w:rPr>
            </w:pPr>
            <w:r>
              <w:rPr>
                <w:b/>
                <w:bCs/>
                <w:color w:val="000000"/>
                <w:sz w:val="22"/>
                <w:szCs w:val="22"/>
                <w:lang w:eastAsia="es-MX"/>
              </w:rPr>
              <w:t>3</w:t>
            </w:r>
            <w:r w:rsidR="000010C5" w:rsidRPr="00D86289">
              <w:rPr>
                <w:b/>
                <w:bCs/>
                <w:color w:val="000000"/>
                <w:sz w:val="22"/>
                <w:szCs w:val="22"/>
                <w:lang w:eastAsia="es-MX"/>
              </w:rPr>
              <w:t>5</w:t>
            </w:r>
            <w:r w:rsidR="008745B7" w:rsidRPr="00D86289">
              <w:rPr>
                <w:b/>
                <w:bCs/>
                <w:color w:val="000000"/>
                <w:sz w:val="22"/>
                <w:szCs w:val="22"/>
                <w:lang w:eastAsia="es-MX"/>
              </w:rPr>
              <w:t>.</w:t>
            </w:r>
            <w:r w:rsidR="00E9195E" w:rsidRPr="00D86289">
              <w:rPr>
                <w:b/>
                <w:bCs/>
                <w:color w:val="000000"/>
                <w:sz w:val="22"/>
                <w:szCs w:val="22"/>
                <w:lang w:eastAsia="es-MX"/>
              </w:rPr>
              <w:t>0</w:t>
            </w:r>
          </w:p>
        </w:tc>
      </w:tr>
      <w:tr w:rsidR="00A674A7" w:rsidRPr="00D86289" w14:paraId="3C413C3D" w14:textId="77777777" w:rsidTr="00A3550E">
        <w:trPr>
          <w:trHeight w:val="283"/>
          <w:jc w:val="center"/>
        </w:trPr>
        <w:tc>
          <w:tcPr>
            <w:tcW w:w="1849" w:type="dxa"/>
            <w:tcBorders>
              <w:top w:val="nil"/>
              <w:left w:val="single" w:sz="4" w:space="0" w:color="auto"/>
              <w:bottom w:val="single" w:sz="4" w:space="0" w:color="auto"/>
              <w:right w:val="single" w:sz="4" w:space="0" w:color="auto"/>
            </w:tcBorders>
            <w:shd w:val="clear" w:color="auto" w:fill="auto"/>
            <w:noWrap/>
            <w:vAlign w:val="center"/>
            <w:hideMark/>
          </w:tcPr>
          <w:p w14:paraId="0AC1C0BA" w14:textId="77777777" w:rsidR="00A674A7" w:rsidRPr="00D86289" w:rsidRDefault="00A674A7" w:rsidP="00A674A7">
            <w:pPr>
              <w:spacing w:line="360" w:lineRule="auto"/>
              <w:jc w:val="center"/>
              <w:rPr>
                <w:b/>
                <w:bCs/>
                <w:color w:val="000000"/>
                <w:sz w:val="22"/>
                <w:szCs w:val="22"/>
                <w:lang w:eastAsia="es-MX"/>
              </w:rPr>
            </w:pPr>
            <w:r w:rsidRPr="00D86289">
              <w:rPr>
                <w:b/>
                <w:bCs/>
                <w:color w:val="000000"/>
                <w:sz w:val="22"/>
                <w:szCs w:val="22"/>
                <w:lang w:eastAsia="es-MX"/>
              </w:rPr>
              <w:t>SUMA</w:t>
            </w:r>
          </w:p>
        </w:tc>
        <w:tc>
          <w:tcPr>
            <w:tcW w:w="2218" w:type="dxa"/>
            <w:tcBorders>
              <w:top w:val="nil"/>
              <w:left w:val="nil"/>
              <w:bottom w:val="single" w:sz="4" w:space="0" w:color="auto"/>
              <w:right w:val="single" w:sz="4" w:space="0" w:color="auto"/>
            </w:tcBorders>
            <w:shd w:val="clear" w:color="auto" w:fill="auto"/>
            <w:noWrap/>
            <w:vAlign w:val="center"/>
            <w:hideMark/>
          </w:tcPr>
          <w:p w14:paraId="460B5824" w14:textId="40C283FB" w:rsidR="00A674A7" w:rsidRPr="00D86289" w:rsidRDefault="00A3550E" w:rsidP="00E9195E">
            <w:pPr>
              <w:spacing w:line="360" w:lineRule="auto"/>
              <w:jc w:val="right"/>
              <w:rPr>
                <w:b/>
                <w:bCs/>
                <w:color w:val="000000"/>
                <w:sz w:val="22"/>
                <w:szCs w:val="22"/>
                <w:lang w:eastAsia="es-MX"/>
              </w:rPr>
            </w:pPr>
            <w:r>
              <w:rPr>
                <w:rFonts w:ascii="Calibri" w:hAnsi="Calibri"/>
                <w:b/>
                <w:bCs/>
                <w:color w:val="000000"/>
                <w:sz w:val="22"/>
                <w:szCs w:val="22"/>
                <w:lang w:eastAsia="es-MX"/>
              </w:rPr>
              <w:t>781.3</w:t>
            </w:r>
          </w:p>
        </w:tc>
      </w:tr>
    </w:tbl>
    <w:p w14:paraId="2DB0BDDD" w14:textId="27A2AEB4" w:rsidR="004A5FFD" w:rsidRPr="00032945" w:rsidRDefault="004A5FFD" w:rsidP="002F4EF8">
      <w:pPr>
        <w:spacing w:line="360" w:lineRule="auto"/>
        <w:ind w:left="2268"/>
        <w:rPr>
          <w:rFonts w:ascii="Arial" w:hAnsi="Arial" w:cs="Arial"/>
          <w:b/>
          <w:sz w:val="16"/>
        </w:rPr>
      </w:pPr>
      <w:r w:rsidRPr="00032945">
        <w:rPr>
          <w:rFonts w:ascii="Arial" w:hAnsi="Arial" w:cs="Arial"/>
          <w:b/>
          <w:sz w:val="16"/>
        </w:rPr>
        <w:t xml:space="preserve">* </w:t>
      </w:r>
      <w:r w:rsidRPr="00D86289">
        <w:rPr>
          <w:b/>
          <w:sz w:val="16"/>
        </w:rPr>
        <w:t>Cifra Estimada al Cierre de 20</w:t>
      </w:r>
      <w:r w:rsidR="00F41C71" w:rsidRPr="00D86289">
        <w:rPr>
          <w:b/>
          <w:sz w:val="16"/>
        </w:rPr>
        <w:t>2</w:t>
      </w:r>
      <w:r w:rsidR="00A3550E">
        <w:rPr>
          <w:b/>
          <w:sz w:val="16"/>
        </w:rPr>
        <w:t>2</w:t>
      </w:r>
      <w:r w:rsidR="00711E87" w:rsidRPr="00D86289">
        <w:rPr>
          <w:b/>
          <w:sz w:val="16"/>
        </w:rPr>
        <w:t>.</w:t>
      </w:r>
    </w:p>
    <w:p w14:paraId="1F4929C5" w14:textId="77777777" w:rsidR="00CB18D0" w:rsidRDefault="00CB18D0" w:rsidP="004A5FFD">
      <w:pPr>
        <w:spacing w:line="360" w:lineRule="auto"/>
        <w:jc w:val="both"/>
        <w:rPr>
          <w:rFonts w:ascii="Arial" w:hAnsi="Arial" w:cs="Arial"/>
          <w:sz w:val="14"/>
        </w:rPr>
      </w:pPr>
    </w:p>
    <w:p w14:paraId="02D3D251" w14:textId="0D597C72" w:rsidR="00CB18D0" w:rsidRPr="00D86289" w:rsidRDefault="00413FB6" w:rsidP="004A5FFD">
      <w:pPr>
        <w:spacing w:line="360" w:lineRule="auto"/>
        <w:jc w:val="both"/>
        <w:rPr>
          <w:sz w:val="20"/>
          <w:szCs w:val="20"/>
        </w:rPr>
      </w:pPr>
      <w:r w:rsidRPr="00413FB6">
        <w:rPr>
          <w:sz w:val="20"/>
          <w:szCs w:val="20"/>
        </w:rPr>
        <w:t>Los ingresos propios de Pensiones Civiles del Estado de Tlaxcala, se han visto incrementados, a partir, de la reforma, como a continuación se observa</w:t>
      </w:r>
      <w:r w:rsidR="004A5FFD" w:rsidRPr="00D86289">
        <w:rPr>
          <w:sz w:val="20"/>
          <w:szCs w:val="20"/>
        </w:rPr>
        <w:t>:</w:t>
      </w:r>
    </w:p>
    <w:tbl>
      <w:tblPr>
        <w:tblpPr w:leftFromText="141" w:rightFromText="141" w:vertAnchor="text" w:tblpXSpec="center" w:tblpY="1"/>
        <w:tblOverlap w:val="never"/>
        <w:tblW w:w="3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0"/>
        <w:gridCol w:w="1900"/>
      </w:tblGrid>
      <w:tr w:rsidR="004A5FFD" w:rsidRPr="00D86289" w14:paraId="5861796D" w14:textId="77777777" w:rsidTr="00413FB6">
        <w:trPr>
          <w:trHeight w:val="777"/>
          <w:tblHeader/>
        </w:trPr>
        <w:tc>
          <w:tcPr>
            <w:tcW w:w="1540" w:type="dxa"/>
            <w:shd w:val="clear" w:color="auto" w:fill="A8D08D" w:themeFill="accent6" w:themeFillTint="99"/>
            <w:noWrap/>
            <w:vAlign w:val="center"/>
            <w:hideMark/>
          </w:tcPr>
          <w:p w14:paraId="1D29CECB" w14:textId="77777777" w:rsidR="004A5FFD" w:rsidRPr="00D86289" w:rsidRDefault="004A5FFD" w:rsidP="00FB0F08">
            <w:pPr>
              <w:spacing w:line="360" w:lineRule="auto"/>
              <w:jc w:val="center"/>
              <w:rPr>
                <w:b/>
                <w:bCs/>
                <w:color w:val="000000"/>
                <w:sz w:val="20"/>
                <w:szCs w:val="20"/>
                <w:lang w:eastAsia="es-MX"/>
              </w:rPr>
            </w:pPr>
            <w:r w:rsidRPr="00D86289">
              <w:rPr>
                <w:b/>
                <w:bCs/>
                <w:color w:val="000000"/>
                <w:sz w:val="20"/>
                <w:szCs w:val="20"/>
                <w:lang w:eastAsia="es-MX"/>
              </w:rPr>
              <w:t>AÑO</w:t>
            </w:r>
          </w:p>
        </w:tc>
        <w:tc>
          <w:tcPr>
            <w:tcW w:w="1900" w:type="dxa"/>
            <w:shd w:val="clear" w:color="auto" w:fill="A8D08D" w:themeFill="accent6" w:themeFillTint="99"/>
            <w:vAlign w:val="center"/>
            <w:hideMark/>
          </w:tcPr>
          <w:p w14:paraId="67EF0A0D" w14:textId="6FB91B58" w:rsidR="004A5FFD" w:rsidRPr="00D86289" w:rsidRDefault="004A5FFD" w:rsidP="00FB0F08">
            <w:pPr>
              <w:spacing w:line="360" w:lineRule="auto"/>
              <w:jc w:val="center"/>
              <w:rPr>
                <w:b/>
                <w:bCs/>
                <w:color w:val="000000"/>
                <w:sz w:val="20"/>
                <w:szCs w:val="20"/>
                <w:lang w:eastAsia="es-MX"/>
              </w:rPr>
            </w:pPr>
            <w:r w:rsidRPr="00D86289">
              <w:rPr>
                <w:b/>
                <w:bCs/>
                <w:color w:val="000000"/>
                <w:sz w:val="20"/>
                <w:szCs w:val="20"/>
                <w:lang w:eastAsia="es-MX"/>
              </w:rPr>
              <w:t>APORTACIONES Y RETENCIONES</w:t>
            </w:r>
            <w:r w:rsidR="00E15C97" w:rsidRPr="00D86289">
              <w:rPr>
                <w:b/>
                <w:bCs/>
                <w:color w:val="000000"/>
                <w:sz w:val="20"/>
                <w:szCs w:val="20"/>
                <w:lang w:eastAsia="es-MX"/>
              </w:rPr>
              <w:t xml:space="preserve"> (MDP)</w:t>
            </w:r>
          </w:p>
        </w:tc>
      </w:tr>
      <w:tr w:rsidR="004A5FFD" w:rsidRPr="00D86289" w14:paraId="6D5E51D0" w14:textId="77777777" w:rsidTr="00413FB6">
        <w:trPr>
          <w:trHeight w:val="391"/>
        </w:trPr>
        <w:tc>
          <w:tcPr>
            <w:tcW w:w="1540" w:type="dxa"/>
            <w:shd w:val="clear" w:color="auto" w:fill="auto"/>
            <w:noWrap/>
            <w:vAlign w:val="center"/>
            <w:hideMark/>
          </w:tcPr>
          <w:p w14:paraId="2E7C293C"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t>Ejercicio 2011</w:t>
            </w:r>
          </w:p>
        </w:tc>
        <w:tc>
          <w:tcPr>
            <w:tcW w:w="1900" w:type="dxa"/>
            <w:shd w:val="clear" w:color="auto" w:fill="auto"/>
            <w:noWrap/>
            <w:vAlign w:val="center"/>
            <w:hideMark/>
          </w:tcPr>
          <w:p w14:paraId="6C46A615"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 xml:space="preserve">100.9 </w:t>
            </w:r>
          </w:p>
        </w:tc>
      </w:tr>
      <w:tr w:rsidR="004A5FFD" w:rsidRPr="00D86289" w14:paraId="4D05F477" w14:textId="77777777" w:rsidTr="00413FB6">
        <w:trPr>
          <w:trHeight w:val="398"/>
        </w:trPr>
        <w:tc>
          <w:tcPr>
            <w:tcW w:w="1540" w:type="dxa"/>
            <w:shd w:val="clear" w:color="auto" w:fill="auto"/>
            <w:noWrap/>
            <w:vAlign w:val="center"/>
            <w:hideMark/>
          </w:tcPr>
          <w:p w14:paraId="56757ED7"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t>Ejercicio 2012</w:t>
            </w:r>
          </w:p>
        </w:tc>
        <w:tc>
          <w:tcPr>
            <w:tcW w:w="1900" w:type="dxa"/>
            <w:shd w:val="clear" w:color="auto" w:fill="auto"/>
            <w:noWrap/>
            <w:vAlign w:val="center"/>
            <w:hideMark/>
          </w:tcPr>
          <w:p w14:paraId="748FD5B2"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 xml:space="preserve">103.3 </w:t>
            </w:r>
          </w:p>
        </w:tc>
      </w:tr>
      <w:tr w:rsidR="004A5FFD" w:rsidRPr="00D86289" w14:paraId="0A0CBC5A" w14:textId="77777777" w:rsidTr="00413FB6">
        <w:trPr>
          <w:trHeight w:val="404"/>
        </w:trPr>
        <w:tc>
          <w:tcPr>
            <w:tcW w:w="1540" w:type="dxa"/>
            <w:shd w:val="clear" w:color="auto" w:fill="auto"/>
            <w:noWrap/>
            <w:vAlign w:val="center"/>
            <w:hideMark/>
          </w:tcPr>
          <w:p w14:paraId="78805B29"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lastRenderedPageBreak/>
              <w:t>Ejercicio 2013</w:t>
            </w:r>
          </w:p>
        </w:tc>
        <w:tc>
          <w:tcPr>
            <w:tcW w:w="1900" w:type="dxa"/>
            <w:shd w:val="clear" w:color="auto" w:fill="auto"/>
            <w:noWrap/>
            <w:vAlign w:val="center"/>
            <w:hideMark/>
          </w:tcPr>
          <w:p w14:paraId="6F361D3E"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 xml:space="preserve">205.9 </w:t>
            </w:r>
          </w:p>
        </w:tc>
      </w:tr>
      <w:tr w:rsidR="004A5FFD" w:rsidRPr="00D86289" w14:paraId="316958DD" w14:textId="77777777" w:rsidTr="00413FB6">
        <w:trPr>
          <w:trHeight w:val="423"/>
        </w:trPr>
        <w:tc>
          <w:tcPr>
            <w:tcW w:w="1540" w:type="dxa"/>
            <w:shd w:val="clear" w:color="auto" w:fill="auto"/>
            <w:noWrap/>
            <w:vAlign w:val="center"/>
            <w:hideMark/>
          </w:tcPr>
          <w:p w14:paraId="25A280AB"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t>Ejercicio 2014</w:t>
            </w:r>
          </w:p>
        </w:tc>
        <w:tc>
          <w:tcPr>
            <w:tcW w:w="1900" w:type="dxa"/>
            <w:shd w:val="clear" w:color="auto" w:fill="auto"/>
            <w:noWrap/>
            <w:vAlign w:val="center"/>
            <w:hideMark/>
          </w:tcPr>
          <w:p w14:paraId="662EEDE5"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 xml:space="preserve">221.2 </w:t>
            </w:r>
          </w:p>
        </w:tc>
      </w:tr>
      <w:tr w:rsidR="004A5FFD" w:rsidRPr="00D86289" w14:paraId="11D8E821" w14:textId="77777777" w:rsidTr="00413FB6">
        <w:trPr>
          <w:trHeight w:val="415"/>
        </w:trPr>
        <w:tc>
          <w:tcPr>
            <w:tcW w:w="1540" w:type="dxa"/>
            <w:shd w:val="clear" w:color="auto" w:fill="auto"/>
            <w:noWrap/>
            <w:vAlign w:val="center"/>
            <w:hideMark/>
          </w:tcPr>
          <w:p w14:paraId="3182D4A0"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t>Ejercicio 2015</w:t>
            </w:r>
          </w:p>
        </w:tc>
        <w:tc>
          <w:tcPr>
            <w:tcW w:w="1900" w:type="dxa"/>
            <w:shd w:val="clear" w:color="auto" w:fill="auto"/>
            <w:noWrap/>
            <w:vAlign w:val="center"/>
            <w:hideMark/>
          </w:tcPr>
          <w:p w14:paraId="0323DCC3"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 xml:space="preserve">223.9 </w:t>
            </w:r>
          </w:p>
        </w:tc>
      </w:tr>
      <w:tr w:rsidR="004A5FFD" w:rsidRPr="00D86289" w14:paraId="6A845043" w14:textId="77777777" w:rsidTr="00413FB6">
        <w:trPr>
          <w:trHeight w:val="387"/>
        </w:trPr>
        <w:tc>
          <w:tcPr>
            <w:tcW w:w="1540" w:type="dxa"/>
            <w:shd w:val="clear" w:color="auto" w:fill="auto"/>
            <w:noWrap/>
            <w:vAlign w:val="center"/>
            <w:hideMark/>
          </w:tcPr>
          <w:p w14:paraId="494DF1D0" w14:textId="77777777" w:rsidR="004A5FFD" w:rsidRPr="00D86289" w:rsidRDefault="004A5FFD" w:rsidP="00FB0F08">
            <w:pPr>
              <w:spacing w:line="360" w:lineRule="auto"/>
              <w:rPr>
                <w:b/>
                <w:bCs/>
                <w:color w:val="000000"/>
                <w:sz w:val="20"/>
                <w:szCs w:val="20"/>
                <w:lang w:eastAsia="es-MX"/>
              </w:rPr>
            </w:pPr>
            <w:r w:rsidRPr="00D86289">
              <w:rPr>
                <w:b/>
                <w:bCs/>
                <w:color w:val="000000"/>
                <w:sz w:val="20"/>
                <w:szCs w:val="20"/>
                <w:lang w:eastAsia="es-MX"/>
              </w:rPr>
              <w:t>Ejercicio 201</w:t>
            </w:r>
            <w:r w:rsidR="00A4442A" w:rsidRPr="00D86289">
              <w:rPr>
                <w:b/>
                <w:bCs/>
                <w:color w:val="000000"/>
                <w:sz w:val="20"/>
                <w:szCs w:val="20"/>
                <w:lang w:eastAsia="es-MX"/>
              </w:rPr>
              <w:t>6</w:t>
            </w:r>
          </w:p>
        </w:tc>
        <w:tc>
          <w:tcPr>
            <w:tcW w:w="1900" w:type="dxa"/>
            <w:shd w:val="clear" w:color="auto" w:fill="auto"/>
            <w:noWrap/>
            <w:vAlign w:val="center"/>
            <w:hideMark/>
          </w:tcPr>
          <w:p w14:paraId="4E428F67" w14:textId="77777777" w:rsidR="004A5FFD" w:rsidRPr="00D86289" w:rsidRDefault="004A5FFD" w:rsidP="00FB0F08">
            <w:pPr>
              <w:spacing w:line="360" w:lineRule="auto"/>
              <w:jc w:val="right"/>
              <w:rPr>
                <w:color w:val="000000"/>
                <w:sz w:val="20"/>
                <w:szCs w:val="20"/>
                <w:lang w:eastAsia="es-MX"/>
              </w:rPr>
            </w:pPr>
            <w:r w:rsidRPr="00D86289">
              <w:rPr>
                <w:color w:val="000000"/>
                <w:sz w:val="20"/>
                <w:szCs w:val="20"/>
                <w:lang w:eastAsia="es-MX"/>
              </w:rPr>
              <w:t>2</w:t>
            </w:r>
            <w:r w:rsidR="00A4442A" w:rsidRPr="00D86289">
              <w:rPr>
                <w:color w:val="000000"/>
                <w:sz w:val="20"/>
                <w:szCs w:val="20"/>
                <w:lang w:eastAsia="es-MX"/>
              </w:rPr>
              <w:t>48</w:t>
            </w:r>
            <w:r w:rsidRPr="00D86289">
              <w:rPr>
                <w:color w:val="000000"/>
                <w:sz w:val="20"/>
                <w:szCs w:val="20"/>
                <w:lang w:eastAsia="es-MX"/>
              </w:rPr>
              <w:t>.</w:t>
            </w:r>
            <w:r w:rsidR="00A4442A" w:rsidRPr="00D86289">
              <w:rPr>
                <w:color w:val="000000"/>
                <w:sz w:val="20"/>
                <w:szCs w:val="20"/>
                <w:lang w:eastAsia="es-MX"/>
              </w:rPr>
              <w:t>9</w:t>
            </w:r>
            <w:r w:rsidRPr="00D86289">
              <w:rPr>
                <w:color w:val="000000"/>
                <w:sz w:val="20"/>
                <w:szCs w:val="20"/>
                <w:lang w:eastAsia="es-MX"/>
              </w:rPr>
              <w:t xml:space="preserve"> </w:t>
            </w:r>
          </w:p>
        </w:tc>
      </w:tr>
      <w:tr w:rsidR="00A4442A" w:rsidRPr="00D86289" w14:paraId="6CD39F07" w14:textId="77777777" w:rsidTr="00413FB6">
        <w:trPr>
          <w:trHeight w:val="300"/>
        </w:trPr>
        <w:tc>
          <w:tcPr>
            <w:tcW w:w="1540" w:type="dxa"/>
            <w:shd w:val="clear" w:color="auto" w:fill="auto"/>
            <w:noWrap/>
            <w:vAlign w:val="center"/>
          </w:tcPr>
          <w:p w14:paraId="7107FF1E" w14:textId="7207C4FF" w:rsidR="00A4442A" w:rsidRPr="00D86289" w:rsidRDefault="00A4442A" w:rsidP="00413FB6">
            <w:pPr>
              <w:spacing w:line="360" w:lineRule="auto"/>
              <w:rPr>
                <w:b/>
                <w:bCs/>
                <w:color w:val="000000"/>
                <w:sz w:val="20"/>
                <w:szCs w:val="20"/>
                <w:lang w:eastAsia="es-MX"/>
              </w:rPr>
            </w:pPr>
            <w:r w:rsidRPr="00D86289">
              <w:rPr>
                <w:b/>
                <w:bCs/>
                <w:color w:val="000000"/>
                <w:sz w:val="20"/>
                <w:szCs w:val="20"/>
                <w:lang w:eastAsia="es-MX"/>
              </w:rPr>
              <w:t>Ejercicio 2017</w:t>
            </w:r>
          </w:p>
        </w:tc>
        <w:tc>
          <w:tcPr>
            <w:tcW w:w="1900" w:type="dxa"/>
            <w:shd w:val="clear" w:color="auto" w:fill="auto"/>
            <w:noWrap/>
            <w:vAlign w:val="bottom"/>
          </w:tcPr>
          <w:p w14:paraId="5AD30780" w14:textId="0A3EA331" w:rsidR="00A4442A" w:rsidRPr="00D86289" w:rsidRDefault="005C54B5" w:rsidP="00FB0F08">
            <w:pPr>
              <w:spacing w:line="360" w:lineRule="auto"/>
              <w:jc w:val="right"/>
              <w:rPr>
                <w:bCs/>
                <w:color w:val="000000"/>
                <w:sz w:val="20"/>
                <w:szCs w:val="20"/>
                <w:lang w:eastAsia="es-MX"/>
              </w:rPr>
            </w:pPr>
            <w:r w:rsidRPr="00D86289">
              <w:rPr>
                <w:bCs/>
                <w:color w:val="000000"/>
                <w:sz w:val="20"/>
                <w:szCs w:val="20"/>
                <w:lang w:eastAsia="es-MX"/>
              </w:rPr>
              <w:t>275</w:t>
            </w:r>
            <w:r w:rsidR="00A4442A" w:rsidRPr="00D86289">
              <w:rPr>
                <w:bCs/>
                <w:color w:val="000000"/>
                <w:sz w:val="20"/>
                <w:szCs w:val="20"/>
                <w:lang w:eastAsia="es-MX"/>
              </w:rPr>
              <w:t>.</w:t>
            </w:r>
            <w:r w:rsidRPr="00D86289">
              <w:rPr>
                <w:bCs/>
                <w:color w:val="000000"/>
                <w:sz w:val="20"/>
                <w:szCs w:val="20"/>
                <w:lang w:eastAsia="es-MX"/>
              </w:rPr>
              <w:t>2</w:t>
            </w:r>
          </w:p>
        </w:tc>
      </w:tr>
      <w:tr w:rsidR="008D0636" w:rsidRPr="00D86289" w14:paraId="786D84A4" w14:textId="77777777" w:rsidTr="00413FB6">
        <w:trPr>
          <w:trHeight w:val="300"/>
        </w:trPr>
        <w:tc>
          <w:tcPr>
            <w:tcW w:w="1540" w:type="dxa"/>
            <w:shd w:val="clear" w:color="auto" w:fill="auto"/>
            <w:noWrap/>
            <w:vAlign w:val="center"/>
          </w:tcPr>
          <w:p w14:paraId="13D4FAC0" w14:textId="68181260" w:rsidR="008D0636" w:rsidRPr="00D86289" w:rsidRDefault="008D0636" w:rsidP="00413FB6">
            <w:pPr>
              <w:spacing w:line="360" w:lineRule="auto"/>
              <w:rPr>
                <w:b/>
                <w:bCs/>
                <w:color w:val="000000"/>
                <w:sz w:val="20"/>
                <w:szCs w:val="20"/>
                <w:lang w:eastAsia="es-MX"/>
              </w:rPr>
            </w:pPr>
            <w:r w:rsidRPr="00D86289">
              <w:rPr>
                <w:b/>
                <w:bCs/>
                <w:color w:val="000000"/>
                <w:sz w:val="20"/>
                <w:szCs w:val="20"/>
                <w:lang w:eastAsia="es-MX"/>
              </w:rPr>
              <w:t>Ejercicio 201</w:t>
            </w:r>
            <w:r w:rsidR="00D72CCB" w:rsidRPr="00D86289">
              <w:rPr>
                <w:b/>
                <w:bCs/>
                <w:color w:val="000000"/>
                <w:sz w:val="20"/>
                <w:szCs w:val="20"/>
                <w:lang w:eastAsia="es-MX"/>
              </w:rPr>
              <w:t>8</w:t>
            </w:r>
          </w:p>
        </w:tc>
        <w:tc>
          <w:tcPr>
            <w:tcW w:w="1900" w:type="dxa"/>
            <w:shd w:val="clear" w:color="auto" w:fill="auto"/>
            <w:noWrap/>
            <w:vAlign w:val="bottom"/>
          </w:tcPr>
          <w:p w14:paraId="6CA45C15" w14:textId="6BFF61A1" w:rsidR="008D0636" w:rsidRPr="00D86289" w:rsidRDefault="00903E74" w:rsidP="00FB0F08">
            <w:pPr>
              <w:spacing w:line="360" w:lineRule="auto"/>
              <w:jc w:val="right"/>
              <w:rPr>
                <w:bCs/>
                <w:color w:val="000000"/>
                <w:sz w:val="20"/>
                <w:szCs w:val="20"/>
                <w:lang w:eastAsia="es-MX"/>
              </w:rPr>
            </w:pPr>
            <w:r w:rsidRPr="00D86289">
              <w:rPr>
                <w:bCs/>
                <w:color w:val="000000"/>
                <w:sz w:val="20"/>
                <w:szCs w:val="20"/>
                <w:lang w:eastAsia="es-MX"/>
              </w:rPr>
              <w:t>2</w:t>
            </w:r>
            <w:r w:rsidR="007B42A1" w:rsidRPr="00D86289">
              <w:rPr>
                <w:bCs/>
                <w:color w:val="000000"/>
                <w:sz w:val="20"/>
                <w:szCs w:val="20"/>
                <w:lang w:eastAsia="es-MX"/>
              </w:rPr>
              <w:t>67</w:t>
            </w:r>
            <w:r w:rsidR="006F4B7F" w:rsidRPr="00D86289">
              <w:rPr>
                <w:bCs/>
                <w:color w:val="000000"/>
                <w:sz w:val="20"/>
                <w:szCs w:val="20"/>
                <w:lang w:eastAsia="es-MX"/>
              </w:rPr>
              <w:t>.</w:t>
            </w:r>
            <w:r w:rsidR="007B42A1" w:rsidRPr="00D86289">
              <w:rPr>
                <w:bCs/>
                <w:color w:val="000000"/>
                <w:sz w:val="20"/>
                <w:szCs w:val="20"/>
                <w:lang w:eastAsia="es-MX"/>
              </w:rPr>
              <w:t>1</w:t>
            </w:r>
          </w:p>
        </w:tc>
      </w:tr>
      <w:tr w:rsidR="00EA1CA2" w:rsidRPr="00D86289" w14:paraId="68760099" w14:textId="77777777" w:rsidTr="00413FB6">
        <w:trPr>
          <w:trHeight w:val="300"/>
        </w:trPr>
        <w:tc>
          <w:tcPr>
            <w:tcW w:w="1540" w:type="dxa"/>
            <w:shd w:val="clear" w:color="auto" w:fill="auto"/>
            <w:noWrap/>
            <w:vAlign w:val="center"/>
          </w:tcPr>
          <w:p w14:paraId="637F9D73" w14:textId="75C42C0A" w:rsidR="00EA1CA2" w:rsidRPr="00D86289" w:rsidRDefault="00EA1CA2" w:rsidP="00413FB6">
            <w:pPr>
              <w:spacing w:line="360" w:lineRule="auto"/>
              <w:rPr>
                <w:b/>
                <w:bCs/>
                <w:color w:val="000000"/>
                <w:sz w:val="20"/>
                <w:szCs w:val="20"/>
                <w:lang w:eastAsia="es-MX"/>
              </w:rPr>
            </w:pPr>
            <w:r w:rsidRPr="00D86289">
              <w:rPr>
                <w:b/>
                <w:bCs/>
                <w:color w:val="000000"/>
                <w:sz w:val="20"/>
                <w:szCs w:val="20"/>
                <w:lang w:eastAsia="es-MX"/>
              </w:rPr>
              <w:t>Ejercicio 2019</w:t>
            </w:r>
          </w:p>
        </w:tc>
        <w:tc>
          <w:tcPr>
            <w:tcW w:w="1900" w:type="dxa"/>
            <w:shd w:val="clear" w:color="auto" w:fill="auto"/>
            <w:noWrap/>
            <w:vAlign w:val="bottom"/>
          </w:tcPr>
          <w:p w14:paraId="31C833BF" w14:textId="68F233BB" w:rsidR="00EA1CA2" w:rsidRPr="00D86289" w:rsidRDefault="00937A59" w:rsidP="00FB0F08">
            <w:pPr>
              <w:spacing w:line="360" w:lineRule="auto"/>
              <w:jc w:val="right"/>
              <w:rPr>
                <w:bCs/>
                <w:color w:val="000000"/>
                <w:sz w:val="20"/>
                <w:szCs w:val="20"/>
                <w:lang w:eastAsia="es-MX"/>
              </w:rPr>
            </w:pPr>
            <w:r w:rsidRPr="00D86289">
              <w:rPr>
                <w:bCs/>
                <w:color w:val="000000"/>
                <w:sz w:val="20"/>
                <w:szCs w:val="20"/>
                <w:lang w:eastAsia="es-MX"/>
              </w:rPr>
              <w:t>2</w:t>
            </w:r>
            <w:r w:rsidR="004E5905" w:rsidRPr="00D86289">
              <w:rPr>
                <w:bCs/>
                <w:color w:val="000000"/>
                <w:sz w:val="20"/>
                <w:szCs w:val="20"/>
                <w:lang w:eastAsia="es-MX"/>
              </w:rPr>
              <w:t>9</w:t>
            </w:r>
            <w:r w:rsidRPr="00D86289">
              <w:rPr>
                <w:bCs/>
                <w:color w:val="000000"/>
                <w:sz w:val="20"/>
                <w:szCs w:val="20"/>
                <w:lang w:eastAsia="es-MX"/>
              </w:rPr>
              <w:t>0</w:t>
            </w:r>
            <w:r w:rsidR="007B42A1" w:rsidRPr="00D86289">
              <w:rPr>
                <w:bCs/>
                <w:color w:val="000000"/>
                <w:sz w:val="20"/>
                <w:szCs w:val="20"/>
                <w:lang w:eastAsia="es-MX"/>
              </w:rPr>
              <w:t>.</w:t>
            </w:r>
            <w:r w:rsidR="004E5905" w:rsidRPr="00D86289">
              <w:rPr>
                <w:bCs/>
                <w:color w:val="000000"/>
                <w:sz w:val="20"/>
                <w:szCs w:val="20"/>
                <w:lang w:eastAsia="es-MX"/>
              </w:rPr>
              <w:t>9</w:t>
            </w:r>
          </w:p>
        </w:tc>
      </w:tr>
      <w:tr w:rsidR="004E5905" w:rsidRPr="00D86289" w14:paraId="259D4D34" w14:textId="77777777" w:rsidTr="00413FB6">
        <w:trPr>
          <w:trHeight w:val="209"/>
        </w:trPr>
        <w:tc>
          <w:tcPr>
            <w:tcW w:w="1540" w:type="dxa"/>
            <w:shd w:val="clear" w:color="auto" w:fill="auto"/>
            <w:noWrap/>
            <w:vAlign w:val="center"/>
          </w:tcPr>
          <w:p w14:paraId="52E2E4B7" w14:textId="11BABF56" w:rsidR="004E5905" w:rsidRPr="00D86289" w:rsidRDefault="004E5905" w:rsidP="00413FB6">
            <w:pPr>
              <w:spacing w:line="360" w:lineRule="auto"/>
              <w:rPr>
                <w:b/>
                <w:bCs/>
                <w:color w:val="000000"/>
                <w:sz w:val="20"/>
                <w:szCs w:val="20"/>
                <w:lang w:eastAsia="es-MX"/>
              </w:rPr>
            </w:pPr>
            <w:r w:rsidRPr="00D86289">
              <w:rPr>
                <w:b/>
                <w:bCs/>
                <w:color w:val="000000"/>
                <w:sz w:val="20"/>
                <w:szCs w:val="20"/>
                <w:lang w:eastAsia="es-MX"/>
              </w:rPr>
              <w:t>Ejercicio 2020</w:t>
            </w:r>
          </w:p>
        </w:tc>
        <w:tc>
          <w:tcPr>
            <w:tcW w:w="1900" w:type="dxa"/>
            <w:shd w:val="clear" w:color="auto" w:fill="auto"/>
            <w:noWrap/>
            <w:vAlign w:val="bottom"/>
          </w:tcPr>
          <w:p w14:paraId="656D1A78" w14:textId="1528D509" w:rsidR="004E5905" w:rsidRPr="00D86289" w:rsidRDefault="00D55E30" w:rsidP="00FB0F08">
            <w:pPr>
              <w:spacing w:line="360" w:lineRule="auto"/>
              <w:jc w:val="right"/>
              <w:rPr>
                <w:bCs/>
                <w:color w:val="000000"/>
                <w:sz w:val="20"/>
                <w:szCs w:val="20"/>
                <w:lang w:eastAsia="es-MX"/>
              </w:rPr>
            </w:pPr>
            <w:r w:rsidRPr="00D86289">
              <w:rPr>
                <w:bCs/>
                <w:color w:val="000000"/>
                <w:sz w:val="20"/>
                <w:szCs w:val="20"/>
                <w:lang w:eastAsia="es-MX"/>
              </w:rPr>
              <w:t>364.16</w:t>
            </w:r>
          </w:p>
        </w:tc>
      </w:tr>
      <w:tr w:rsidR="00413FB6" w:rsidRPr="00D86289" w14:paraId="1343A92B" w14:textId="77777777" w:rsidTr="00413FB6">
        <w:trPr>
          <w:trHeight w:val="209"/>
        </w:trPr>
        <w:tc>
          <w:tcPr>
            <w:tcW w:w="1540" w:type="dxa"/>
            <w:shd w:val="clear" w:color="auto" w:fill="auto"/>
            <w:noWrap/>
            <w:vAlign w:val="center"/>
          </w:tcPr>
          <w:p w14:paraId="0EB8B766" w14:textId="72DDB8F5" w:rsidR="00413FB6" w:rsidRPr="00D86289" w:rsidRDefault="00413FB6" w:rsidP="00413FB6">
            <w:pPr>
              <w:spacing w:line="360" w:lineRule="auto"/>
              <w:rPr>
                <w:b/>
                <w:bCs/>
                <w:color w:val="000000"/>
                <w:sz w:val="20"/>
                <w:szCs w:val="20"/>
                <w:lang w:eastAsia="es-MX"/>
              </w:rPr>
            </w:pPr>
            <w:r>
              <w:rPr>
                <w:b/>
                <w:bCs/>
                <w:color w:val="000000"/>
                <w:sz w:val="20"/>
                <w:szCs w:val="20"/>
                <w:lang w:eastAsia="es-MX"/>
              </w:rPr>
              <w:t>Ejercicio 2021</w:t>
            </w:r>
          </w:p>
        </w:tc>
        <w:tc>
          <w:tcPr>
            <w:tcW w:w="1900" w:type="dxa"/>
            <w:shd w:val="clear" w:color="auto" w:fill="auto"/>
            <w:noWrap/>
            <w:vAlign w:val="bottom"/>
          </w:tcPr>
          <w:p w14:paraId="5F607A60" w14:textId="10570889" w:rsidR="00413FB6" w:rsidRPr="00D86289" w:rsidRDefault="00413FB6" w:rsidP="00FB0F08">
            <w:pPr>
              <w:spacing w:line="360" w:lineRule="auto"/>
              <w:jc w:val="right"/>
              <w:rPr>
                <w:bCs/>
                <w:color w:val="000000"/>
                <w:sz w:val="20"/>
                <w:szCs w:val="20"/>
                <w:lang w:eastAsia="es-MX"/>
              </w:rPr>
            </w:pPr>
            <w:r>
              <w:rPr>
                <w:bCs/>
                <w:color w:val="000000"/>
                <w:sz w:val="20"/>
                <w:szCs w:val="20"/>
                <w:lang w:eastAsia="es-MX"/>
              </w:rPr>
              <w:t>351.58</w:t>
            </w:r>
          </w:p>
        </w:tc>
      </w:tr>
      <w:tr w:rsidR="00D55E30" w:rsidRPr="00D86289" w14:paraId="01AE8E49" w14:textId="77777777" w:rsidTr="00413FB6">
        <w:trPr>
          <w:trHeight w:val="209"/>
        </w:trPr>
        <w:tc>
          <w:tcPr>
            <w:tcW w:w="1540" w:type="dxa"/>
            <w:shd w:val="clear" w:color="auto" w:fill="auto"/>
            <w:noWrap/>
            <w:vAlign w:val="center"/>
          </w:tcPr>
          <w:p w14:paraId="37499C71" w14:textId="07106C6F" w:rsidR="00D55E30" w:rsidRPr="00D86289" w:rsidRDefault="00D55E30" w:rsidP="00413FB6">
            <w:pPr>
              <w:spacing w:line="360" w:lineRule="auto"/>
              <w:jc w:val="center"/>
              <w:rPr>
                <w:b/>
                <w:bCs/>
                <w:color w:val="000000"/>
                <w:sz w:val="20"/>
                <w:szCs w:val="20"/>
                <w:lang w:eastAsia="es-MX"/>
              </w:rPr>
            </w:pPr>
            <w:r w:rsidRPr="00D86289">
              <w:rPr>
                <w:b/>
                <w:bCs/>
                <w:color w:val="000000"/>
                <w:sz w:val="20"/>
                <w:szCs w:val="20"/>
                <w:lang w:eastAsia="es-MX"/>
              </w:rPr>
              <w:t>*Ejercicio 202</w:t>
            </w:r>
            <w:r w:rsidR="00413FB6">
              <w:rPr>
                <w:b/>
                <w:bCs/>
                <w:color w:val="000000"/>
                <w:sz w:val="20"/>
                <w:szCs w:val="20"/>
                <w:lang w:eastAsia="es-MX"/>
              </w:rPr>
              <w:t>2</w:t>
            </w:r>
          </w:p>
        </w:tc>
        <w:tc>
          <w:tcPr>
            <w:tcW w:w="1900" w:type="dxa"/>
            <w:shd w:val="clear" w:color="auto" w:fill="auto"/>
            <w:noWrap/>
            <w:vAlign w:val="bottom"/>
          </w:tcPr>
          <w:p w14:paraId="1E035A5E" w14:textId="444179A4" w:rsidR="00D55E30" w:rsidRPr="00D86289" w:rsidRDefault="00017DDB" w:rsidP="00017DDB">
            <w:pPr>
              <w:spacing w:line="360" w:lineRule="auto"/>
              <w:jc w:val="right"/>
              <w:rPr>
                <w:b/>
                <w:bCs/>
                <w:color w:val="000000"/>
                <w:sz w:val="20"/>
                <w:szCs w:val="20"/>
                <w:lang w:eastAsia="es-MX"/>
              </w:rPr>
            </w:pPr>
            <w:r w:rsidRPr="00D86289">
              <w:rPr>
                <w:b/>
                <w:bCs/>
                <w:color w:val="000000"/>
                <w:sz w:val="20"/>
                <w:szCs w:val="20"/>
                <w:lang w:eastAsia="es-MX"/>
              </w:rPr>
              <w:t>2</w:t>
            </w:r>
            <w:r w:rsidR="00413FB6">
              <w:rPr>
                <w:b/>
                <w:bCs/>
                <w:color w:val="000000"/>
                <w:sz w:val="20"/>
                <w:szCs w:val="20"/>
                <w:lang w:eastAsia="es-MX"/>
              </w:rPr>
              <w:t>56.17</w:t>
            </w:r>
          </w:p>
        </w:tc>
      </w:tr>
      <w:tr w:rsidR="004A5FFD" w:rsidRPr="00D86289" w14:paraId="48A6B3AC" w14:textId="77777777" w:rsidTr="00413FB6">
        <w:trPr>
          <w:trHeight w:val="209"/>
        </w:trPr>
        <w:tc>
          <w:tcPr>
            <w:tcW w:w="1540" w:type="dxa"/>
            <w:shd w:val="clear" w:color="auto" w:fill="auto"/>
            <w:noWrap/>
            <w:vAlign w:val="center"/>
            <w:hideMark/>
          </w:tcPr>
          <w:p w14:paraId="0D88AE1B" w14:textId="77777777" w:rsidR="004A5FFD" w:rsidRPr="00D86289" w:rsidRDefault="004A5FFD" w:rsidP="00FB0F08">
            <w:pPr>
              <w:spacing w:line="360" w:lineRule="auto"/>
              <w:jc w:val="center"/>
              <w:rPr>
                <w:b/>
                <w:bCs/>
                <w:color w:val="000000"/>
                <w:sz w:val="20"/>
                <w:szCs w:val="20"/>
                <w:lang w:eastAsia="es-MX"/>
              </w:rPr>
            </w:pPr>
            <w:r w:rsidRPr="00D86289">
              <w:rPr>
                <w:b/>
                <w:bCs/>
                <w:color w:val="000000"/>
                <w:sz w:val="20"/>
                <w:szCs w:val="20"/>
                <w:lang w:eastAsia="es-MX"/>
              </w:rPr>
              <w:t>SUMA</w:t>
            </w:r>
          </w:p>
        </w:tc>
        <w:tc>
          <w:tcPr>
            <w:tcW w:w="1900" w:type="dxa"/>
            <w:shd w:val="clear" w:color="auto" w:fill="auto"/>
            <w:noWrap/>
            <w:vAlign w:val="bottom"/>
            <w:hideMark/>
          </w:tcPr>
          <w:p w14:paraId="4F8BFE46" w14:textId="5DA50A8D" w:rsidR="004A5FFD" w:rsidRPr="00D86289" w:rsidRDefault="00BF54D1" w:rsidP="002836DA">
            <w:pPr>
              <w:spacing w:line="360" w:lineRule="auto"/>
              <w:jc w:val="right"/>
              <w:rPr>
                <w:b/>
                <w:bCs/>
                <w:color w:val="000000"/>
                <w:sz w:val="20"/>
                <w:szCs w:val="20"/>
                <w:lang w:eastAsia="es-MX"/>
              </w:rPr>
            </w:pPr>
            <w:r w:rsidRPr="00D86289">
              <w:rPr>
                <w:b/>
                <w:bCs/>
                <w:color w:val="000000"/>
                <w:sz w:val="20"/>
                <w:szCs w:val="20"/>
                <w:lang w:eastAsia="es-MX"/>
              </w:rPr>
              <w:t>2,</w:t>
            </w:r>
            <w:r w:rsidR="00413FB6">
              <w:rPr>
                <w:b/>
                <w:bCs/>
                <w:color w:val="000000"/>
                <w:sz w:val="20"/>
                <w:szCs w:val="20"/>
                <w:lang w:eastAsia="es-MX"/>
              </w:rPr>
              <w:t>909.21</w:t>
            </w:r>
            <w:r w:rsidR="004A5FFD" w:rsidRPr="00D86289">
              <w:rPr>
                <w:b/>
                <w:bCs/>
                <w:color w:val="000000"/>
                <w:sz w:val="20"/>
                <w:szCs w:val="20"/>
                <w:lang w:eastAsia="es-MX"/>
              </w:rPr>
              <w:t xml:space="preserve"> </w:t>
            </w:r>
          </w:p>
        </w:tc>
      </w:tr>
    </w:tbl>
    <w:p w14:paraId="3D07C72E" w14:textId="77777777" w:rsidR="00413FB6" w:rsidRDefault="00FB0F08" w:rsidP="004A5FFD">
      <w:pPr>
        <w:spacing w:line="360" w:lineRule="auto"/>
        <w:jc w:val="center"/>
        <w:rPr>
          <w:b/>
          <w:sz w:val="20"/>
          <w:szCs w:val="20"/>
        </w:rPr>
      </w:pPr>
      <w:r w:rsidRPr="00D86289">
        <w:rPr>
          <w:b/>
          <w:sz w:val="20"/>
          <w:szCs w:val="20"/>
        </w:rPr>
        <w:lastRenderedPageBreak/>
        <w:br w:type="textWrapping" w:clear="all"/>
      </w:r>
    </w:p>
    <w:p w14:paraId="7EED55E5" w14:textId="77777777" w:rsidR="00413FB6" w:rsidRDefault="00413FB6" w:rsidP="004A5FFD">
      <w:pPr>
        <w:spacing w:line="360" w:lineRule="auto"/>
        <w:jc w:val="center"/>
        <w:rPr>
          <w:b/>
          <w:sz w:val="20"/>
          <w:szCs w:val="20"/>
        </w:rPr>
      </w:pPr>
    </w:p>
    <w:p w14:paraId="72052F18" w14:textId="77777777" w:rsidR="00413FB6" w:rsidRDefault="00413FB6" w:rsidP="004A5FFD">
      <w:pPr>
        <w:spacing w:line="360" w:lineRule="auto"/>
        <w:jc w:val="center"/>
        <w:rPr>
          <w:b/>
          <w:sz w:val="20"/>
          <w:szCs w:val="20"/>
        </w:rPr>
      </w:pPr>
    </w:p>
    <w:p w14:paraId="4BECA421" w14:textId="77777777" w:rsidR="00413FB6" w:rsidRDefault="00413FB6" w:rsidP="004A5FFD">
      <w:pPr>
        <w:spacing w:line="360" w:lineRule="auto"/>
        <w:jc w:val="center"/>
        <w:rPr>
          <w:b/>
          <w:sz w:val="20"/>
          <w:szCs w:val="20"/>
        </w:rPr>
      </w:pPr>
    </w:p>
    <w:p w14:paraId="50615BEE" w14:textId="77777777" w:rsidR="00413FB6" w:rsidRDefault="00413FB6" w:rsidP="004A5FFD">
      <w:pPr>
        <w:spacing w:line="360" w:lineRule="auto"/>
        <w:jc w:val="center"/>
        <w:rPr>
          <w:b/>
          <w:sz w:val="20"/>
          <w:szCs w:val="20"/>
        </w:rPr>
      </w:pPr>
    </w:p>
    <w:p w14:paraId="4210A06A" w14:textId="77777777" w:rsidR="00413FB6" w:rsidRDefault="00413FB6" w:rsidP="004A5FFD">
      <w:pPr>
        <w:spacing w:line="360" w:lineRule="auto"/>
        <w:jc w:val="center"/>
        <w:rPr>
          <w:b/>
          <w:sz w:val="20"/>
          <w:szCs w:val="20"/>
        </w:rPr>
      </w:pPr>
    </w:p>
    <w:p w14:paraId="12E6CC04" w14:textId="77777777" w:rsidR="00413FB6" w:rsidRDefault="00413FB6" w:rsidP="004A5FFD">
      <w:pPr>
        <w:spacing w:line="360" w:lineRule="auto"/>
        <w:jc w:val="center"/>
        <w:rPr>
          <w:b/>
          <w:sz w:val="20"/>
          <w:szCs w:val="20"/>
        </w:rPr>
      </w:pPr>
    </w:p>
    <w:p w14:paraId="3B2D7033" w14:textId="77777777" w:rsidR="00413FB6" w:rsidRDefault="00413FB6" w:rsidP="004A5FFD">
      <w:pPr>
        <w:spacing w:line="360" w:lineRule="auto"/>
        <w:jc w:val="center"/>
        <w:rPr>
          <w:b/>
          <w:sz w:val="20"/>
          <w:szCs w:val="20"/>
        </w:rPr>
      </w:pPr>
    </w:p>
    <w:p w14:paraId="59361796" w14:textId="77777777" w:rsidR="00413FB6" w:rsidRDefault="00413FB6" w:rsidP="004A5FFD">
      <w:pPr>
        <w:spacing w:line="360" w:lineRule="auto"/>
        <w:jc w:val="center"/>
        <w:rPr>
          <w:b/>
          <w:sz w:val="20"/>
          <w:szCs w:val="20"/>
        </w:rPr>
      </w:pPr>
    </w:p>
    <w:p w14:paraId="0B33C524" w14:textId="77777777" w:rsidR="00413FB6" w:rsidRDefault="00413FB6" w:rsidP="004A5FFD">
      <w:pPr>
        <w:spacing w:line="360" w:lineRule="auto"/>
        <w:jc w:val="center"/>
        <w:rPr>
          <w:b/>
          <w:sz w:val="20"/>
          <w:szCs w:val="20"/>
        </w:rPr>
      </w:pPr>
    </w:p>
    <w:p w14:paraId="5C1E9BEA" w14:textId="77777777" w:rsidR="00413FB6" w:rsidRDefault="00413FB6" w:rsidP="004A5FFD">
      <w:pPr>
        <w:spacing w:line="360" w:lineRule="auto"/>
        <w:jc w:val="center"/>
        <w:rPr>
          <w:b/>
          <w:sz w:val="20"/>
          <w:szCs w:val="20"/>
        </w:rPr>
      </w:pPr>
    </w:p>
    <w:p w14:paraId="27067679" w14:textId="77777777" w:rsidR="00413FB6" w:rsidRDefault="00413FB6" w:rsidP="004A5FFD">
      <w:pPr>
        <w:spacing w:line="360" w:lineRule="auto"/>
        <w:jc w:val="center"/>
        <w:rPr>
          <w:b/>
          <w:sz w:val="20"/>
          <w:szCs w:val="20"/>
        </w:rPr>
      </w:pPr>
    </w:p>
    <w:p w14:paraId="2DF83B44" w14:textId="77777777" w:rsidR="00413FB6" w:rsidRDefault="00413FB6" w:rsidP="00413FB6">
      <w:pPr>
        <w:spacing w:line="360" w:lineRule="auto"/>
        <w:rPr>
          <w:b/>
          <w:sz w:val="20"/>
          <w:szCs w:val="20"/>
        </w:rPr>
      </w:pPr>
    </w:p>
    <w:p w14:paraId="1DFA76E4" w14:textId="77777777" w:rsidR="00413FB6" w:rsidRPr="00413FB6" w:rsidRDefault="00413FB6" w:rsidP="00413FB6">
      <w:pPr>
        <w:spacing w:line="360" w:lineRule="auto"/>
        <w:rPr>
          <w:b/>
          <w:sz w:val="8"/>
          <w:szCs w:val="8"/>
        </w:rPr>
      </w:pPr>
    </w:p>
    <w:p w14:paraId="3E47AB12" w14:textId="7E13A47D" w:rsidR="004A5FFD" w:rsidRPr="00D86289" w:rsidRDefault="004A5FFD" w:rsidP="00413FB6">
      <w:pPr>
        <w:spacing w:line="360" w:lineRule="auto"/>
        <w:rPr>
          <w:b/>
          <w:sz w:val="20"/>
          <w:szCs w:val="20"/>
        </w:rPr>
      </w:pPr>
      <w:r w:rsidRPr="00D86289">
        <w:rPr>
          <w:b/>
          <w:sz w:val="20"/>
          <w:szCs w:val="20"/>
        </w:rPr>
        <w:t xml:space="preserve">* Cifras al Cierre del </w:t>
      </w:r>
      <w:r w:rsidR="00A4442A" w:rsidRPr="00D86289">
        <w:rPr>
          <w:b/>
          <w:sz w:val="20"/>
          <w:szCs w:val="20"/>
        </w:rPr>
        <w:t xml:space="preserve">mes de </w:t>
      </w:r>
      <w:r w:rsidR="00E15C97" w:rsidRPr="00D86289">
        <w:rPr>
          <w:b/>
          <w:sz w:val="20"/>
          <w:szCs w:val="20"/>
        </w:rPr>
        <w:t>septiembre</w:t>
      </w:r>
      <w:r w:rsidR="00A4442A" w:rsidRPr="00D86289">
        <w:rPr>
          <w:b/>
          <w:sz w:val="20"/>
          <w:szCs w:val="20"/>
        </w:rPr>
        <w:t xml:space="preserve"> </w:t>
      </w:r>
      <w:r w:rsidR="00B978B3" w:rsidRPr="00D86289">
        <w:rPr>
          <w:b/>
          <w:sz w:val="20"/>
          <w:szCs w:val="20"/>
        </w:rPr>
        <w:t xml:space="preserve">de </w:t>
      </w:r>
      <w:r w:rsidRPr="00D86289">
        <w:rPr>
          <w:b/>
          <w:sz w:val="20"/>
          <w:szCs w:val="20"/>
        </w:rPr>
        <w:t>20</w:t>
      </w:r>
      <w:r w:rsidR="004E5905" w:rsidRPr="00D86289">
        <w:rPr>
          <w:b/>
          <w:sz w:val="20"/>
          <w:szCs w:val="20"/>
        </w:rPr>
        <w:t>2</w:t>
      </w:r>
      <w:r w:rsidR="00413FB6">
        <w:rPr>
          <w:b/>
          <w:sz w:val="20"/>
          <w:szCs w:val="20"/>
        </w:rPr>
        <w:t>2</w:t>
      </w:r>
      <w:r w:rsidR="006F4B7F" w:rsidRPr="00D86289">
        <w:rPr>
          <w:b/>
          <w:sz w:val="20"/>
          <w:szCs w:val="20"/>
        </w:rPr>
        <w:t>.</w:t>
      </w:r>
    </w:p>
    <w:p w14:paraId="47168580" w14:textId="77777777" w:rsidR="00D86289" w:rsidRDefault="00D86289" w:rsidP="002F4EF8">
      <w:pPr>
        <w:spacing w:line="360" w:lineRule="auto"/>
        <w:jc w:val="both"/>
        <w:rPr>
          <w:sz w:val="20"/>
          <w:szCs w:val="20"/>
        </w:rPr>
      </w:pPr>
    </w:p>
    <w:p w14:paraId="532DDDB0" w14:textId="6993E12F" w:rsidR="002F4EF8" w:rsidRPr="00D86289" w:rsidRDefault="00413FB6" w:rsidP="002F4EF8">
      <w:pPr>
        <w:spacing w:line="360" w:lineRule="auto"/>
        <w:jc w:val="both"/>
        <w:rPr>
          <w:sz w:val="20"/>
          <w:szCs w:val="20"/>
        </w:rPr>
      </w:pPr>
      <w:r w:rsidRPr="00413FB6">
        <w:rPr>
          <w:sz w:val="20"/>
          <w:szCs w:val="20"/>
        </w:rPr>
        <w:t>El Gobierno del Estado, tiene como prioridad sanear el Sistema Estatal de Pensiones garantizando la solvencia de la Institución e impulsando el otorgamiento y recuperación de créditos. En los últimos años se han realizado las aportaciones siguientes</w:t>
      </w:r>
      <w:r w:rsidR="002F4EF8" w:rsidRPr="00D86289">
        <w:rPr>
          <w:sz w:val="20"/>
          <w:szCs w:val="20"/>
        </w:rPr>
        <w:t>:</w:t>
      </w:r>
    </w:p>
    <w:tbl>
      <w:tblPr>
        <w:tblW w:w="4064" w:type="dxa"/>
        <w:jc w:val="center"/>
        <w:tblCellMar>
          <w:left w:w="70" w:type="dxa"/>
          <w:right w:w="70" w:type="dxa"/>
        </w:tblCellMar>
        <w:tblLook w:val="04A0" w:firstRow="1" w:lastRow="0" w:firstColumn="1" w:lastColumn="0" w:noHBand="0" w:noVBand="1"/>
      </w:tblPr>
      <w:tblGrid>
        <w:gridCol w:w="1560"/>
        <w:gridCol w:w="2504"/>
      </w:tblGrid>
      <w:tr w:rsidR="00E4753D" w:rsidRPr="00D86289" w14:paraId="7ADBA39B" w14:textId="77777777" w:rsidTr="00010E5A">
        <w:trPr>
          <w:trHeight w:val="746"/>
          <w:jc w:val="center"/>
        </w:trPr>
        <w:tc>
          <w:tcPr>
            <w:tcW w:w="1560" w:type="dxa"/>
            <w:tcBorders>
              <w:top w:val="single" w:sz="4" w:space="0" w:color="auto"/>
              <w:left w:val="single" w:sz="4" w:space="0" w:color="auto"/>
              <w:bottom w:val="single" w:sz="4" w:space="0" w:color="auto"/>
              <w:right w:val="single" w:sz="4" w:space="0" w:color="auto"/>
            </w:tcBorders>
            <w:shd w:val="clear" w:color="auto" w:fill="A8D08D" w:themeFill="accent6" w:themeFillTint="99"/>
            <w:noWrap/>
            <w:vAlign w:val="center"/>
            <w:hideMark/>
          </w:tcPr>
          <w:p w14:paraId="14F53706" w14:textId="77777777" w:rsidR="00E4753D" w:rsidRPr="00D86289" w:rsidRDefault="00E4753D" w:rsidP="009407AB">
            <w:pPr>
              <w:spacing w:line="360" w:lineRule="auto"/>
              <w:jc w:val="center"/>
              <w:rPr>
                <w:b/>
                <w:bCs/>
                <w:color w:val="000000"/>
                <w:sz w:val="20"/>
                <w:szCs w:val="20"/>
                <w:lang w:eastAsia="es-MX"/>
              </w:rPr>
            </w:pPr>
            <w:r w:rsidRPr="00D86289">
              <w:rPr>
                <w:b/>
                <w:bCs/>
                <w:color w:val="000000"/>
                <w:sz w:val="20"/>
                <w:szCs w:val="20"/>
                <w:lang w:eastAsia="es-MX"/>
              </w:rPr>
              <w:t>AÑO</w:t>
            </w:r>
          </w:p>
        </w:tc>
        <w:tc>
          <w:tcPr>
            <w:tcW w:w="2504" w:type="dxa"/>
            <w:tcBorders>
              <w:top w:val="single" w:sz="4" w:space="0" w:color="auto"/>
              <w:left w:val="nil"/>
              <w:bottom w:val="single" w:sz="4" w:space="0" w:color="auto"/>
              <w:right w:val="single" w:sz="4" w:space="0" w:color="auto"/>
            </w:tcBorders>
            <w:shd w:val="clear" w:color="auto" w:fill="A8D08D" w:themeFill="accent6" w:themeFillTint="99"/>
            <w:vAlign w:val="center"/>
            <w:hideMark/>
          </w:tcPr>
          <w:p w14:paraId="1E4C9422" w14:textId="77777777" w:rsidR="00E4753D" w:rsidRPr="00D86289" w:rsidRDefault="00E4753D" w:rsidP="009407AB">
            <w:pPr>
              <w:spacing w:line="360" w:lineRule="auto"/>
              <w:jc w:val="center"/>
              <w:rPr>
                <w:b/>
                <w:bCs/>
                <w:color w:val="000000"/>
                <w:sz w:val="20"/>
                <w:szCs w:val="20"/>
                <w:lang w:eastAsia="es-MX"/>
              </w:rPr>
            </w:pPr>
            <w:r w:rsidRPr="00D86289">
              <w:rPr>
                <w:b/>
                <w:bCs/>
                <w:color w:val="000000"/>
                <w:sz w:val="20"/>
                <w:szCs w:val="20"/>
                <w:lang w:eastAsia="es-MX"/>
              </w:rPr>
              <w:t>FONDO DE CRÉDITOS (MDP)</w:t>
            </w:r>
          </w:p>
        </w:tc>
      </w:tr>
      <w:tr w:rsidR="00E4753D" w:rsidRPr="00D86289" w14:paraId="27492004" w14:textId="77777777" w:rsidTr="009407AB">
        <w:trPr>
          <w:trHeight w:val="474"/>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720678B" w14:textId="77777777" w:rsidR="00E4753D" w:rsidRPr="00D86289" w:rsidRDefault="00E4753D" w:rsidP="009407AB">
            <w:pPr>
              <w:spacing w:line="360" w:lineRule="auto"/>
              <w:rPr>
                <w:b/>
                <w:bCs/>
                <w:color w:val="000000"/>
                <w:sz w:val="20"/>
                <w:szCs w:val="20"/>
                <w:lang w:eastAsia="es-MX"/>
              </w:rPr>
            </w:pPr>
            <w:r w:rsidRPr="00D86289">
              <w:rPr>
                <w:b/>
                <w:bCs/>
                <w:color w:val="000000"/>
                <w:sz w:val="20"/>
                <w:szCs w:val="20"/>
                <w:lang w:eastAsia="es-MX"/>
              </w:rPr>
              <w:t>Ejercicio 2013</w:t>
            </w:r>
          </w:p>
        </w:tc>
        <w:tc>
          <w:tcPr>
            <w:tcW w:w="2504" w:type="dxa"/>
            <w:tcBorders>
              <w:top w:val="nil"/>
              <w:left w:val="nil"/>
              <w:bottom w:val="single" w:sz="4" w:space="0" w:color="auto"/>
              <w:right w:val="single" w:sz="4" w:space="0" w:color="auto"/>
            </w:tcBorders>
            <w:shd w:val="clear" w:color="auto" w:fill="auto"/>
            <w:noWrap/>
            <w:vAlign w:val="center"/>
            <w:hideMark/>
          </w:tcPr>
          <w:p w14:paraId="1131319D" w14:textId="77777777" w:rsidR="00E4753D" w:rsidRPr="00D86289" w:rsidRDefault="00E4753D" w:rsidP="009407AB">
            <w:pPr>
              <w:spacing w:line="360" w:lineRule="auto"/>
              <w:jc w:val="right"/>
              <w:rPr>
                <w:color w:val="000000"/>
                <w:sz w:val="20"/>
                <w:szCs w:val="20"/>
                <w:lang w:eastAsia="es-MX"/>
              </w:rPr>
            </w:pPr>
            <w:r w:rsidRPr="00D86289">
              <w:rPr>
                <w:color w:val="000000"/>
                <w:sz w:val="20"/>
                <w:szCs w:val="20"/>
                <w:lang w:eastAsia="es-MX"/>
              </w:rPr>
              <w:t>70.0</w:t>
            </w:r>
          </w:p>
        </w:tc>
      </w:tr>
      <w:tr w:rsidR="00E4753D" w:rsidRPr="00D86289" w14:paraId="33EC2B77" w14:textId="77777777" w:rsidTr="009407AB">
        <w:trPr>
          <w:trHeight w:val="510"/>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B5DF3F9" w14:textId="77777777" w:rsidR="00E4753D" w:rsidRPr="00D86289" w:rsidRDefault="00E4753D" w:rsidP="009407AB">
            <w:pPr>
              <w:spacing w:line="360" w:lineRule="auto"/>
              <w:rPr>
                <w:b/>
                <w:bCs/>
                <w:color w:val="000000"/>
                <w:sz w:val="20"/>
                <w:szCs w:val="20"/>
                <w:lang w:eastAsia="es-MX"/>
              </w:rPr>
            </w:pPr>
            <w:r w:rsidRPr="00D86289">
              <w:rPr>
                <w:b/>
                <w:bCs/>
                <w:color w:val="000000"/>
                <w:sz w:val="20"/>
                <w:szCs w:val="20"/>
                <w:lang w:eastAsia="es-MX"/>
              </w:rPr>
              <w:t>Ejercicio 2014</w:t>
            </w:r>
          </w:p>
        </w:tc>
        <w:tc>
          <w:tcPr>
            <w:tcW w:w="2504" w:type="dxa"/>
            <w:tcBorders>
              <w:top w:val="nil"/>
              <w:left w:val="nil"/>
              <w:bottom w:val="single" w:sz="4" w:space="0" w:color="auto"/>
              <w:right w:val="single" w:sz="4" w:space="0" w:color="auto"/>
            </w:tcBorders>
            <w:shd w:val="clear" w:color="auto" w:fill="auto"/>
            <w:noWrap/>
            <w:vAlign w:val="center"/>
            <w:hideMark/>
          </w:tcPr>
          <w:p w14:paraId="1E656BFB" w14:textId="77777777" w:rsidR="00E4753D" w:rsidRPr="00D86289" w:rsidRDefault="00E4753D" w:rsidP="009407AB">
            <w:pPr>
              <w:spacing w:line="360" w:lineRule="auto"/>
              <w:jc w:val="right"/>
              <w:rPr>
                <w:color w:val="000000"/>
                <w:sz w:val="20"/>
                <w:szCs w:val="20"/>
                <w:lang w:eastAsia="es-MX"/>
              </w:rPr>
            </w:pPr>
            <w:r w:rsidRPr="00D86289">
              <w:rPr>
                <w:color w:val="000000"/>
                <w:sz w:val="20"/>
                <w:szCs w:val="20"/>
                <w:lang w:eastAsia="es-MX"/>
              </w:rPr>
              <w:t>21.0</w:t>
            </w:r>
          </w:p>
        </w:tc>
      </w:tr>
      <w:tr w:rsidR="00E4753D" w:rsidRPr="00D86289" w14:paraId="5A9FA68B"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64C3F50" w14:textId="79BB4523" w:rsidR="00E4753D" w:rsidRPr="00D86289" w:rsidRDefault="00E4753D" w:rsidP="00491CE4">
            <w:pPr>
              <w:spacing w:line="360" w:lineRule="auto"/>
              <w:rPr>
                <w:b/>
                <w:bCs/>
                <w:color w:val="000000"/>
                <w:sz w:val="20"/>
                <w:szCs w:val="20"/>
                <w:lang w:eastAsia="es-MX"/>
              </w:rPr>
            </w:pPr>
            <w:r w:rsidRPr="00D86289">
              <w:rPr>
                <w:b/>
                <w:bCs/>
                <w:color w:val="000000"/>
                <w:sz w:val="20"/>
                <w:szCs w:val="20"/>
                <w:lang w:eastAsia="es-MX"/>
              </w:rPr>
              <w:t>Ejercicio 2016</w:t>
            </w:r>
          </w:p>
        </w:tc>
        <w:tc>
          <w:tcPr>
            <w:tcW w:w="2504" w:type="dxa"/>
            <w:tcBorders>
              <w:top w:val="nil"/>
              <w:left w:val="nil"/>
              <w:bottom w:val="single" w:sz="4" w:space="0" w:color="auto"/>
              <w:right w:val="single" w:sz="4" w:space="0" w:color="auto"/>
            </w:tcBorders>
            <w:shd w:val="clear" w:color="auto" w:fill="auto"/>
            <w:noWrap/>
            <w:vAlign w:val="center"/>
            <w:hideMark/>
          </w:tcPr>
          <w:p w14:paraId="362593B0" w14:textId="77777777" w:rsidR="00E4753D" w:rsidRPr="00D86289" w:rsidRDefault="00E4753D" w:rsidP="009407AB">
            <w:pPr>
              <w:spacing w:line="360" w:lineRule="auto"/>
              <w:jc w:val="right"/>
              <w:rPr>
                <w:bCs/>
                <w:color w:val="000000"/>
                <w:sz w:val="20"/>
                <w:szCs w:val="20"/>
                <w:lang w:eastAsia="es-MX"/>
              </w:rPr>
            </w:pPr>
            <w:r w:rsidRPr="00D86289">
              <w:rPr>
                <w:bCs/>
                <w:color w:val="000000"/>
                <w:sz w:val="20"/>
                <w:szCs w:val="20"/>
                <w:lang w:eastAsia="es-MX"/>
              </w:rPr>
              <w:t>59.0</w:t>
            </w:r>
          </w:p>
        </w:tc>
      </w:tr>
      <w:tr w:rsidR="00491CE4" w:rsidRPr="00D86289" w14:paraId="06F22635"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5E5F189B" w14:textId="75A7A90E" w:rsidR="00491CE4" w:rsidRPr="00D86289" w:rsidRDefault="00491CE4" w:rsidP="00413FB6">
            <w:pPr>
              <w:spacing w:line="360" w:lineRule="auto"/>
              <w:rPr>
                <w:b/>
                <w:bCs/>
                <w:color w:val="000000"/>
                <w:sz w:val="20"/>
                <w:szCs w:val="20"/>
                <w:lang w:eastAsia="es-MX"/>
              </w:rPr>
            </w:pPr>
            <w:r w:rsidRPr="00D86289">
              <w:rPr>
                <w:b/>
                <w:bCs/>
                <w:color w:val="000000"/>
                <w:sz w:val="20"/>
                <w:szCs w:val="20"/>
                <w:lang w:eastAsia="es-MX"/>
              </w:rPr>
              <w:t>Ejercicio 2017</w:t>
            </w:r>
          </w:p>
        </w:tc>
        <w:tc>
          <w:tcPr>
            <w:tcW w:w="2504" w:type="dxa"/>
            <w:tcBorders>
              <w:top w:val="nil"/>
              <w:left w:val="nil"/>
              <w:bottom w:val="single" w:sz="4" w:space="0" w:color="auto"/>
              <w:right w:val="single" w:sz="4" w:space="0" w:color="auto"/>
            </w:tcBorders>
            <w:shd w:val="clear" w:color="auto" w:fill="auto"/>
            <w:noWrap/>
            <w:vAlign w:val="center"/>
          </w:tcPr>
          <w:p w14:paraId="013FC841" w14:textId="076DA9AB" w:rsidR="00491CE4" w:rsidRPr="00D86289" w:rsidRDefault="00491CE4" w:rsidP="00E4753D">
            <w:pPr>
              <w:spacing w:line="360" w:lineRule="auto"/>
              <w:jc w:val="right"/>
              <w:rPr>
                <w:bCs/>
                <w:color w:val="000000"/>
                <w:sz w:val="20"/>
                <w:szCs w:val="20"/>
                <w:lang w:eastAsia="es-MX"/>
              </w:rPr>
            </w:pPr>
            <w:r w:rsidRPr="00D86289">
              <w:rPr>
                <w:bCs/>
                <w:color w:val="000000"/>
                <w:sz w:val="20"/>
                <w:szCs w:val="20"/>
                <w:lang w:eastAsia="es-MX"/>
              </w:rPr>
              <w:t>0.0</w:t>
            </w:r>
          </w:p>
        </w:tc>
      </w:tr>
      <w:tr w:rsidR="00B949DC" w:rsidRPr="00D86289" w14:paraId="5E1F1360"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143680C6" w14:textId="5976EC32" w:rsidR="00B949DC" w:rsidRPr="00D86289" w:rsidRDefault="005E73F9" w:rsidP="00413FB6">
            <w:pPr>
              <w:spacing w:line="360" w:lineRule="auto"/>
              <w:rPr>
                <w:b/>
                <w:bCs/>
                <w:color w:val="000000"/>
                <w:sz w:val="20"/>
                <w:szCs w:val="20"/>
                <w:lang w:eastAsia="es-MX"/>
              </w:rPr>
            </w:pPr>
            <w:r w:rsidRPr="00D86289">
              <w:rPr>
                <w:b/>
                <w:bCs/>
                <w:color w:val="000000"/>
                <w:sz w:val="20"/>
                <w:szCs w:val="20"/>
                <w:lang w:eastAsia="es-MX"/>
              </w:rPr>
              <w:t>Ejercicio 2018</w:t>
            </w:r>
          </w:p>
        </w:tc>
        <w:tc>
          <w:tcPr>
            <w:tcW w:w="2504" w:type="dxa"/>
            <w:tcBorders>
              <w:top w:val="nil"/>
              <w:left w:val="nil"/>
              <w:bottom w:val="single" w:sz="4" w:space="0" w:color="auto"/>
              <w:right w:val="single" w:sz="4" w:space="0" w:color="auto"/>
            </w:tcBorders>
            <w:shd w:val="clear" w:color="auto" w:fill="auto"/>
            <w:noWrap/>
            <w:vAlign w:val="center"/>
          </w:tcPr>
          <w:p w14:paraId="09F6DA3D" w14:textId="02B4C97D" w:rsidR="00B949DC" w:rsidRPr="00D86289" w:rsidRDefault="005E73F9" w:rsidP="00E4753D">
            <w:pPr>
              <w:spacing w:line="360" w:lineRule="auto"/>
              <w:jc w:val="right"/>
              <w:rPr>
                <w:bCs/>
                <w:color w:val="000000"/>
                <w:sz w:val="20"/>
                <w:szCs w:val="20"/>
                <w:lang w:eastAsia="es-MX"/>
              </w:rPr>
            </w:pPr>
            <w:r w:rsidRPr="00D86289">
              <w:rPr>
                <w:bCs/>
                <w:color w:val="000000"/>
                <w:sz w:val="20"/>
                <w:szCs w:val="20"/>
                <w:lang w:eastAsia="es-MX"/>
              </w:rPr>
              <w:t>0.0</w:t>
            </w:r>
          </w:p>
        </w:tc>
      </w:tr>
      <w:tr w:rsidR="003F310A" w:rsidRPr="00D86289" w14:paraId="4B20C14A"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2D0C4F19" w14:textId="39F53DE8" w:rsidR="003F310A" w:rsidRPr="00D86289" w:rsidRDefault="003F310A" w:rsidP="00413FB6">
            <w:pPr>
              <w:spacing w:line="360" w:lineRule="auto"/>
              <w:rPr>
                <w:b/>
                <w:bCs/>
                <w:color w:val="000000"/>
                <w:sz w:val="20"/>
                <w:szCs w:val="20"/>
                <w:lang w:eastAsia="es-MX"/>
              </w:rPr>
            </w:pPr>
            <w:r w:rsidRPr="00D86289">
              <w:rPr>
                <w:b/>
                <w:bCs/>
                <w:color w:val="000000"/>
                <w:sz w:val="20"/>
                <w:szCs w:val="20"/>
                <w:lang w:eastAsia="es-MX"/>
              </w:rPr>
              <w:t>Ejercicio 2019</w:t>
            </w:r>
          </w:p>
        </w:tc>
        <w:tc>
          <w:tcPr>
            <w:tcW w:w="2504" w:type="dxa"/>
            <w:tcBorders>
              <w:top w:val="nil"/>
              <w:left w:val="nil"/>
              <w:bottom w:val="single" w:sz="4" w:space="0" w:color="auto"/>
              <w:right w:val="single" w:sz="4" w:space="0" w:color="auto"/>
            </w:tcBorders>
            <w:shd w:val="clear" w:color="auto" w:fill="auto"/>
            <w:noWrap/>
            <w:vAlign w:val="center"/>
          </w:tcPr>
          <w:p w14:paraId="4C4340FB" w14:textId="433CE87A" w:rsidR="003F310A" w:rsidRPr="00D86289" w:rsidRDefault="003F310A" w:rsidP="00E4753D">
            <w:pPr>
              <w:spacing w:line="360" w:lineRule="auto"/>
              <w:jc w:val="right"/>
              <w:rPr>
                <w:bCs/>
                <w:color w:val="000000"/>
                <w:sz w:val="20"/>
                <w:szCs w:val="20"/>
                <w:lang w:eastAsia="es-MX"/>
              </w:rPr>
            </w:pPr>
            <w:r w:rsidRPr="00D86289">
              <w:rPr>
                <w:bCs/>
                <w:color w:val="000000"/>
                <w:sz w:val="20"/>
                <w:szCs w:val="20"/>
                <w:lang w:eastAsia="es-MX"/>
              </w:rPr>
              <w:t>0.0</w:t>
            </w:r>
          </w:p>
        </w:tc>
      </w:tr>
      <w:tr w:rsidR="008C37F3" w:rsidRPr="00D86289" w14:paraId="673253B7"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49755E47" w14:textId="794C9AD3" w:rsidR="008C37F3" w:rsidRPr="00D86289" w:rsidRDefault="008C37F3" w:rsidP="00413FB6">
            <w:pPr>
              <w:spacing w:line="360" w:lineRule="auto"/>
              <w:rPr>
                <w:b/>
                <w:bCs/>
                <w:color w:val="000000"/>
                <w:sz w:val="20"/>
                <w:szCs w:val="20"/>
                <w:lang w:eastAsia="es-MX"/>
              </w:rPr>
            </w:pPr>
            <w:r w:rsidRPr="00D86289">
              <w:rPr>
                <w:b/>
                <w:bCs/>
                <w:color w:val="000000"/>
                <w:sz w:val="20"/>
                <w:szCs w:val="20"/>
                <w:lang w:eastAsia="es-MX"/>
              </w:rPr>
              <w:t>Ejercicio 2020</w:t>
            </w:r>
          </w:p>
        </w:tc>
        <w:tc>
          <w:tcPr>
            <w:tcW w:w="2504" w:type="dxa"/>
            <w:tcBorders>
              <w:top w:val="nil"/>
              <w:left w:val="nil"/>
              <w:bottom w:val="single" w:sz="4" w:space="0" w:color="auto"/>
              <w:right w:val="single" w:sz="4" w:space="0" w:color="auto"/>
            </w:tcBorders>
            <w:shd w:val="clear" w:color="auto" w:fill="auto"/>
            <w:noWrap/>
            <w:vAlign w:val="center"/>
          </w:tcPr>
          <w:p w14:paraId="36AEB3BE" w14:textId="301647FA" w:rsidR="008C37F3" w:rsidRPr="00D86289" w:rsidRDefault="008C37F3" w:rsidP="00E4753D">
            <w:pPr>
              <w:spacing w:line="360" w:lineRule="auto"/>
              <w:jc w:val="right"/>
              <w:rPr>
                <w:bCs/>
                <w:color w:val="000000"/>
                <w:sz w:val="20"/>
                <w:szCs w:val="20"/>
                <w:lang w:eastAsia="es-MX"/>
              </w:rPr>
            </w:pPr>
            <w:r w:rsidRPr="00D86289">
              <w:rPr>
                <w:bCs/>
                <w:color w:val="000000"/>
                <w:sz w:val="20"/>
                <w:szCs w:val="20"/>
                <w:lang w:eastAsia="es-MX"/>
              </w:rPr>
              <w:t>0.0</w:t>
            </w:r>
          </w:p>
        </w:tc>
      </w:tr>
      <w:tr w:rsidR="00413FB6" w:rsidRPr="00D86289" w14:paraId="11C21EE1"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0836410B" w14:textId="04C2015E" w:rsidR="00413FB6" w:rsidRPr="00D86289" w:rsidRDefault="00413FB6" w:rsidP="00413FB6">
            <w:pPr>
              <w:spacing w:line="360" w:lineRule="auto"/>
              <w:rPr>
                <w:b/>
                <w:bCs/>
                <w:color w:val="000000"/>
                <w:sz w:val="20"/>
                <w:szCs w:val="20"/>
                <w:lang w:eastAsia="es-MX"/>
              </w:rPr>
            </w:pPr>
            <w:r>
              <w:rPr>
                <w:b/>
                <w:bCs/>
                <w:color w:val="000000"/>
                <w:sz w:val="20"/>
                <w:szCs w:val="20"/>
                <w:lang w:eastAsia="es-MX"/>
              </w:rPr>
              <w:t>Ejercicio 2021</w:t>
            </w:r>
          </w:p>
        </w:tc>
        <w:tc>
          <w:tcPr>
            <w:tcW w:w="2504" w:type="dxa"/>
            <w:tcBorders>
              <w:top w:val="nil"/>
              <w:left w:val="nil"/>
              <w:bottom w:val="single" w:sz="4" w:space="0" w:color="auto"/>
              <w:right w:val="single" w:sz="4" w:space="0" w:color="auto"/>
            </w:tcBorders>
            <w:shd w:val="clear" w:color="auto" w:fill="auto"/>
            <w:noWrap/>
            <w:vAlign w:val="center"/>
          </w:tcPr>
          <w:p w14:paraId="246A0157" w14:textId="21BB32FD" w:rsidR="00413FB6" w:rsidRPr="00D86289" w:rsidRDefault="00413FB6" w:rsidP="00E4753D">
            <w:pPr>
              <w:spacing w:line="360" w:lineRule="auto"/>
              <w:jc w:val="right"/>
              <w:rPr>
                <w:bCs/>
                <w:color w:val="000000"/>
                <w:sz w:val="20"/>
                <w:szCs w:val="20"/>
                <w:lang w:eastAsia="es-MX"/>
              </w:rPr>
            </w:pPr>
            <w:r>
              <w:rPr>
                <w:bCs/>
                <w:color w:val="000000"/>
                <w:sz w:val="20"/>
                <w:szCs w:val="20"/>
                <w:lang w:eastAsia="es-MX"/>
              </w:rPr>
              <w:t>0.0</w:t>
            </w:r>
          </w:p>
        </w:tc>
      </w:tr>
      <w:tr w:rsidR="00645D6C" w:rsidRPr="00D86289" w14:paraId="1CF387D2"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tcPr>
          <w:p w14:paraId="26743F0C" w14:textId="60540735" w:rsidR="00645D6C" w:rsidRPr="00D86289" w:rsidRDefault="00413FB6" w:rsidP="00413FB6">
            <w:pPr>
              <w:spacing w:line="360" w:lineRule="auto"/>
              <w:rPr>
                <w:b/>
                <w:bCs/>
                <w:color w:val="000000"/>
                <w:sz w:val="20"/>
                <w:szCs w:val="20"/>
                <w:lang w:eastAsia="es-MX"/>
              </w:rPr>
            </w:pPr>
            <w:r>
              <w:rPr>
                <w:b/>
                <w:bCs/>
                <w:color w:val="000000"/>
                <w:sz w:val="20"/>
                <w:szCs w:val="20"/>
                <w:lang w:eastAsia="es-MX"/>
              </w:rPr>
              <w:t>*</w:t>
            </w:r>
            <w:r w:rsidR="00645D6C" w:rsidRPr="00D86289">
              <w:rPr>
                <w:b/>
                <w:bCs/>
                <w:color w:val="000000"/>
                <w:sz w:val="20"/>
                <w:szCs w:val="20"/>
                <w:lang w:eastAsia="es-MX"/>
              </w:rPr>
              <w:t>Ejercicio 202</w:t>
            </w:r>
            <w:r>
              <w:rPr>
                <w:b/>
                <w:bCs/>
                <w:color w:val="000000"/>
                <w:sz w:val="20"/>
                <w:szCs w:val="20"/>
                <w:lang w:eastAsia="es-MX"/>
              </w:rPr>
              <w:t>2</w:t>
            </w:r>
          </w:p>
        </w:tc>
        <w:tc>
          <w:tcPr>
            <w:tcW w:w="2504" w:type="dxa"/>
            <w:tcBorders>
              <w:top w:val="nil"/>
              <w:left w:val="nil"/>
              <w:bottom w:val="single" w:sz="4" w:space="0" w:color="auto"/>
              <w:right w:val="single" w:sz="4" w:space="0" w:color="auto"/>
            </w:tcBorders>
            <w:shd w:val="clear" w:color="auto" w:fill="auto"/>
            <w:noWrap/>
            <w:vAlign w:val="center"/>
          </w:tcPr>
          <w:p w14:paraId="54A36F59" w14:textId="563872AA" w:rsidR="00645D6C" w:rsidRPr="00D86289" w:rsidRDefault="00645D6C" w:rsidP="00E4753D">
            <w:pPr>
              <w:spacing w:line="360" w:lineRule="auto"/>
              <w:jc w:val="right"/>
              <w:rPr>
                <w:bCs/>
                <w:color w:val="000000"/>
                <w:sz w:val="20"/>
                <w:szCs w:val="20"/>
                <w:lang w:eastAsia="es-MX"/>
              </w:rPr>
            </w:pPr>
            <w:r w:rsidRPr="00D86289">
              <w:rPr>
                <w:bCs/>
                <w:color w:val="000000"/>
                <w:sz w:val="20"/>
                <w:szCs w:val="20"/>
                <w:lang w:eastAsia="es-MX"/>
              </w:rPr>
              <w:t>0.0</w:t>
            </w:r>
          </w:p>
        </w:tc>
      </w:tr>
      <w:tr w:rsidR="00E4753D" w:rsidRPr="00D86289" w14:paraId="26DFF71A" w14:textId="77777777" w:rsidTr="009407AB">
        <w:trPr>
          <w:trHeight w:val="53"/>
          <w:jc w:val="center"/>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9C51A02" w14:textId="77777777" w:rsidR="00E4753D" w:rsidRPr="00D86289" w:rsidRDefault="00E4753D" w:rsidP="009407AB">
            <w:pPr>
              <w:spacing w:line="360" w:lineRule="auto"/>
              <w:jc w:val="center"/>
              <w:rPr>
                <w:b/>
                <w:bCs/>
                <w:color w:val="000000"/>
                <w:sz w:val="20"/>
                <w:szCs w:val="20"/>
                <w:lang w:eastAsia="es-MX"/>
              </w:rPr>
            </w:pPr>
            <w:r w:rsidRPr="00D86289">
              <w:rPr>
                <w:b/>
                <w:bCs/>
                <w:color w:val="000000"/>
                <w:sz w:val="20"/>
                <w:szCs w:val="20"/>
                <w:lang w:eastAsia="es-MX"/>
              </w:rPr>
              <w:t>SUMA</w:t>
            </w:r>
          </w:p>
        </w:tc>
        <w:tc>
          <w:tcPr>
            <w:tcW w:w="2504" w:type="dxa"/>
            <w:tcBorders>
              <w:top w:val="nil"/>
              <w:left w:val="nil"/>
              <w:bottom w:val="single" w:sz="4" w:space="0" w:color="auto"/>
              <w:right w:val="single" w:sz="4" w:space="0" w:color="auto"/>
            </w:tcBorders>
            <w:shd w:val="clear" w:color="auto" w:fill="auto"/>
            <w:noWrap/>
            <w:vAlign w:val="center"/>
            <w:hideMark/>
          </w:tcPr>
          <w:p w14:paraId="59838DB3" w14:textId="77777777" w:rsidR="00E4753D" w:rsidRPr="00D86289" w:rsidRDefault="00E4753D" w:rsidP="00E4753D">
            <w:pPr>
              <w:spacing w:line="360" w:lineRule="auto"/>
              <w:jc w:val="right"/>
              <w:rPr>
                <w:b/>
                <w:bCs/>
                <w:color w:val="000000"/>
                <w:sz w:val="20"/>
                <w:szCs w:val="20"/>
                <w:lang w:eastAsia="es-MX"/>
              </w:rPr>
            </w:pPr>
            <w:r w:rsidRPr="00D86289">
              <w:rPr>
                <w:b/>
                <w:bCs/>
                <w:color w:val="000000"/>
                <w:sz w:val="20"/>
                <w:szCs w:val="20"/>
                <w:lang w:eastAsia="es-MX"/>
              </w:rPr>
              <w:t>150.0</w:t>
            </w:r>
          </w:p>
        </w:tc>
      </w:tr>
    </w:tbl>
    <w:p w14:paraId="4D3E99B5" w14:textId="6F6E1FA6" w:rsidR="001431C4" w:rsidRPr="00D86289" w:rsidRDefault="001431C4" w:rsidP="001431C4">
      <w:pPr>
        <w:spacing w:line="360" w:lineRule="auto"/>
        <w:jc w:val="center"/>
        <w:rPr>
          <w:b/>
          <w:sz w:val="20"/>
          <w:szCs w:val="20"/>
        </w:rPr>
      </w:pPr>
      <w:r w:rsidRPr="00D86289">
        <w:rPr>
          <w:b/>
          <w:sz w:val="20"/>
          <w:szCs w:val="20"/>
        </w:rPr>
        <w:t xml:space="preserve">* Cifras al Cierre del mes de </w:t>
      </w:r>
      <w:r w:rsidR="00246656" w:rsidRPr="00D86289">
        <w:rPr>
          <w:b/>
          <w:sz w:val="20"/>
          <w:szCs w:val="20"/>
        </w:rPr>
        <w:t>septiem</w:t>
      </w:r>
      <w:r w:rsidR="00937A59" w:rsidRPr="00D86289">
        <w:rPr>
          <w:b/>
          <w:sz w:val="20"/>
          <w:szCs w:val="20"/>
        </w:rPr>
        <w:t>bre</w:t>
      </w:r>
      <w:r w:rsidRPr="00D86289">
        <w:rPr>
          <w:b/>
          <w:sz w:val="20"/>
          <w:szCs w:val="20"/>
        </w:rPr>
        <w:t xml:space="preserve"> de 20</w:t>
      </w:r>
      <w:r w:rsidR="008C37F3" w:rsidRPr="00D86289">
        <w:rPr>
          <w:b/>
          <w:sz w:val="20"/>
          <w:szCs w:val="20"/>
        </w:rPr>
        <w:t>2</w:t>
      </w:r>
      <w:r w:rsidR="00413FB6">
        <w:rPr>
          <w:b/>
          <w:sz w:val="20"/>
          <w:szCs w:val="20"/>
        </w:rPr>
        <w:t>2</w:t>
      </w:r>
      <w:r w:rsidRPr="00D86289">
        <w:rPr>
          <w:b/>
          <w:sz w:val="20"/>
          <w:szCs w:val="20"/>
        </w:rPr>
        <w:t>.</w:t>
      </w:r>
    </w:p>
    <w:p w14:paraId="5B3C6A3A" w14:textId="77777777" w:rsidR="009B3CF6" w:rsidRPr="00D86289" w:rsidRDefault="009B3CF6" w:rsidP="001431C4">
      <w:pPr>
        <w:spacing w:line="360" w:lineRule="auto"/>
        <w:jc w:val="center"/>
        <w:rPr>
          <w:b/>
          <w:sz w:val="20"/>
          <w:szCs w:val="20"/>
        </w:rPr>
      </w:pPr>
    </w:p>
    <w:p w14:paraId="1A703987" w14:textId="2AA7BC5B" w:rsidR="006A0440" w:rsidRDefault="00413FB6" w:rsidP="00645D6C">
      <w:pPr>
        <w:spacing w:line="360" w:lineRule="auto"/>
        <w:jc w:val="center"/>
        <w:rPr>
          <w:rFonts w:ascii="Arial" w:hAnsi="Arial" w:cs="Arial"/>
          <w:b/>
        </w:rPr>
      </w:pPr>
      <w:r>
        <w:rPr>
          <w:rFonts w:ascii="Arial" w:hAnsi="Arial" w:cs="Arial"/>
          <w:b/>
          <w:noProof/>
          <w:lang w:val="es-MX" w:eastAsia="es-MX"/>
        </w:rPr>
        <w:drawing>
          <wp:inline distT="0" distB="0" distL="0" distR="0" wp14:anchorId="7FF1C333" wp14:editId="66DA85B5">
            <wp:extent cx="3743325" cy="2381816"/>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317"/>
                    <a:stretch/>
                  </pic:blipFill>
                  <pic:spPr bwMode="auto">
                    <a:xfrm>
                      <a:off x="0" y="0"/>
                      <a:ext cx="3772522" cy="2400393"/>
                    </a:xfrm>
                    <a:prstGeom prst="rect">
                      <a:avLst/>
                    </a:prstGeom>
                    <a:noFill/>
                    <a:ln>
                      <a:noFill/>
                    </a:ln>
                    <a:extLst>
                      <a:ext uri="{53640926-AAD7-44D8-BBD7-CCE9431645EC}">
                        <a14:shadowObscured xmlns:a14="http://schemas.microsoft.com/office/drawing/2010/main"/>
                      </a:ext>
                    </a:extLst>
                  </pic:spPr>
                </pic:pic>
              </a:graphicData>
            </a:graphic>
          </wp:inline>
        </w:drawing>
      </w:r>
    </w:p>
    <w:p w14:paraId="0F4D677F" w14:textId="56BDD4B6" w:rsidR="00D86289" w:rsidRDefault="00D86289" w:rsidP="00D86289">
      <w:pPr>
        <w:spacing w:line="360" w:lineRule="auto"/>
        <w:jc w:val="both"/>
        <w:rPr>
          <w:rFonts w:ascii="Arial" w:hAnsi="Arial" w:cs="Arial"/>
          <w:b/>
        </w:rPr>
      </w:pPr>
    </w:p>
    <w:p w14:paraId="123A1109" w14:textId="24BA048D" w:rsidR="007F2448" w:rsidRPr="00D86289" w:rsidRDefault="007F2448" w:rsidP="007F2448">
      <w:pPr>
        <w:pStyle w:val="Prrafodelista"/>
        <w:numPr>
          <w:ilvl w:val="0"/>
          <w:numId w:val="8"/>
        </w:numPr>
        <w:spacing w:line="360" w:lineRule="auto"/>
        <w:ind w:left="709"/>
        <w:jc w:val="both"/>
        <w:rPr>
          <w:b/>
          <w:sz w:val="20"/>
          <w:szCs w:val="20"/>
        </w:rPr>
      </w:pPr>
      <w:r w:rsidRPr="00D86289">
        <w:rPr>
          <w:b/>
          <w:sz w:val="20"/>
          <w:szCs w:val="20"/>
        </w:rPr>
        <w:t>CONCLUSIÓN</w:t>
      </w:r>
    </w:p>
    <w:p w14:paraId="58AC37A5" w14:textId="77777777" w:rsidR="007F2448" w:rsidRPr="00D86289" w:rsidRDefault="007F2448" w:rsidP="007F2448">
      <w:pPr>
        <w:spacing w:line="360" w:lineRule="auto"/>
        <w:ind w:left="-11"/>
        <w:jc w:val="both"/>
        <w:rPr>
          <w:sz w:val="20"/>
          <w:szCs w:val="20"/>
        </w:rPr>
      </w:pPr>
    </w:p>
    <w:p w14:paraId="69421843" w14:textId="77777777" w:rsidR="00C80BF3" w:rsidRPr="00C80BF3" w:rsidRDefault="00C80BF3" w:rsidP="00C80BF3">
      <w:pPr>
        <w:spacing w:line="360" w:lineRule="auto"/>
        <w:ind w:left="-11"/>
        <w:jc w:val="both"/>
        <w:rPr>
          <w:sz w:val="20"/>
          <w:szCs w:val="20"/>
        </w:rPr>
      </w:pPr>
      <w:r w:rsidRPr="00C80BF3">
        <w:rPr>
          <w:sz w:val="20"/>
          <w:szCs w:val="20"/>
        </w:rPr>
        <w:t>El programa económico contenido en el Paquete Económico Federal 2023 asegura la continuidad de una transformación cuyo eje central es el bienestar de las personas. Los logros en materia de recaudación, eficiencia en el gasto y equidad han sentado las bases para un desarrollo económico incluyente con estabilidad macroeconómica y gobernabilidad, lo cual refrenda el objetivo del Plan Nacional de Desarrollo (PND) 2019-2024 de lograr un entorno de seguridad y bienestar general para toda la población en México.</w:t>
      </w:r>
    </w:p>
    <w:p w14:paraId="27A9AC84" w14:textId="77777777" w:rsidR="00C80BF3" w:rsidRPr="00C80BF3" w:rsidRDefault="00C80BF3" w:rsidP="00C80BF3">
      <w:pPr>
        <w:spacing w:line="360" w:lineRule="auto"/>
        <w:ind w:left="-11"/>
        <w:jc w:val="both"/>
        <w:rPr>
          <w:sz w:val="20"/>
          <w:szCs w:val="20"/>
        </w:rPr>
      </w:pPr>
    </w:p>
    <w:p w14:paraId="334C0631" w14:textId="77777777" w:rsidR="00C80BF3" w:rsidRPr="00C80BF3" w:rsidRDefault="00C80BF3" w:rsidP="00C80BF3">
      <w:pPr>
        <w:spacing w:line="360" w:lineRule="auto"/>
        <w:ind w:left="-11"/>
        <w:jc w:val="both"/>
        <w:rPr>
          <w:sz w:val="20"/>
          <w:szCs w:val="20"/>
        </w:rPr>
      </w:pPr>
      <w:r w:rsidRPr="00C80BF3">
        <w:rPr>
          <w:sz w:val="20"/>
          <w:szCs w:val="20"/>
        </w:rPr>
        <w:t xml:space="preserve">La Cuarta Transformación busca cambiar la vida pública de Tlaxcala, romper los añejos estilos y dañinas prácticas de corrupción, mentira y gasto sin sentido social. Se pretende conferir a la palabra “transformación” un contenido distinto, un sentido de gobierno con objetivos precisos, unos esquemas de acción con herramientas probadas, un cuerpo conceptual que movilice a las personas a partir del diálogo social. Construir, con los ciudadanos, sus causas y demandas, una ética pública diferente, con moralidad distinta, que oriente la transformación que buscamos. </w:t>
      </w:r>
    </w:p>
    <w:p w14:paraId="06964F29" w14:textId="77777777" w:rsidR="00C80BF3" w:rsidRPr="00C80BF3" w:rsidRDefault="00C80BF3" w:rsidP="00C80BF3">
      <w:pPr>
        <w:spacing w:line="360" w:lineRule="auto"/>
        <w:ind w:left="-11"/>
        <w:jc w:val="both"/>
        <w:rPr>
          <w:sz w:val="20"/>
          <w:szCs w:val="20"/>
        </w:rPr>
      </w:pPr>
    </w:p>
    <w:p w14:paraId="4F6784B3" w14:textId="77777777" w:rsidR="00C80BF3" w:rsidRPr="00C80BF3" w:rsidRDefault="00C80BF3" w:rsidP="00C80BF3">
      <w:pPr>
        <w:spacing w:line="360" w:lineRule="auto"/>
        <w:ind w:left="-11"/>
        <w:jc w:val="both"/>
        <w:rPr>
          <w:sz w:val="20"/>
          <w:szCs w:val="20"/>
        </w:rPr>
      </w:pPr>
      <w:r w:rsidRPr="00C80BF3">
        <w:rPr>
          <w:sz w:val="20"/>
          <w:szCs w:val="20"/>
        </w:rPr>
        <w:t xml:space="preserve">Esta administración, ha definido políticas públicas para impulsar el desarrollo del Estado de una forma más equitativa, entre las que destacan: Fomentar las inversiones productivas, promover el empleo, la </w:t>
      </w:r>
      <w:r w:rsidRPr="00C80BF3">
        <w:rPr>
          <w:sz w:val="20"/>
          <w:szCs w:val="20"/>
        </w:rPr>
        <w:lastRenderedPageBreak/>
        <w:t>competitividad sectorial y la productividad, así como otorgar facilidades en las regulaciones públicas que incentiven la modernización del sector productivo, mediante espacios de concertación y apoyo con los sectores empresariales, los productores del campo, los sectores artesanales y los emprendedores.</w:t>
      </w:r>
    </w:p>
    <w:p w14:paraId="515AB8B1" w14:textId="77777777" w:rsidR="00C80BF3" w:rsidRPr="00C80BF3" w:rsidRDefault="00C80BF3" w:rsidP="00C80BF3">
      <w:pPr>
        <w:spacing w:line="360" w:lineRule="auto"/>
        <w:ind w:left="-11"/>
        <w:jc w:val="both"/>
        <w:rPr>
          <w:sz w:val="20"/>
          <w:szCs w:val="20"/>
        </w:rPr>
      </w:pPr>
    </w:p>
    <w:p w14:paraId="206C4D32" w14:textId="77777777" w:rsidR="00C80BF3" w:rsidRPr="00C80BF3" w:rsidRDefault="00C80BF3" w:rsidP="00C80BF3">
      <w:pPr>
        <w:spacing w:line="360" w:lineRule="auto"/>
        <w:ind w:left="-11"/>
        <w:jc w:val="both"/>
        <w:rPr>
          <w:sz w:val="20"/>
          <w:szCs w:val="20"/>
        </w:rPr>
      </w:pPr>
      <w:r w:rsidRPr="00C80BF3">
        <w:rPr>
          <w:sz w:val="20"/>
          <w:szCs w:val="20"/>
        </w:rPr>
        <w:t>Los objetivos planteados, tienen como finalidad atender a la población que se encuentra bajo la línea de pobreza, reducir la desigualdad, promover el empleo, incrementar el PIB per cápita y optimizar la recaudación fiscal de las diferentes fuentes de ingresos, a través de la obtención de mayores recursos fiscales, siendo el Sistema Nacional de Coordinación Fiscal un instrumento de gran relevancia para la obtención de éstos recursos vía transferencias federales.</w:t>
      </w:r>
    </w:p>
    <w:p w14:paraId="75DA4A68" w14:textId="77777777" w:rsidR="00C80BF3" w:rsidRPr="00C80BF3" w:rsidRDefault="00C80BF3" w:rsidP="00C80BF3">
      <w:pPr>
        <w:spacing w:line="360" w:lineRule="auto"/>
        <w:ind w:left="-11"/>
        <w:jc w:val="both"/>
        <w:rPr>
          <w:sz w:val="20"/>
          <w:szCs w:val="20"/>
        </w:rPr>
      </w:pPr>
    </w:p>
    <w:p w14:paraId="5265706A" w14:textId="77777777" w:rsidR="00C80BF3" w:rsidRPr="00C80BF3" w:rsidRDefault="00C80BF3" w:rsidP="00C80BF3">
      <w:pPr>
        <w:spacing w:line="360" w:lineRule="auto"/>
        <w:ind w:left="-11"/>
        <w:jc w:val="both"/>
        <w:rPr>
          <w:sz w:val="20"/>
          <w:szCs w:val="20"/>
        </w:rPr>
      </w:pPr>
      <w:r w:rsidRPr="00C80BF3">
        <w:rPr>
          <w:sz w:val="20"/>
          <w:szCs w:val="20"/>
        </w:rPr>
        <w:t>Los recursos destinados a financiar los programas sociales provendrán del ahorro logrado por medio del combate a la corrupción, la eliminación de gastos suntuarios y evitar el desperdicio de recursos, además de crear las condiciones normativas y operativas para una recaudación efectiva, justa y en apego a la ley, y sobre todo mejorar la calidad de la inversión.</w:t>
      </w:r>
    </w:p>
    <w:p w14:paraId="18967D6F" w14:textId="77777777" w:rsidR="00C80BF3" w:rsidRPr="00C80BF3" w:rsidRDefault="00C80BF3" w:rsidP="00C80BF3">
      <w:pPr>
        <w:spacing w:line="360" w:lineRule="auto"/>
        <w:ind w:left="-11"/>
        <w:jc w:val="both"/>
        <w:rPr>
          <w:sz w:val="20"/>
          <w:szCs w:val="20"/>
        </w:rPr>
      </w:pPr>
    </w:p>
    <w:p w14:paraId="7C0AA2D2" w14:textId="5292BCBA" w:rsidR="00C80BF3" w:rsidRPr="00C80BF3" w:rsidRDefault="00C80BF3" w:rsidP="00C80BF3">
      <w:pPr>
        <w:spacing w:line="360" w:lineRule="auto"/>
        <w:ind w:left="-11"/>
        <w:jc w:val="both"/>
        <w:rPr>
          <w:sz w:val="20"/>
          <w:szCs w:val="20"/>
        </w:rPr>
      </w:pPr>
      <w:r w:rsidRPr="00C80BF3">
        <w:rPr>
          <w:sz w:val="20"/>
          <w:szCs w:val="20"/>
        </w:rPr>
        <w:t>La política del Estado en materia de ingresos, contribuirá a mantener un Balance Presupuestario Sostenible y a soportar el financiamiento del gasto público, dando impulso a los programas y proyectos estratégicos con mayor impacto social y económico, a fin de favorecer a la población más vulnerable, promoviendo el cumplimiento voluntario para aumentar la recaudación sin aumentar los impuestos teniendo como finalidad la obtención de los siguientes resultados en materia tributaria y de coordinación fiscal:</w:t>
      </w:r>
    </w:p>
    <w:p w14:paraId="3F154F92"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Mejorar la eficiencia y eficacia de la Administración Tributaria, a través de la atención, orientación y asistencia a los contribuyentes, que les permita cumplir en tiempo y forma con sus obligaciones fiscales.</w:t>
      </w:r>
    </w:p>
    <w:p w14:paraId="50C13611"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Reforzar los esquemas de control recaudatorio, mediante la integración de una base de datos de obligaciones fiscales, que permita manejar de manera óptima y responsable la información de los contribuyentes.</w:t>
      </w:r>
    </w:p>
    <w:p w14:paraId="112C8A2D"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 xml:space="preserve">Implementar procesos tecnológicos en las áreas de recaudación, profesionalizando a los servidores públicos con el fin de brindar un mejor servicio a la ciudadanía. </w:t>
      </w:r>
    </w:p>
    <w:p w14:paraId="74BDAA4D" w14:textId="77777777" w:rsidR="00C80BF3" w:rsidRPr="00C80BF3" w:rsidRDefault="00C80BF3" w:rsidP="00C80BF3">
      <w:pPr>
        <w:pStyle w:val="Prrafodelista"/>
        <w:rPr>
          <w:sz w:val="20"/>
          <w:szCs w:val="20"/>
        </w:rPr>
      </w:pPr>
    </w:p>
    <w:p w14:paraId="2B3B3087"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lastRenderedPageBreak/>
        <w:t>Realizar acciones tendientes a incrementar la recaudación, fiscalización, control y vigilancia de las contribuciones estatales y federales coordinadas, mediante actos de ejemplaridad que inhiban la evasión y elusión fiscal.</w:t>
      </w:r>
    </w:p>
    <w:p w14:paraId="51BAB34B"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 xml:space="preserve">Incrementar la recuperación de créditos fiscales, mediante el Procedimiento Administrativo de Ejecución </w:t>
      </w:r>
    </w:p>
    <w:p w14:paraId="1445CBAF"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Otorgar estímulos fiscales para incentivar la economía local, que permita además motivar el cumplimiento de las obligaciones fiscales.</w:t>
      </w:r>
    </w:p>
    <w:p w14:paraId="29C6AC77" w14:textId="77777777" w:rsidR="00C80BF3" w:rsidRPr="00C80BF3" w:rsidRDefault="00C80BF3" w:rsidP="00C80BF3">
      <w:pPr>
        <w:pStyle w:val="Prrafodelista"/>
        <w:numPr>
          <w:ilvl w:val="0"/>
          <w:numId w:val="44"/>
        </w:numPr>
        <w:spacing w:line="360" w:lineRule="auto"/>
        <w:jc w:val="both"/>
        <w:rPr>
          <w:sz w:val="20"/>
          <w:szCs w:val="20"/>
        </w:rPr>
      </w:pPr>
      <w:r w:rsidRPr="00C80BF3">
        <w:rPr>
          <w:sz w:val="20"/>
          <w:szCs w:val="20"/>
        </w:rPr>
        <w:t>Concluir la reestructuración administrativa del Gobierno del Estado, para un control integral de la gestión financiera y del gasto público.</w:t>
      </w:r>
    </w:p>
    <w:p w14:paraId="45D30814" w14:textId="77777777" w:rsidR="00C80BF3" w:rsidRPr="00C80BF3" w:rsidRDefault="00C80BF3" w:rsidP="00C80BF3">
      <w:pPr>
        <w:spacing w:line="360" w:lineRule="auto"/>
        <w:ind w:left="-11"/>
        <w:jc w:val="both"/>
        <w:rPr>
          <w:sz w:val="20"/>
          <w:szCs w:val="20"/>
        </w:rPr>
      </w:pPr>
    </w:p>
    <w:p w14:paraId="4BE9BF9B" w14:textId="77777777" w:rsidR="00C80BF3" w:rsidRPr="00C80BF3" w:rsidRDefault="00C80BF3" w:rsidP="00C80BF3">
      <w:pPr>
        <w:spacing w:line="360" w:lineRule="auto"/>
        <w:ind w:left="-11"/>
        <w:jc w:val="both"/>
        <w:rPr>
          <w:sz w:val="20"/>
          <w:szCs w:val="20"/>
        </w:rPr>
      </w:pPr>
      <w:r w:rsidRPr="00C80BF3">
        <w:rPr>
          <w:sz w:val="20"/>
          <w:szCs w:val="20"/>
        </w:rPr>
        <w:t>La Iniciativa de Ley de Ingresos del Estado de Tlaxcala, para el Ejercicio Fiscal 2023, considera un pronóstico de ingresos prudente, al tomar como referencia el comportamiento de las finanzas estatales y los posibles riesgos que pudieran modificar las metas planteadas, así como las medidas para contener dichos riesgos; es por ello que esta administración, en las consideraciones que sustentan la presente Iniciativa, da cumplimiento a las disposiciones en materia de contabilidad gubernamental, coordinación fiscal, disciplina financiera, fortalecimiento a la fiscalización, responsabilidad hacendaria, transparencia y rendición de cuentas, tomando en consideración los Criterios Generales de Política Económica para la Iniciativa de Ley de Ingresos y el Proyecto de Presupuesto de Egresos de la Federación correspondientes al Ejercicio Fiscal 2023 y del Código Financiero para el Estado de Tlaxcala y sus Municipios.</w:t>
      </w:r>
    </w:p>
    <w:p w14:paraId="61687D11" w14:textId="77777777" w:rsidR="00C80BF3" w:rsidRPr="00C80BF3" w:rsidRDefault="00C80BF3" w:rsidP="00C80BF3">
      <w:pPr>
        <w:spacing w:line="360" w:lineRule="auto"/>
        <w:ind w:left="-11"/>
        <w:jc w:val="both"/>
        <w:rPr>
          <w:sz w:val="20"/>
          <w:szCs w:val="20"/>
        </w:rPr>
      </w:pPr>
    </w:p>
    <w:p w14:paraId="1BE5D513" w14:textId="4CD93F4D" w:rsidR="00C80BF3" w:rsidRDefault="00C80BF3" w:rsidP="00C80BF3">
      <w:pPr>
        <w:spacing w:line="360" w:lineRule="auto"/>
        <w:ind w:left="-11"/>
        <w:jc w:val="both"/>
        <w:rPr>
          <w:sz w:val="20"/>
          <w:szCs w:val="20"/>
        </w:rPr>
      </w:pPr>
      <w:r w:rsidRPr="00C80BF3">
        <w:rPr>
          <w:sz w:val="20"/>
          <w:szCs w:val="20"/>
        </w:rPr>
        <w:t>Por lo que, las estrategias a seguir por el Gobierno del Estado son las siguientes:</w:t>
      </w:r>
    </w:p>
    <w:p w14:paraId="0D0EB917" w14:textId="77777777" w:rsidR="007410AE" w:rsidRPr="00C80BF3" w:rsidRDefault="007410AE" w:rsidP="00C80BF3">
      <w:pPr>
        <w:spacing w:line="360" w:lineRule="auto"/>
        <w:ind w:left="-11"/>
        <w:jc w:val="both"/>
        <w:rPr>
          <w:sz w:val="20"/>
          <w:szCs w:val="20"/>
        </w:rPr>
      </w:pPr>
    </w:p>
    <w:p w14:paraId="5B2BFF5C"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Otorgar estímulos que permitan al contribuyente cumplir con sus obligaciones fiscales, buscando que éstos logren mayores beneficios disminuyendo rezagos e incumplimientos.</w:t>
      </w:r>
    </w:p>
    <w:p w14:paraId="3DAE0CE8"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Realizar campañas publicitarias que incentiven el cumplimiento de las obligaciones fiscales, logrando una mayor presencia fiscal.</w:t>
      </w:r>
    </w:p>
    <w:p w14:paraId="6A3BECA0"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Fortalecer las fuentes de ingresos federales y los esquemas de incentivos derivados del Convenio de Colaboración Administrativa en Materia Fiscal Federal.</w:t>
      </w:r>
    </w:p>
    <w:p w14:paraId="2CD5DE3E"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Mejorar las capacidades administrativas de los Organismos Descentralizados para el timbrado en tiempo y forma de la nómina de empleados estatales, para recibir las participaciones establecidas en el artículo 3-B de la Ley de Coordinación Fiscal.</w:t>
      </w:r>
    </w:p>
    <w:p w14:paraId="76212586"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lastRenderedPageBreak/>
        <w:t>Promover entre la población realizar trámites y pagos vía internet, a través del portal oficial de la Secretaría de Finanzas.</w:t>
      </w:r>
    </w:p>
    <w:p w14:paraId="30D2D440"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Incrementar el número de lugares para el pago de contribuciones, realizando diversas alianzas con tiendas de conveniencia, supermercados y tiendas de autoservicio.</w:t>
      </w:r>
    </w:p>
    <w:p w14:paraId="6AEDB45C"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Enviar a través de correo electrónico, cartas invitación para invitar a los contribuyentes a regularizar su situación fiscal.</w:t>
      </w:r>
    </w:p>
    <w:p w14:paraId="283CD2EA"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Bancarizar el pago de servicios prestados por Organismos Públicos Descentralizados, así como de las dependencias del sector central.</w:t>
      </w:r>
    </w:p>
    <w:p w14:paraId="41BB016E"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No creación de nuevos impuestos.</w:t>
      </w:r>
    </w:p>
    <w:p w14:paraId="3BDC7ECE"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Ampliar el universo de contribuyentes y promover la formalidad.</w:t>
      </w:r>
    </w:p>
    <w:p w14:paraId="44019310"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Cumplimiento de la normatividad emitida por el CONAC.</w:t>
      </w:r>
    </w:p>
    <w:p w14:paraId="6BD9285A"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Transparencia y Rendición de Cuentas.</w:t>
      </w:r>
    </w:p>
    <w:p w14:paraId="35E08FAF"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Congruencia en los pronósticos de recaudación federal y estatal considerando riesgos fiscales, evolución y perspectivas económicas.</w:t>
      </w:r>
    </w:p>
    <w:p w14:paraId="0DCFF900"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Integración del Paquete Económico conforme a lo establecido en la Ley de Disciplina Financiera de las Entidades Federativas y los Municipios.</w:t>
      </w:r>
    </w:p>
    <w:p w14:paraId="7D818111" w14:textId="77777777" w:rsidR="00C80BF3" w:rsidRPr="00C80BF3" w:rsidRDefault="00C80BF3" w:rsidP="00C80BF3">
      <w:pPr>
        <w:pStyle w:val="Prrafodelista"/>
        <w:numPr>
          <w:ilvl w:val="0"/>
          <w:numId w:val="45"/>
        </w:numPr>
        <w:spacing w:line="360" w:lineRule="auto"/>
        <w:jc w:val="both"/>
        <w:rPr>
          <w:sz w:val="20"/>
          <w:szCs w:val="20"/>
        </w:rPr>
      </w:pPr>
      <w:r w:rsidRPr="00C80BF3">
        <w:rPr>
          <w:sz w:val="20"/>
          <w:szCs w:val="20"/>
        </w:rPr>
        <w:t>Finanzas Estatales sanas.</w:t>
      </w:r>
    </w:p>
    <w:p w14:paraId="6C4164E1" w14:textId="77777777" w:rsidR="00C80BF3" w:rsidRPr="00C80BF3" w:rsidRDefault="00C80BF3" w:rsidP="00C80BF3">
      <w:pPr>
        <w:spacing w:line="360" w:lineRule="auto"/>
        <w:ind w:left="-11"/>
        <w:jc w:val="both"/>
        <w:rPr>
          <w:sz w:val="20"/>
          <w:szCs w:val="20"/>
        </w:rPr>
      </w:pPr>
    </w:p>
    <w:p w14:paraId="23C807BF" w14:textId="77777777" w:rsidR="00C80BF3" w:rsidRPr="00C80BF3" w:rsidRDefault="00C80BF3" w:rsidP="00C80BF3">
      <w:pPr>
        <w:spacing w:line="360" w:lineRule="auto"/>
        <w:ind w:left="-11"/>
        <w:jc w:val="both"/>
        <w:rPr>
          <w:sz w:val="20"/>
          <w:szCs w:val="20"/>
        </w:rPr>
      </w:pPr>
      <w:r w:rsidRPr="00C80BF3">
        <w:rPr>
          <w:sz w:val="20"/>
          <w:szCs w:val="20"/>
        </w:rPr>
        <w:t xml:space="preserve">Con estas medidas, la presente Iniciativa garantiza que la hacienda estatal cuente con finanzas sanas; observando los principios de eficiencia, eficacia, economía, austeridad, honradez y transparencia. </w:t>
      </w:r>
    </w:p>
    <w:p w14:paraId="4BDDF58A" w14:textId="77777777" w:rsidR="00C80BF3" w:rsidRPr="00C80BF3" w:rsidRDefault="00C80BF3" w:rsidP="00C80BF3">
      <w:pPr>
        <w:spacing w:line="360" w:lineRule="auto"/>
        <w:ind w:left="-11"/>
        <w:jc w:val="both"/>
        <w:rPr>
          <w:sz w:val="20"/>
          <w:szCs w:val="20"/>
        </w:rPr>
      </w:pPr>
    </w:p>
    <w:p w14:paraId="794A4F04" w14:textId="1D219018" w:rsidR="00441FE8" w:rsidRPr="00C80BF3" w:rsidRDefault="00C80BF3" w:rsidP="00C80BF3">
      <w:pPr>
        <w:spacing w:line="360" w:lineRule="auto"/>
        <w:ind w:left="-11"/>
        <w:jc w:val="both"/>
        <w:rPr>
          <w:sz w:val="20"/>
          <w:szCs w:val="20"/>
        </w:rPr>
      </w:pPr>
      <w:r w:rsidRPr="00C80BF3">
        <w:rPr>
          <w:sz w:val="20"/>
          <w:szCs w:val="20"/>
        </w:rPr>
        <w:t xml:space="preserve">Por lo antes expuesto y dando cumplimiento a lo establecido en la Constitución Política del Estado Libre y Soberano de Tlaxcala, me permito someter a consideración de ese Congreso la Iniciativa de Ley de Ingresos del Estado de Tlaxcala, para el Ejercicio Fiscal 2023; que prevé un monto total de ingresos por </w:t>
      </w:r>
      <w:r w:rsidRPr="00C80BF3">
        <w:rPr>
          <w:b/>
          <w:sz w:val="20"/>
          <w:szCs w:val="20"/>
        </w:rPr>
        <w:t xml:space="preserve">$ 25,571,563,376.00, </w:t>
      </w:r>
      <w:r w:rsidRPr="00C80BF3">
        <w:rPr>
          <w:sz w:val="20"/>
          <w:szCs w:val="20"/>
        </w:rPr>
        <w:t>(Veinticinco mil quinientos setenta y un millones quinientos sesenta y tres mil trecientos setenta y seis pesos 00/100 M.N.)</w:t>
      </w:r>
      <w:r w:rsidR="00686AC1" w:rsidRPr="00C80BF3">
        <w:rPr>
          <w:sz w:val="20"/>
          <w:szCs w:val="20"/>
        </w:rPr>
        <w:t>.</w:t>
      </w:r>
    </w:p>
    <w:p w14:paraId="42F48654" w14:textId="77777777" w:rsidR="00F965F3" w:rsidRDefault="00F965F3" w:rsidP="00C46605">
      <w:pPr>
        <w:spacing w:line="360" w:lineRule="auto"/>
        <w:jc w:val="both"/>
        <w:rPr>
          <w:sz w:val="20"/>
          <w:szCs w:val="20"/>
        </w:rPr>
      </w:pPr>
    </w:p>
    <w:p w14:paraId="4A84D605" w14:textId="77777777" w:rsidR="00C46605" w:rsidRDefault="00C46605" w:rsidP="00C46605">
      <w:pPr>
        <w:spacing w:line="360" w:lineRule="auto"/>
        <w:jc w:val="both"/>
        <w:rPr>
          <w:sz w:val="20"/>
          <w:szCs w:val="20"/>
        </w:rPr>
      </w:pPr>
    </w:p>
    <w:p w14:paraId="1F48BB27" w14:textId="39D20E8C" w:rsidR="00C46605" w:rsidRDefault="00C46605" w:rsidP="00C46605">
      <w:pPr>
        <w:spacing w:line="360" w:lineRule="auto"/>
        <w:jc w:val="both"/>
        <w:rPr>
          <w:sz w:val="20"/>
          <w:szCs w:val="20"/>
        </w:rPr>
        <w:sectPr w:rsidR="00C46605" w:rsidSect="002C73EF">
          <w:footerReference w:type="even" r:id="rId58"/>
          <w:footerReference w:type="default" r:id="rId59"/>
          <w:pgSz w:w="12240" w:h="15840"/>
          <w:pgMar w:top="3119" w:right="1021" w:bottom="1701" w:left="3119" w:header="709" w:footer="709" w:gutter="0"/>
          <w:pgNumType w:fmt="upperRoman"/>
          <w:cols w:space="708"/>
          <w:docGrid w:linePitch="360"/>
        </w:sectPr>
      </w:pPr>
    </w:p>
    <w:p w14:paraId="625604CB" w14:textId="77777777" w:rsidR="00F71802" w:rsidRPr="00D86289" w:rsidRDefault="00F71802" w:rsidP="00C46605">
      <w:pPr>
        <w:spacing w:line="360" w:lineRule="auto"/>
        <w:jc w:val="center"/>
        <w:rPr>
          <w:b/>
          <w:bCs/>
          <w:sz w:val="20"/>
          <w:szCs w:val="20"/>
        </w:rPr>
      </w:pPr>
      <w:r w:rsidRPr="00D86289">
        <w:rPr>
          <w:b/>
          <w:bCs/>
          <w:sz w:val="20"/>
          <w:szCs w:val="20"/>
        </w:rPr>
        <w:lastRenderedPageBreak/>
        <w:t>INICIATIVA DE LEY DE INGRESOS DEL ESTADO DE TLAXCALA</w:t>
      </w:r>
    </w:p>
    <w:p w14:paraId="1902BFE2" w14:textId="200183FB" w:rsidR="00F71802" w:rsidRPr="00D86289" w:rsidRDefault="00F71802">
      <w:pPr>
        <w:pStyle w:val="Ttulo7"/>
        <w:spacing w:line="360" w:lineRule="auto"/>
        <w:rPr>
          <w:rFonts w:ascii="Times New Roman" w:hAnsi="Times New Roman" w:cs="Times New Roman"/>
          <w:szCs w:val="20"/>
        </w:rPr>
      </w:pPr>
      <w:r w:rsidRPr="00D86289">
        <w:rPr>
          <w:rFonts w:ascii="Times New Roman" w:hAnsi="Times New Roman" w:cs="Times New Roman"/>
          <w:szCs w:val="20"/>
        </w:rPr>
        <w:t>PARA EL EJERCICIO FISCAL 20</w:t>
      </w:r>
      <w:r w:rsidR="008C6E3D" w:rsidRPr="00D86289">
        <w:rPr>
          <w:rFonts w:ascii="Times New Roman" w:hAnsi="Times New Roman" w:cs="Times New Roman"/>
          <w:szCs w:val="20"/>
        </w:rPr>
        <w:t>2</w:t>
      </w:r>
      <w:r w:rsidR="00413FB6">
        <w:rPr>
          <w:rFonts w:ascii="Times New Roman" w:hAnsi="Times New Roman" w:cs="Times New Roman"/>
          <w:szCs w:val="20"/>
        </w:rPr>
        <w:t>3</w:t>
      </w:r>
    </w:p>
    <w:p w14:paraId="1987F64E" w14:textId="77777777" w:rsidR="00F71802" w:rsidRPr="00D86289" w:rsidRDefault="00F71802" w:rsidP="009A545C">
      <w:pPr>
        <w:spacing w:line="360" w:lineRule="auto"/>
        <w:jc w:val="center"/>
        <w:rPr>
          <w:b/>
          <w:sz w:val="20"/>
          <w:szCs w:val="20"/>
        </w:rPr>
      </w:pPr>
    </w:p>
    <w:p w14:paraId="1000C077" w14:textId="77777777" w:rsidR="00F71802" w:rsidRPr="00D86289" w:rsidRDefault="00F71802" w:rsidP="009A545C">
      <w:pPr>
        <w:spacing w:line="360" w:lineRule="auto"/>
        <w:jc w:val="center"/>
        <w:rPr>
          <w:b/>
          <w:sz w:val="20"/>
          <w:szCs w:val="20"/>
        </w:rPr>
      </w:pPr>
      <w:r w:rsidRPr="00D86289">
        <w:rPr>
          <w:b/>
          <w:sz w:val="20"/>
          <w:szCs w:val="20"/>
        </w:rPr>
        <w:t>CAPÍTULO I</w:t>
      </w:r>
    </w:p>
    <w:p w14:paraId="07E45C91" w14:textId="77777777" w:rsidR="00F71802" w:rsidRPr="00D86289" w:rsidRDefault="00F71802" w:rsidP="009A545C">
      <w:pPr>
        <w:spacing w:line="360" w:lineRule="auto"/>
        <w:jc w:val="center"/>
        <w:rPr>
          <w:b/>
          <w:sz w:val="20"/>
          <w:szCs w:val="20"/>
        </w:rPr>
      </w:pPr>
      <w:r w:rsidRPr="00D86289">
        <w:rPr>
          <w:b/>
          <w:sz w:val="20"/>
          <w:szCs w:val="20"/>
        </w:rPr>
        <w:t>DE LOS INGRESOS DEL ESTADO</w:t>
      </w:r>
    </w:p>
    <w:p w14:paraId="5EBFD727" w14:textId="77777777" w:rsidR="00F71802" w:rsidRPr="00D86289" w:rsidRDefault="00F71802">
      <w:pPr>
        <w:spacing w:line="360" w:lineRule="auto"/>
        <w:rPr>
          <w:sz w:val="20"/>
          <w:szCs w:val="20"/>
        </w:rPr>
      </w:pPr>
    </w:p>
    <w:p w14:paraId="04AAB91D" w14:textId="77777777" w:rsidR="00DC35B7" w:rsidRPr="00DC35B7" w:rsidRDefault="00DC35B7" w:rsidP="00DC35B7">
      <w:pPr>
        <w:spacing w:line="360" w:lineRule="auto"/>
        <w:jc w:val="both"/>
        <w:rPr>
          <w:sz w:val="20"/>
          <w:szCs w:val="20"/>
        </w:rPr>
      </w:pPr>
      <w:r w:rsidRPr="00DC35B7">
        <w:rPr>
          <w:b/>
          <w:bCs/>
          <w:sz w:val="20"/>
          <w:szCs w:val="20"/>
        </w:rPr>
        <w:t>ARTÍCULO 1</w:t>
      </w:r>
      <w:r w:rsidRPr="00DC35B7">
        <w:rPr>
          <w:sz w:val="20"/>
          <w:szCs w:val="20"/>
        </w:rPr>
        <w:t>. Las disposiciones contenidas en esta Ley son de orden público e interés general, y tienen por objeto regular la recaudación, registro, administración y custodia de los ingresos de la Hacienda Pública del Estado durante el ejercicio fiscal 2023.</w:t>
      </w:r>
    </w:p>
    <w:p w14:paraId="248C4642" w14:textId="77777777" w:rsidR="00DC35B7" w:rsidRPr="00DC35B7" w:rsidRDefault="00DC35B7" w:rsidP="00DC35B7">
      <w:pPr>
        <w:spacing w:line="360" w:lineRule="auto"/>
        <w:jc w:val="both"/>
        <w:rPr>
          <w:sz w:val="20"/>
          <w:szCs w:val="20"/>
        </w:rPr>
      </w:pPr>
    </w:p>
    <w:p w14:paraId="347018B6" w14:textId="77777777" w:rsidR="00DC35B7" w:rsidRPr="00DC35B7" w:rsidRDefault="00DC35B7" w:rsidP="00DC35B7">
      <w:pPr>
        <w:spacing w:line="360" w:lineRule="auto"/>
        <w:jc w:val="both"/>
        <w:rPr>
          <w:sz w:val="20"/>
          <w:szCs w:val="20"/>
        </w:rPr>
      </w:pPr>
      <w:r w:rsidRPr="00DC35B7">
        <w:rPr>
          <w:sz w:val="20"/>
          <w:szCs w:val="20"/>
        </w:rPr>
        <w:t>Para dar cumplimiento a las disposiciones establecidas en la presente Ley, se implementarán las políticas públicas necesarias para hacer más eficiente la recaudación de las contribuciones previstas en la misma.</w:t>
      </w:r>
    </w:p>
    <w:p w14:paraId="4B70C393" w14:textId="77777777" w:rsidR="00DC35B7" w:rsidRPr="00DC35B7" w:rsidRDefault="00DC35B7" w:rsidP="00DC35B7">
      <w:pPr>
        <w:spacing w:line="360" w:lineRule="auto"/>
        <w:jc w:val="both"/>
        <w:rPr>
          <w:sz w:val="20"/>
          <w:szCs w:val="20"/>
        </w:rPr>
      </w:pPr>
    </w:p>
    <w:p w14:paraId="400BC6DA" w14:textId="77777777" w:rsidR="00DC35B7" w:rsidRPr="00DC35B7" w:rsidRDefault="00DC35B7" w:rsidP="00DC35B7">
      <w:pPr>
        <w:spacing w:line="360" w:lineRule="auto"/>
        <w:jc w:val="both"/>
        <w:rPr>
          <w:sz w:val="20"/>
          <w:szCs w:val="20"/>
        </w:rPr>
      </w:pPr>
      <w:r w:rsidRPr="00DC35B7">
        <w:rPr>
          <w:b/>
          <w:sz w:val="20"/>
          <w:szCs w:val="20"/>
        </w:rPr>
        <w:t>ARTÍCULO 2.</w:t>
      </w:r>
      <w:r w:rsidRPr="00DC35B7">
        <w:rPr>
          <w:sz w:val="20"/>
          <w:szCs w:val="20"/>
        </w:rPr>
        <w:t xml:space="preserve"> Los ingresos que el Estado de Tlaxcala percibirá en el Ejercicio Fiscal comprendido del 1 de enero al 31 de diciembre del año 2023, se integran por ingresos provenientes de fuentes locales, participaciones e incentivos económicos, fondos de aportaciones federales, ingresos por convenios suscritos con el Gobierno Federal e ingresos extraordinarios de conformidad con las estimaciones siguientes:</w:t>
      </w:r>
    </w:p>
    <w:p w14:paraId="1ED87AFB" w14:textId="77777777" w:rsidR="00DC35B7" w:rsidRPr="00DC35B7" w:rsidRDefault="00DC35B7" w:rsidP="00DC35B7">
      <w:pPr>
        <w:spacing w:line="360" w:lineRule="auto"/>
        <w:jc w:val="both"/>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3"/>
        <w:gridCol w:w="487"/>
        <w:gridCol w:w="2026"/>
        <w:gridCol w:w="1277"/>
        <w:gridCol w:w="1277"/>
        <w:gridCol w:w="1359"/>
        <w:gridCol w:w="1361"/>
      </w:tblGrid>
      <w:tr w:rsidR="00DC35B7" w:rsidRPr="00DC35B7" w14:paraId="244AB859" w14:textId="77777777" w:rsidTr="00DC35B7">
        <w:trPr>
          <w:trHeight w:val="300"/>
          <w:tblHeader/>
        </w:trPr>
        <w:tc>
          <w:tcPr>
            <w:tcW w:w="1741" w:type="pct"/>
            <w:gridSpan w:val="3"/>
            <w:shd w:val="clear" w:color="000000" w:fill="FFFFFF"/>
            <w:vAlign w:val="center"/>
            <w:hideMark/>
          </w:tcPr>
          <w:p w14:paraId="71F2A43B" w14:textId="77777777" w:rsidR="00DC35B7" w:rsidRPr="00DC35B7" w:rsidRDefault="00DC35B7" w:rsidP="00B77C25">
            <w:pPr>
              <w:jc w:val="center"/>
              <w:rPr>
                <w:b/>
                <w:bCs/>
                <w:sz w:val="16"/>
                <w:szCs w:val="16"/>
                <w:u w:val="single"/>
                <w:lang w:val="es-MX" w:eastAsia="es-MX"/>
              </w:rPr>
            </w:pPr>
            <w:bookmarkStart w:id="1" w:name="RANGE!A2:G147"/>
            <w:bookmarkStart w:id="2" w:name="OLE_LINK1"/>
            <w:bookmarkStart w:id="3" w:name="OLE_LINK2"/>
            <w:r w:rsidRPr="00DC35B7">
              <w:rPr>
                <w:b/>
                <w:bCs/>
                <w:sz w:val="16"/>
                <w:szCs w:val="16"/>
                <w:u w:val="single"/>
                <w:lang w:val="es-MX" w:eastAsia="es-MX"/>
              </w:rPr>
              <w:t>C O N C E P T O</w:t>
            </w:r>
            <w:bookmarkEnd w:id="1"/>
          </w:p>
        </w:tc>
        <w:tc>
          <w:tcPr>
            <w:tcW w:w="3259" w:type="pct"/>
            <w:gridSpan w:val="4"/>
            <w:shd w:val="clear" w:color="000000" w:fill="FFFFFF"/>
            <w:vAlign w:val="center"/>
            <w:hideMark/>
          </w:tcPr>
          <w:p w14:paraId="04935C5B" w14:textId="77777777" w:rsidR="00DC35B7" w:rsidRPr="00DC35B7" w:rsidRDefault="00DC35B7" w:rsidP="00B77C25">
            <w:pPr>
              <w:jc w:val="center"/>
              <w:rPr>
                <w:b/>
                <w:bCs/>
                <w:sz w:val="16"/>
                <w:szCs w:val="16"/>
                <w:lang w:val="es-MX" w:eastAsia="es-MX"/>
              </w:rPr>
            </w:pPr>
            <w:r w:rsidRPr="00DC35B7">
              <w:rPr>
                <w:b/>
                <w:bCs/>
                <w:sz w:val="16"/>
                <w:szCs w:val="16"/>
                <w:lang w:val="es-MX" w:eastAsia="es-MX"/>
              </w:rPr>
              <w:t xml:space="preserve"> P E S O S </w:t>
            </w:r>
          </w:p>
        </w:tc>
      </w:tr>
      <w:tr w:rsidR="00DC35B7" w:rsidRPr="00DC35B7" w14:paraId="1FC5F049" w14:textId="77777777" w:rsidTr="00DC35B7">
        <w:trPr>
          <w:trHeight w:val="300"/>
        </w:trPr>
        <w:tc>
          <w:tcPr>
            <w:tcW w:w="188" w:type="pct"/>
            <w:shd w:val="clear" w:color="auto" w:fill="auto"/>
            <w:vAlign w:val="center"/>
            <w:hideMark/>
          </w:tcPr>
          <w:p w14:paraId="618EE507"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w:t>
            </w:r>
          </w:p>
        </w:tc>
        <w:tc>
          <w:tcPr>
            <w:tcW w:w="301" w:type="pct"/>
            <w:shd w:val="clear" w:color="auto" w:fill="auto"/>
            <w:vAlign w:val="center"/>
            <w:hideMark/>
          </w:tcPr>
          <w:p w14:paraId="41F52E4F" w14:textId="77777777" w:rsidR="00DC35B7" w:rsidRPr="00DC35B7" w:rsidRDefault="00DC35B7" w:rsidP="00B77C25">
            <w:pPr>
              <w:jc w:val="center"/>
              <w:rPr>
                <w:b/>
                <w:bCs/>
                <w:color w:val="000000"/>
                <w:sz w:val="16"/>
                <w:szCs w:val="16"/>
                <w:lang w:val="es-MX" w:eastAsia="es-MX"/>
              </w:rPr>
            </w:pPr>
          </w:p>
        </w:tc>
        <w:tc>
          <w:tcPr>
            <w:tcW w:w="1252" w:type="pct"/>
            <w:shd w:val="clear" w:color="auto" w:fill="auto"/>
            <w:vAlign w:val="center"/>
            <w:hideMark/>
          </w:tcPr>
          <w:p w14:paraId="75FE74B2"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w:t>
            </w:r>
          </w:p>
        </w:tc>
        <w:tc>
          <w:tcPr>
            <w:tcW w:w="789" w:type="pct"/>
            <w:shd w:val="clear" w:color="000000" w:fill="FFFFFF"/>
            <w:noWrap/>
            <w:vAlign w:val="center"/>
            <w:hideMark/>
          </w:tcPr>
          <w:p w14:paraId="3DCFD55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69391EA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4F59227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298CF5F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712,376,402.00 </w:t>
            </w:r>
          </w:p>
        </w:tc>
      </w:tr>
      <w:tr w:rsidR="00DC35B7" w:rsidRPr="00DC35B7" w14:paraId="390309B7" w14:textId="77777777" w:rsidTr="00DC35B7">
        <w:trPr>
          <w:trHeight w:val="300"/>
        </w:trPr>
        <w:tc>
          <w:tcPr>
            <w:tcW w:w="188" w:type="pct"/>
            <w:shd w:val="clear" w:color="auto" w:fill="auto"/>
            <w:vAlign w:val="center"/>
            <w:hideMark/>
          </w:tcPr>
          <w:p w14:paraId="079FE04A" w14:textId="77777777" w:rsidR="00DC35B7" w:rsidRPr="00DC35B7" w:rsidRDefault="00DC35B7" w:rsidP="00B77C25">
            <w:pPr>
              <w:jc w:val="center"/>
              <w:rPr>
                <w:b/>
                <w:bCs/>
                <w:color w:val="000000"/>
                <w:sz w:val="16"/>
                <w:szCs w:val="16"/>
                <w:lang w:val="es-MX" w:eastAsia="es-MX"/>
              </w:rPr>
            </w:pPr>
          </w:p>
        </w:tc>
        <w:tc>
          <w:tcPr>
            <w:tcW w:w="301" w:type="pct"/>
            <w:shd w:val="clear" w:color="auto" w:fill="auto"/>
            <w:vAlign w:val="center"/>
            <w:hideMark/>
          </w:tcPr>
          <w:p w14:paraId="1B6C1A1A"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1.1</w:t>
            </w:r>
          </w:p>
        </w:tc>
        <w:tc>
          <w:tcPr>
            <w:tcW w:w="1252" w:type="pct"/>
            <w:shd w:val="clear" w:color="auto" w:fill="auto"/>
            <w:vAlign w:val="center"/>
            <w:hideMark/>
          </w:tcPr>
          <w:p w14:paraId="1D32192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 Sobre los Ingresos</w:t>
            </w:r>
          </w:p>
        </w:tc>
        <w:tc>
          <w:tcPr>
            <w:tcW w:w="789" w:type="pct"/>
            <w:shd w:val="clear" w:color="000000" w:fill="FFFFFF"/>
            <w:noWrap/>
            <w:vAlign w:val="center"/>
            <w:hideMark/>
          </w:tcPr>
          <w:p w14:paraId="25FBF8D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4E85F36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03D758B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2,244,620.00 </w:t>
            </w:r>
          </w:p>
        </w:tc>
        <w:tc>
          <w:tcPr>
            <w:tcW w:w="840" w:type="pct"/>
            <w:shd w:val="clear" w:color="000000" w:fill="FFFFFF"/>
            <w:noWrap/>
            <w:vAlign w:val="center"/>
            <w:hideMark/>
          </w:tcPr>
          <w:p w14:paraId="7774057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9D1E43F" w14:textId="77777777" w:rsidTr="00DC35B7">
        <w:trPr>
          <w:trHeight w:val="690"/>
        </w:trPr>
        <w:tc>
          <w:tcPr>
            <w:tcW w:w="188" w:type="pct"/>
            <w:shd w:val="clear" w:color="auto" w:fill="auto"/>
            <w:vAlign w:val="center"/>
            <w:hideMark/>
          </w:tcPr>
          <w:p w14:paraId="449876A4"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280C3E28"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78B9506E"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loterías, rifas, sorteos, concursos y juegos con cruce de apuestas legalmente permitidos</w:t>
            </w:r>
          </w:p>
        </w:tc>
        <w:tc>
          <w:tcPr>
            <w:tcW w:w="789" w:type="pct"/>
            <w:shd w:val="clear" w:color="000000" w:fill="FFFFFF"/>
            <w:noWrap/>
            <w:vAlign w:val="center"/>
            <w:hideMark/>
          </w:tcPr>
          <w:p w14:paraId="784F8C3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1EC3D8C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531,191.00 </w:t>
            </w:r>
          </w:p>
        </w:tc>
        <w:tc>
          <w:tcPr>
            <w:tcW w:w="840" w:type="pct"/>
            <w:shd w:val="clear" w:color="000000" w:fill="FFFFFF"/>
            <w:noWrap/>
            <w:vAlign w:val="center"/>
            <w:hideMark/>
          </w:tcPr>
          <w:p w14:paraId="5A6105D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5728F87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AB19948" w14:textId="77777777" w:rsidTr="00DC35B7">
        <w:trPr>
          <w:trHeight w:val="465"/>
        </w:trPr>
        <w:tc>
          <w:tcPr>
            <w:tcW w:w="188" w:type="pct"/>
            <w:shd w:val="clear" w:color="auto" w:fill="auto"/>
            <w:vAlign w:val="center"/>
            <w:hideMark/>
          </w:tcPr>
          <w:p w14:paraId="642E22FF"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59016FDF"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272D92AF"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diversiones y espectáculos públicos</w:t>
            </w:r>
          </w:p>
        </w:tc>
        <w:tc>
          <w:tcPr>
            <w:tcW w:w="789" w:type="pct"/>
            <w:shd w:val="clear" w:color="000000" w:fill="FFFFFF"/>
            <w:noWrap/>
            <w:vAlign w:val="center"/>
            <w:hideMark/>
          </w:tcPr>
          <w:p w14:paraId="1A6100C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16682E9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1,713,429.00 </w:t>
            </w:r>
          </w:p>
        </w:tc>
        <w:tc>
          <w:tcPr>
            <w:tcW w:w="840" w:type="pct"/>
            <w:shd w:val="clear" w:color="000000" w:fill="FFFFFF"/>
            <w:noWrap/>
            <w:vAlign w:val="center"/>
            <w:hideMark/>
          </w:tcPr>
          <w:p w14:paraId="35CFE4D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038BF13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65AA28A" w14:textId="77777777" w:rsidTr="00DC35B7">
        <w:trPr>
          <w:trHeight w:val="300"/>
        </w:trPr>
        <w:tc>
          <w:tcPr>
            <w:tcW w:w="188" w:type="pct"/>
            <w:shd w:val="clear" w:color="auto" w:fill="auto"/>
            <w:vAlign w:val="center"/>
            <w:hideMark/>
          </w:tcPr>
          <w:p w14:paraId="7A5231E0" w14:textId="77777777" w:rsidR="00DC35B7" w:rsidRPr="00DC35B7" w:rsidRDefault="00DC35B7" w:rsidP="00B77C25">
            <w:pPr>
              <w:jc w:val="center"/>
              <w:rPr>
                <w:b/>
                <w:bCs/>
                <w:color w:val="000000"/>
                <w:sz w:val="16"/>
                <w:szCs w:val="16"/>
                <w:lang w:val="es-MX" w:eastAsia="es-MX"/>
              </w:rPr>
            </w:pPr>
          </w:p>
        </w:tc>
        <w:tc>
          <w:tcPr>
            <w:tcW w:w="301" w:type="pct"/>
            <w:shd w:val="clear" w:color="auto" w:fill="auto"/>
            <w:vAlign w:val="center"/>
            <w:hideMark/>
          </w:tcPr>
          <w:p w14:paraId="3E504C9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1.2</w:t>
            </w:r>
          </w:p>
        </w:tc>
        <w:tc>
          <w:tcPr>
            <w:tcW w:w="1252" w:type="pct"/>
            <w:shd w:val="clear" w:color="auto" w:fill="auto"/>
            <w:vAlign w:val="center"/>
            <w:hideMark/>
          </w:tcPr>
          <w:p w14:paraId="2997448D"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 Sobre el Patrimonio</w:t>
            </w:r>
          </w:p>
        </w:tc>
        <w:tc>
          <w:tcPr>
            <w:tcW w:w="789" w:type="pct"/>
            <w:shd w:val="clear" w:color="000000" w:fill="FFFFFF"/>
            <w:noWrap/>
            <w:vAlign w:val="center"/>
            <w:hideMark/>
          </w:tcPr>
          <w:p w14:paraId="2B2DAD3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1259EDB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1F01792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4,985,715.00 </w:t>
            </w:r>
          </w:p>
        </w:tc>
        <w:tc>
          <w:tcPr>
            <w:tcW w:w="840" w:type="pct"/>
            <w:shd w:val="clear" w:color="000000" w:fill="FFFFFF"/>
            <w:noWrap/>
            <w:vAlign w:val="center"/>
            <w:hideMark/>
          </w:tcPr>
          <w:p w14:paraId="169251D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C912CA9" w14:textId="77777777" w:rsidTr="00DC35B7">
        <w:trPr>
          <w:trHeight w:val="465"/>
        </w:trPr>
        <w:tc>
          <w:tcPr>
            <w:tcW w:w="188" w:type="pct"/>
            <w:shd w:val="clear" w:color="auto" w:fill="auto"/>
            <w:vAlign w:val="center"/>
            <w:hideMark/>
          </w:tcPr>
          <w:p w14:paraId="5E1A3E28"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2FCF5CF3"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412D96A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estatal sobre tenencia o uso de vehículos</w:t>
            </w:r>
          </w:p>
        </w:tc>
        <w:tc>
          <w:tcPr>
            <w:tcW w:w="789" w:type="pct"/>
            <w:shd w:val="clear" w:color="000000" w:fill="FFFFFF"/>
            <w:noWrap/>
            <w:vAlign w:val="center"/>
            <w:hideMark/>
          </w:tcPr>
          <w:p w14:paraId="0CF8EC8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4497579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4,985,715.00 </w:t>
            </w:r>
          </w:p>
        </w:tc>
        <w:tc>
          <w:tcPr>
            <w:tcW w:w="840" w:type="pct"/>
            <w:shd w:val="clear" w:color="000000" w:fill="FFFFFF"/>
            <w:noWrap/>
            <w:vAlign w:val="center"/>
            <w:hideMark/>
          </w:tcPr>
          <w:p w14:paraId="7D08973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4D9F1FB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4DB00C6" w14:textId="77777777" w:rsidTr="00DC35B7">
        <w:trPr>
          <w:trHeight w:val="450"/>
        </w:trPr>
        <w:tc>
          <w:tcPr>
            <w:tcW w:w="188" w:type="pct"/>
            <w:shd w:val="clear" w:color="auto" w:fill="auto"/>
            <w:vAlign w:val="center"/>
            <w:hideMark/>
          </w:tcPr>
          <w:p w14:paraId="186B4689" w14:textId="77777777" w:rsidR="00DC35B7" w:rsidRPr="00DC35B7" w:rsidRDefault="00DC35B7" w:rsidP="00B77C25">
            <w:pPr>
              <w:jc w:val="center"/>
              <w:rPr>
                <w:b/>
                <w:bCs/>
                <w:color w:val="000000"/>
                <w:sz w:val="16"/>
                <w:szCs w:val="16"/>
                <w:lang w:val="es-MX" w:eastAsia="es-MX"/>
              </w:rPr>
            </w:pPr>
          </w:p>
        </w:tc>
        <w:tc>
          <w:tcPr>
            <w:tcW w:w="301" w:type="pct"/>
            <w:shd w:val="clear" w:color="auto" w:fill="auto"/>
            <w:vAlign w:val="center"/>
            <w:hideMark/>
          </w:tcPr>
          <w:p w14:paraId="667DA20D"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1.3</w:t>
            </w:r>
          </w:p>
        </w:tc>
        <w:tc>
          <w:tcPr>
            <w:tcW w:w="1252" w:type="pct"/>
            <w:shd w:val="clear" w:color="auto" w:fill="auto"/>
            <w:vAlign w:val="center"/>
            <w:hideMark/>
          </w:tcPr>
          <w:p w14:paraId="7CBEB3F8" w14:textId="77777777" w:rsidR="00DC35B7" w:rsidRPr="00DC35B7" w:rsidRDefault="00DC35B7" w:rsidP="00B77C25">
            <w:pPr>
              <w:rPr>
                <w:b/>
                <w:bCs/>
                <w:color w:val="000000"/>
                <w:sz w:val="16"/>
                <w:szCs w:val="16"/>
                <w:lang w:val="es-MX" w:eastAsia="es-MX"/>
              </w:rPr>
            </w:pPr>
            <w:r w:rsidRPr="00DC35B7">
              <w:rPr>
                <w:b/>
                <w:bCs/>
                <w:color w:val="000000"/>
                <w:sz w:val="16"/>
                <w:szCs w:val="16"/>
                <w:lang w:val="es-MX" w:eastAsia="es-MX"/>
              </w:rPr>
              <w:t>Impuestos Sobre la Producción, el Consumo y las Transacciones</w:t>
            </w:r>
          </w:p>
        </w:tc>
        <w:tc>
          <w:tcPr>
            <w:tcW w:w="789" w:type="pct"/>
            <w:shd w:val="clear" w:color="000000" w:fill="FFFFFF"/>
            <w:noWrap/>
            <w:vAlign w:val="center"/>
            <w:hideMark/>
          </w:tcPr>
          <w:p w14:paraId="3B0B3CD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3929AE7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0F15F09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35,256,811.00 </w:t>
            </w:r>
          </w:p>
        </w:tc>
        <w:tc>
          <w:tcPr>
            <w:tcW w:w="840" w:type="pct"/>
            <w:shd w:val="clear" w:color="000000" w:fill="FFFFFF"/>
            <w:noWrap/>
            <w:vAlign w:val="center"/>
            <w:hideMark/>
          </w:tcPr>
          <w:p w14:paraId="57BB3B3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1ABDA2F" w14:textId="77777777" w:rsidTr="00DC35B7">
        <w:trPr>
          <w:trHeight w:val="465"/>
        </w:trPr>
        <w:tc>
          <w:tcPr>
            <w:tcW w:w="188" w:type="pct"/>
            <w:shd w:val="clear" w:color="auto" w:fill="auto"/>
            <w:vAlign w:val="center"/>
            <w:hideMark/>
          </w:tcPr>
          <w:p w14:paraId="20B97F54"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0756735D"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1A9472F5"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la prestación del servicio de hospedaje</w:t>
            </w:r>
          </w:p>
        </w:tc>
        <w:tc>
          <w:tcPr>
            <w:tcW w:w="789" w:type="pct"/>
            <w:shd w:val="clear" w:color="000000" w:fill="FFFFFF"/>
            <w:noWrap/>
            <w:vAlign w:val="center"/>
            <w:hideMark/>
          </w:tcPr>
          <w:p w14:paraId="4C0ACF0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55B46DC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3,427,960.00 </w:t>
            </w:r>
          </w:p>
        </w:tc>
        <w:tc>
          <w:tcPr>
            <w:tcW w:w="840" w:type="pct"/>
            <w:shd w:val="clear" w:color="000000" w:fill="FFFFFF"/>
            <w:noWrap/>
            <w:vAlign w:val="center"/>
            <w:hideMark/>
          </w:tcPr>
          <w:p w14:paraId="05E4FE6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3D019B3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4084873" w14:textId="77777777" w:rsidTr="00DC35B7">
        <w:trPr>
          <w:trHeight w:val="465"/>
        </w:trPr>
        <w:tc>
          <w:tcPr>
            <w:tcW w:w="188" w:type="pct"/>
            <w:shd w:val="clear" w:color="auto" w:fill="auto"/>
            <w:vAlign w:val="center"/>
            <w:hideMark/>
          </w:tcPr>
          <w:p w14:paraId="38DDEAB5"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3481ECFC"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776D581C"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funciones notariales y correduría pública</w:t>
            </w:r>
          </w:p>
        </w:tc>
        <w:tc>
          <w:tcPr>
            <w:tcW w:w="789" w:type="pct"/>
            <w:shd w:val="clear" w:color="000000" w:fill="FFFFFF"/>
            <w:noWrap/>
            <w:vAlign w:val="center"/>
            <w:hideMark/>
          </w:tcPr>
          <w:p w14:paraId="38DA1ED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22DDCA8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1,633,665.00 </w:t>
            </w:r>
          </w:p>
        </w:tc>
        <w:tc>
          <w:tcPr>
            <w:tcW w:w="840" w:type="pct"/>
            <w:shd w:val="clear" w:color="000000" w:fill="FFFFFF"/>
            <w:noWrap/>
            <w:vAlign w:val="center"/>
            <w:hideMark/>
          </w:tcPr>
          <w:p w14:paraId="31AFDEF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43093A2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13D8111" w14:textId="77777777" w:rsidTr="00DC35B7">
        <w:trPr>
          <w:trHeight w:val="300"/>
        </w:trPr>
        <w:tc>
          <w:tcPr>
            <w:tcW w:w="188" w:type="pct"/>
            <w:shd w:val="clear" w:color="auto" w:fill="auto"/>
            <w:vAlign w:val="center"/>
            <w:hideMark/>
          </w:tcPr>
          <w:p w14:paraId="5CD047A8"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3D59D6BE"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3A900147"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ejercicio de profesiones</w:t>
            </w:r>
          </w:p>
        </w:tc>
        <w:tc>
          <w:tcPr>
            <w:tcW w:w="789" w:type="pct"/>
            <w:shd w:val="clear" w:color="000000" w:fill="FFFFFF"/>
            <w:noWrap/>
            <w:vAlign w:val="center"/>
            <w:hideMark/>
          </w:tcPr>
          <w:p w14:paraId="418DDAD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7A11EA2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2,674,517.00 </w:t>
            </w:r>
          </w:p>
        </w:tc>
        <w:tc>
          <w:tcPr>
            <w:tcW w:w="840" w:type="pct"/>
            <w:shd w:val="clear" w:color="000000" w:fill="FFFFFF"/>
            <w:noWrap/>
            <w:vAlign w:val="center"/>
            <w:hideMark/>
          </w:tcPr>
          <w:p w14:paraId="1C500DB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462C015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0575C66" w14:textId="77777777" w:rsidTr="00DC35B7">
        <w:trPr>
          <w:trHeight w:val="465"/>
        </w:trPr>
        <w:tc>
          <w:tcPr>
            <w:tcW w:w="188" w:type="pct"/>
            <w:shd w:val="clear" w:color="auto" w:fill="auto"/>
            <w:vAlign w:val="center"/>
            <w:hideMark/>
          </w:tcPr>
          <w:p w14:paraId="4F8D1DB3"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73B94287"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253A2177"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adquisición de vehículos automotores usados</w:t>
            </w:r>
          </w:p>
        </w:tc>
        <w:tc>
          <w:tcPr>
            <w:tcW w:w="789" w:type="pct"/>
            <w:shd w:val="clear" w:color="000000" w:fill="FFFFFF"/>
            <w:noWrap/>
            <w:vAlign w:val="center"/>
            <w:hideMark/>
          </w:tcPr>
          <w:p w14:paraId="4222A5C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463E8B1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27,520,669.00 </w:t>
            </w:r>
          </w:p>
        </w:tc>
        <w:tc>
          <w:tcPr>
            <w:tcW w:w="840" w:type="pct"/>
            <w:shd w:val="clear" w:color="000000" w:fill="FFFFFF"/>
            <w:noWrap/>
            <w:vAlign w:val="center"/>
            <w:hideMark/>
          </w:tcPr>
          <w:p w14:paraId="686A323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4D1456E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36D21CE" w14:textId="77777777" w:rsidTr="00DC35B7">
        <w:trPr>
          <w:trHeight w:val="300"/>
        </w:trPr>
        <w:tc>
          <w:tcPr>
            <w:tcW w:w="188" w:type="pct"/>
            <w:shd w:val="clear" w:color="auto" w:fill="auto"/>
            <w:vAlign w:val="center"/>
            <w:hideMark/>
          </w:tcPr>
          <w:p w14:paraId="52808587" w14:textId="77777777" w:rsidR="00DC35B7" w:rsidRPr="00DC35B7" w:rsidRDefault="00DC35B7" w:rsidP="00B77C25">
            <w:pPr>
              <w:jc w:val="center"/>
              <w:rPr>
                <w:b/>
                <w:bCs/>
                <w:color w:val="000000"/>
                <w:sz w:val="16"/>
                <w:szCs w:val="16"/>
                <w:lang w:val="es-MX" w:eastAsia="es-MX"/>
              </w:rPr>
            </w:pPr>
          </w:p>
        </w:tc>
        <w:tc>
          <w:tcPr>
            <w:tcW w:w="301" w:type="pct"/>
            <w:shd w:val="clear" w:color="auto" w:fill="auto"/>
            <w:vAlign w:val="center"/>
            <w:hideMark/>
          </w:tcPr>
          <w:p w14:paraId="278F690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1.4</w:t>
            </w:r>
          </w:p>
        </w:tc>
        <w:tc>
          <w:tcPr>
            <w:tcW w:w="1252" w:type="pct"/>
            <w:shd w:val="clear" w:color="auto" w:fill="auto"/>
            <w:vAlign w:val="center"/>
            <w:hideMark/>
          </w:tcPr>
          <w:p w14:paraId="43BD1B58"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 al Comercio Exterior</w:t>
            </w:r>
          </w:p>
        </w:tc>
        <w:tc>
          <w:tcPr>
            <w:tcW w:w="789" w:type="pct"/>
            <w:shd w:val="clear" w:color="000000" w:fill="FFFFFF"/>
            <w:noWrap/>
            <w:vAlign w:val="center"/>
            <w:hideMark/>
          </w:tcPr>
          <w:p w14:paraId="48CEC4B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3F5DF18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1207BFB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shd w:val="clear" w:color="000000" w:fill="FFFFFF"/>
            <w:noWrap/>
            <w:vAlign w:val="center"/>
            <w:hideMark/>
          </w:tcPr>
          <w:p w14:paraId="4E52394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E7296FB" w14:textId="77777777" w:rsidTr="00DC35B7">
        <w:trPr>
          <w:trHeight w:val="274"/>
        </w:trPr>
        <w:tc>
          <w:tcPr>
            <w:tcW w:w="188" w:type="pct"/>
            <w:shd w:val="clear" w:color="auto" w:fill="auto"/>
            <w:vAlign w:val="center"/>
            <w:hideMark/>
          </w:tcPr>
          <w:p w14:paraId="4CB6A5B7" w14:textId="77777777" w:rsidR="00DC35B7" w:rsidRPr="00DC35B7" w:rsidRDefault="00DC35B7" w:rsidP="00B77C25">
            <w:pPr>
              <w:jc w:val="center"/>
              <w:rPr>
                <w:b/>
                <w:bCs/>
                <w:color w:val="000000"/>
                <w:sz w:val="16"/>
                <w:szCs w:val="16"/>
                <w:lang w:val="es-MX" w:eastAsia="es-MX"/>
              </w:rPr>
            </w:pPr>
          </w:p>
        </w:tc>
        <w:tc>
          <w:tcPr>
            <w:tcW w:w="301" w:type="pct"/>
            <w:shd w:val="clear" w:color="auto" w:fill="auto"/>
            <w:vAlign w:val="center"/>
            <w:hideMark/>
          </w:tcPr>
          <w:p w14:paraId="16003B12"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1.5</w:t>
            </w:r>
          </w:p>
        </w:tc>
        <w:tc>
          <w:tcPr>
            <w:tcW w:w="1252" w:type="pct"/>
            <w:shd w:val="clear" w:color="auto" w:fill="auto"/>
            <w:vAlign w:val="center"/>
            <w:hideMark/>
          </w:tcPr>
          <w:p w14:paraId="21E6CFFF"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 Sobre Nóminas y Asimilables</w:t>
            </w:r>
          </w:p>
        </w:tc>
        <w:tc>
          <w:tcPr>
            <w:tcW w:w="789" w:type="pct"/>
            <w:shd w:val="clear" w:color="000000" w:fill="FFFFFF"/>
            <w:noWrap/>
            <w:vAlign w:val="center"/>
            <w:hideMark/>
          </w:tcPr>
          <w:p w14:paraId="2EC634C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04E40A5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shd w:val="clear" w:color="000000" w:fill="FFFFFF"/>
            <w:noWrap/>
            <w:vAlign w:val="center"/>
            <w:hideMark/>
          </w:tcPr>
          <w:p w14:paraId="3B6D871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663,472,858.00 </w:t>
            </w:r>
          </w:p>
        </w:tc>
        <w:tc>
          <w:tcPr>
            <w:tcW w:w="840" w:type="pct"/>
            <w:shd w:val="clear" w:color="000000" w:fill="FFFFFF"/>
            <w:noWrap/>
            <w:vAlign w:val="center"/>
            <w:hideMark/>
          </w:tcPr>
          <w:p w14:paraId="73E4753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5694F66" w14:textId="77777777" w:rsidTr="00DC35B7">
        <w:trPr>
          <w:trHeight w:val="300"/>
        </w:trPr>
        <w:tc>
          <w:tcPr>
            <w:tcW w:w="188" w:type="pct"/>
            <w:shd w:val="clear" w:color="auto" w:fill="auto"/>
            <w:vAlign w:val="center"/>
            <w:hideMark/>
          </w:tcPr>
          <w:p w14:paraId="2D16CB5D" w14:textId="77777777" w:rsidR="00DC35B7" w:rsidRPr="00DC35B7" w:rsidRDefault="00DC35B7" w:rsidP="00B77C25">
            <w:pPr>
              <w:jc w:val="center"/>
              <w:rPr>
                <w:b/>
                <w:bCs/>
                <w:color w:val="000000"/>
                <w:sz w:val="16"/>
                <w:szCs w:val="16"/>
                <w:lang w:val="es-MX" w:eastAsia="es-MX"/>
              </w:rPr>
            </w:pPr>
          </w:p>
        </w:tc>
        <w:tc>
          <w:tcPr>
            <w:tcW w:w="301" w:type="pct"/>
            <w:shd w:val="clear" w:color="auto" w:fill="auto"/>
            <w:noWrap/>
            <w:vAlign w:val="center"/>
            <w:hideMark/>
          </w:tcPr>
          <w:p w14:paraId="5E8480C1" w14:textId="77777777" w:rsidR="00DC35B7" w:rsidRPr="00DC35B7" w:rsidRDefault="00DC35B7" w:rsidP="00B77C25">
            <w:pPr>
              <w:jc w:val="center"/>
              <w:rPr>
                <w:color w:val="000000"/>
                <w:sz w:val="16"/>
                <w:szCs w:val="16"/>
                <w:lang w:val="es-MX" w:eastAsia="es-MX"/>
              </w:rPr>
            </w:pPr>
          </w:p>
        </w:tc>
        <w:tc>
          <w:tcPr>
            <w:tcW w:w="1252" w:type="pct"/>
            <w:shd w:val="clear" w:color="auto" w:fill="auto"/>
            <w:vAlign w:val="center"/>
            <w:hideMark/>
          </w:tcPr>
          <w:p w14:paraId="1C4C6161"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Nóminas</w:t>
            </w:r>
          </w:p>
        </w:tc>
        <w:tc>
          <w:tcPr>
            <w:tcW w:w="789" w:type="pct"/>
            <w:shd w:val="clear" w:color="000000" w:fill="FFFFFF"/>
            <w:noWrap/>
            <w:vAlign w:val="center"/>
            <w:hideMark/>
          </w:tcPr>
          <w:p w14:paraId="394083F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shd w:val="clear" w:color="000000" w:fill="FFFFFF"/>
            <w:noWrap/>
            <w:vAlign w:val="center"/>
            <w:hideMark/>
          </w:tcPr>
          <w:p w14:paraId="7B14016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663,472,858.00 </w:t>
            </w:r>
          </w:p>
        </w:tc>
        <w:tc>
          <w:tcPr>
            <w:tcW w:w="840" w:type="pct"/>
            <w:shd w:val="clear" w:color="000000" w:fill="FFFFFF"/>
            <w:noWrap/>
            <w:vAlign w:val="center"/>
            <w:hideMark/>
          </w:tcPr>
          <w:p w14:paraId="4987E39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shd w:val="clear" w:color="000000" w:fill="FFFFFF"/>
            <w:noWrap/>
            <w:vAlign w:val="center"/>
            <w:hideMark/>
          </w:tcPr>
          <w:p w14:paraId="7D32801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bookmarkEnd w:id="2"/>
      <w:tr w:rsidR="00DC35B7" w:rsidRPr="00DC35B7" w14:paraId="046CEB9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17A98A"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hideMark/>
          </w:tcPr>
          <w:p w14:paraId="1ACFD06D"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1.6</w:t>
            </w: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317BAF67"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 Ecológicos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7104D90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6207073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42AC6D7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6BF0800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98829E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76968"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hideMark/>
          </w:tcPr>
          <w:p w14:paraId="08B39B4B"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1.7</w:t>
            </w: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6D593DEC"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Accesorios de Impuestos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13A970F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66603CE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50D3D1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6,416,398.00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37ED66A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22D664B"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7BD3C57"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1C0CE3D"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CB4E4EF"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Actualizaciones</w:t>
            </w:r>
          </w:p>
        </w:tc>
        <w:tc>
          <w:tcPr>
            <w:tcW w:w="789" w:type="pct"/>
            <w:tcBorders>
              <w:top w:val="nil"/>
              <w:left w:val="nil"/>
              <w:bottom w:val="single" w:sz="4" w:space="0" w:color="auto"/>
              <w:right w:val="single" w:sz="4" w:space="0" w:color="auto"/>
            </w:tcBorders>
            <w:shd w:val="clear" w:color="000000" w:fill="FFFFFF"/>
            <w:noWrap/>
            <w:vAlign w:val="center"/>
            <w:hideMark/>
          </w:tcPr>
          <w:p w14:paraId="02BF787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67C7C2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1,066,519.00 </w:t>
            </w:r>
          </w:p>
        </w:tc>
        <w:tc>
          <w:tcPr>
            <w:tcW w:w="840" w:type="pct"/>
            <w:tcBorders>
              <w:top w:val="nil"/>
              <w:left w:val="nil"/>
              <w:bottom w:val="single" w:sz="4" w:space="0" w:color="auto"/>
              <w:right w:val="single" w:sz="4" w:space="0" w:color="auto"/>
            </w:tcBorders>
            <w:shd w:val="clear" w:color="000000" w:fill="FFFFFF"/>
            <w:noWrap/>
            <w:vAlign w:val="center"/>
            <w:hideMark/>
          </w:tcPr>
          <w:p w14:paraId="70B42D6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B3F9B1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CBE17E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2BA3A2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D554A53"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C11246E"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Recargos</w:t>
            </w:r>
          </w:p>
        </w:tc>
        <w:tc>
          <w:tcPr>
            <w:tcW w:w="789" w:type="pct"/>
            <w:tcBorders>
              <w:top w:val="nil"/>
              <w:left w:val="nil"/>
              <w:bottom w:val="single" w:sz="4" w:space="0" w:color="auto"/>
              <w:right w:val="single" w:sz="4" w:space="0" w:color="auto"/>
            </w:tcBorders>
            <w:shd w:val="clear" w:color="000000" w:fill="FFFFFF"/>
            <w:noWrap/>
            <w:vAlign w:val="center"/>
            <w:hideMark/>
          </w:tcPr>
          <w:p w14:paraId="08AF450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6F74EA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3,998,121.00 </w:t>
            </w:r>
          </w:p>
        </w:tc>
        <w:tc>
          <w:tcPr>
            <w:tcW w:w="840" w:type="pct"/>
            <w:tcBorders>
              <w:top w:val="nil"/>
              <w:left w:val="nil"/>
              <w:bottom w:val="single" w:sz="4" w:space="0" w:color="auto"/>
              <w:right w:val="single" w:sz="4" w:space="0" w:color="auto"/>
            </w:tcBorders>
            <w:shd w:val="clear" w:color="000000" w:fill="FFFFFF"/>
            <w:noWrap/>
            <w:vAlign w:val="center"/>
            <w:hideMark/>
          </w:tcPr>
          <w:p w14:paraId="1890DF8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8DBA10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8A2746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3A720B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D9F6180"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66C54D9"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Multas</w:t>
            </w:r>
          </w:p>
        </w:tc>
        <w:tc>
          <w:tcPr>
            <w:tcW w:w="789" w:type="pct"/>
            <w:tcBorders>
              <w:top w:val="nil"/>
              <w:left w:val="nil"/>
              <w:bottom w:val="single" w:sz="4" w:space="0" w:color="auto"/>
              <w:right w:val="single" w:sz="4" w:space="0" w:color="auto"/>
            </w:tcBorders>
            <w:shd w:val="clear" w:color="000000" w:fill="FFFFFF"/>
            <w:noWrap/>
            <w:vAlign w:val="center"/>
            <w:hideMark/>
          </w:tcPr>
          <w:p w14:paraId="34FFF18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9E0D8A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961,584.00 </w:t>
            </w:r>
          </w:p>
        </w:tc>
        <w:tc>
          <w:tcPr>
            <w:tcW w:w="840" w:type="pct"/>
            <w:tcBorders>
              <w:top w:val="nil"/>
              <w:left w:val="nil"/>
              <w:bottom w:val="single" w:sz="4" w:space="0" w:color="auto"/>
              <w:right w:val="single" w:sz="4" w:space="0" w:color="auto"/>
            </w:tcBorders>
            <w:shd w:val="clear" w:color="000000" w:fill="FFFFFF"/>
            <w:noWrap/>
            <w:vAlign w:val="center"/>
            <w:hideMark/>
          </w:tcPr>
          <w:p w14:paraId="21E3482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7537B0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EAC96B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B57B51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0ECACC8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15155872"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Gastos de ejecución</w:t>
            </w:r>
          </w:p>
        </w:tc>
        <w:tc>
          <w:tcPr>
            <w:tcW w:w="789" w:type="pct"/>
            <w:tcBorders>
              <w:top w:val="nil"/>
              <w:left w:val="nil"/>
              <w:bottom w:val="single" w:sz="4" w:space="0" w:color="auto"/>
              <w:right w:val="single" w:sz="4" w:space="0" w:color="auto"/>
            </w:tcBorders>
            <w:shd w:val="clear" w:color="000000" w:fill="FFFFFF"/>
            <w:noWrap/>
            <w:vAlign w:val="center"/>
            <w:hideMark/>
          </w:tcPr>
          <w:p w14:paraId="6EEEDB7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C672E9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390,174.00 </w:t>
            </w:r>
          </w:p>
        </w:tc>
        <w:tc>
          <w:tcPr>
            <w:tcW w:w="840" w:type="pct"/>
            <w:tcBorders>
              <w:top w:val="nil"/>
              <w:left w:val="nil"/>
              <w:bottom w:val="single" w:sz="4" w:space="0" w:color="auto"/>
              <w:right w:val="single" w:sz="4" w:space="0" w:color="auto"/>
            </w:tcBorders>
            <w:shd w:val="clear" w:color="000000" w:fill="FFFFFF"/>
            <w:noWrap/>
            <w:vAlign w:val="center"/>
            <w:hideMark/>
          </w:tcPr>
          <w:p w14:paraId="7D732B2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64B37E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E3FCFA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E1F1012" w14:textId="77777777" w:rsidR="00DC35B7" w:rsidRPr="00DC35B7" w:rsidRDefault="00DC35B7" w:rsidP="00B77C25">
            <w:pPr>
              <w:jc w:val="center"/>
              <w:rPr>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8B86CB7"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62F6AB7"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Indemnización por cheques devueltos</w:t>
            </w:r>
          </w:p>
        </w:tc>
        <w:tc>
          <w:tcPr>
            <w:tcW w:w="789" w:type="pct"/>
            <w:tcBorders>
              <w:top w:val="nil"/>
              <w:left w:val="nil"/>
              <w:bottom w:val="single" w:sz="4" w:space="0" w:color="auto"/>
              <w:right w:val="single" w:sz="4" w:space="0" w:color="auto"/>
            </w:tcBorders>
            <w:shd w:val="clear" w:color="000000" w:fill="FFFFFF"/>
            <w:noWrap/>
            <w:vAlign w:val="center"/>
            <w:hideMark/>
          </w:tcPr>
          <w:p w14:paraId="141DDE3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8E21DC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759D073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42A1A4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08C721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10EA8D6" w14:textId="77777777" w:rsidR="00DC35B7" w:rsidRPr="00DC35B7" w:rsidRDefault="00DC35B7" w:rsidP="00B77C25">
            <w:pPr>
              <w:jc w:val="center"/>
              <w:rPr>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A701227"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1.8</w:t>
            </w:r>
          </w:p>
        </w:tc>
        <w:tc>
          <w:tcPr>
            <w:tcW w:w="1252" w:type="pct"/>
            <w:tcBorders>
              <w:top w:val="nil"/>
              <w:left w:val="nil"/>
              <w:bottom w:val="single" w:sz="4" w:space="0" w:color="auto"/>
              <w:right w:val="single" w:sz="4" w:space="0" w:color="auto"/>
            </w:tcBorders>
            <w:shd w:val="clear" w:color="auto" w:fill="auto"/>
            <w:vAlign w:val="center"/>
            <w:hideMark/>
          </w:tcPr>
          <w:p w14:paraId="1875381D"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Otros Impuestos</w:t>
            </w:r>
          </w:p>
        </w:tc>
        <w:tc>
          <w:tcPr>
            <w:tcW w:w="789" w:type="pct"/>
            <w:tcBorders>
              <w:top w:val="nil"/>
              <w:left w:val="nil"/>
              <w:bottom w:val="single" w:sz="4" w:space="0" w:color="auto"/>
              <w:right w:val="single" w:sz="4" w:space="0" w:color="auto"/>
            </w:tcBorders>
            <w:shd w:val="clear" w:color="000000" w:fill="FFFFFF"/>
            <w:noWrap/>
            <w:vAlign w:val="center"/>
            <w:hideMark/>
          </w:tcPr>
          <w:p w14:paraId="63F6711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05EA22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97EAD1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1BC35B2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945077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1702639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51B30293"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1.9</w:t>
            </w:r>
          </w:p>
        </w:tc>
        <w:tc>
          <w:tcPr>
            <w:tcW w:w="1252" w:type="pct"/>
            <w:tcBorders>
              <w:top w:val="nil"/>
              <w:left w:val="nil"/>
              <w:bottom w:val="single" w:sz="4" w:space="0" w:color="auto"/>
              <w:right w:val="single" w:sz="4" w:space="0" w:color="auto"/>
            </w:tcBorders>
            <w:shd w:val="clear" w:color="auto" w:fill="auto"/>
            <w:vAlign w:val="center"/>
          </w:tcPr>
          <w:p w14:paraId="5B76AB20"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Impuestos no Comprendidos en la Ley de Ingresos Vigente, Causados en Ejercicios Fiscales Anteriores Pendientes de Liquidación o Pago</w:t>
            </w:r>
          </w:p>
        </w:tc>
        <w:tc>
          <w:tcPr>
            <w:tcW w:w="789" w:type="pct"/>
            <w:tcBorders>
              <w:top w:val="nil"/>
              <w:left w:val="nil"/>
              <w:bottom w:val="single" w:sz="4" w:space="0" w:color="auto"/>
              <w:right w:val="single" w:sz="4" w:space="0" w:color="auto"/>
            </w:tcBorders>
            <w:shd w:val="clear" w:color="000000" w:fill="FFFFFF"/>
            <w:noWrap/>
            <w:vAlign w:val="center"/>
          </w:tcPr>
          <w:p w14:paraId="728FCFC7"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1222E761"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0131ED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58943869" w14:textId="77777777" w:rsidR="00DC35B7" w:rsidRPr="00DC35B7" w:rsidRDefault="00DC35B7" w:rsidP="00B77C25">
            <w:pPr>
              <w:jc w:val="right"/>
              <w:rPr>
                <w:b/>
                <w:bCs/>
                <w:color w:val="000000"/>
                <w:sz w:val="16"/>
                <w:szCs w:val="16"/>
                <w:lang w:val="es-MX" w:eastAsia="es-MX"/>
              </w:rPr>
            </w:pPr>
          </w:p>
        </w:tc>
      </w:tr>
      <w:tr w:rsidR="00DC35B7" w:rsidRPr="00DC35B7" w14:paraId="0F94861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83C023F"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w:t>
            </w:r>
          </w:p>
        </w:tc>
        <w:tc>
          <w:tcPr>
            <w:tcW w:w="301" w:type="pct"/>
            <w:tcBorders>
              <w:top w:val="nil"/>
              <w:left w:val="nil"/>
              <w:bottom w:val="single" w:sz="4" w:space="0" w:color="auto"/>
              <w:right w:val="single" w:sz="4" w:space="0" w:color="auto"/>
            </w:tcBorders>
            <w:shd w:val="clear" w:color="auto" w:fill="auto"/>
            <w:vAlign w:val="center"/>
            <w:hideMark/>
          </w:tcPr>
          <w:p w14:paraId="312F168F"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681468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Cuotas y Aportaciones de Seguridad Social</w:t>
            </w:r>
          </w:p>
        </w:tc>
        <w:tc>
          <w:tcPr>
            <w:tcW w:w="789" w:type="pct"/>
            <w:tcBorders>
              <w:top w:val="nil"/>
              <w:left w:val="nil"/>
              <w:bottom w:val="single" w:sz="4" w:space="0" w:color="auto"/>
              <w:right w:val="single" w:sz="4" w:space="0" w:color="auto"/>
            </w:tcBorders>
            <w:shd w:val="clear" w:color="000000" w:fill="FFFFFF"/>
            <w:noWrap/>
            <w:vAlign w:val="center"/>
            <w:hideMark/>
          </w:tcPr>
          <w:p w14:paraId="587BE6C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4509D6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3B28A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37AF84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r>
      <w:tr w:rsidR="00DC35B7" w:rsidRPr="00DC35B7" w14:paraId="47EB1C8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FE87A8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4B0FE36"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2.1</w:t>
            </w:r>
          </w:p>
        </w:tc>
        <w:tc>
          <w:tcPr>
            <w:tcW w:w="1252" w:type="pct"/>
            <w:tcBorders>
              <w:top w:val="nil"/>
              <w:left w:val="nil"/>
              <w:bottom w:val="single" w:sz="4" w:space="0" w:color="auto"/>
              <w:right w:val="single" w:sz="4" w:space="0" w:color="auto"/>
            </w:tcBorders>
            <w:shd w:val="clear" w:color="auto" w:fill="auto"/>
            <w:vAlign w:val="center"/>
            <w:hideMark/>
          </w:tcPr>
          <w:p w14:paraId="35151271"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Aportaciones para Fondos de Vivienda</w:t>
            </w:r>
          </w:p>
        </w:tc>
        <w:tc>
          <w:tcPr>
            <w:tcW w:w="789" w:type="pct"/>
            <w:tcBorders>
              <w:top w:val="nil"/>
              <w:left w:val="nil"/>
              <w:bottom w:val="single" w:sz="4" w:space="0" w:color="auto"/>
              <w:right w:val="single" w:sz="4" w:space="0" w:color="auto"/>
            </w:tcBorders>
            <w:shd w:val="clear" w:color="000000" w:fill="FFFFFF"/>
            <w:noWrap/>
            <w:vAlign w:val="center"/>
            <w:hideMark/>
          </w:tcPr>
          <w:p w14:paraId="0471551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AD922C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716F4B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56B70FE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298656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1B2B65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00B24FD"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2.2</w:t>
            </w:r>
          </w:p>
        </w:tc>
        <w:tc>
          <w:tcPr>
            <w:tcW w:w="1252" w:type="pct"/>
            <w:tcBorders>
              <w:top w:val="nil"/>
              <w:left w:val="nil"/>
              <w:bottom w:val="single" w:sz="4" w:space="0" w:color="auto"/>
              <w:right w:val="single" w:sz="4" w:space="0" w:color="auto"/>
            </w:tcBorders>
            <w:shd w:val="clear" w:color="auto" w:fill="auto"/>
            <w:vAlign w:val="center"/>
            <w:hideMark/>
          </w:tcPr>
          <w:p w14:paraId="2696ECE1"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Cuotas para el Seguro Social</w:t>
            </w:r>
          </w:p>
        </w:tc>
        <w:tc>
          <w:tcPr>
            <w:tcW w:w="789" w:type="pct"/>
            <w:tcBorders>
              <w:top w:val="nil"/>
              <w:left w:val="nil"/>
              <w:bottom w:val="single" w:sz="4" w:space="0" w:color="auto"/>
              <w:right w:val="single" w:sz="4" w:space="0" w:color="auto"/>
            </w:tcBorders>
            <w:shd w:val="clear" w:color="000000" w:fill="FFFFFF"/>
            <w:noWrap/>
            <w:vAlign w:val="center"/>
            <w:hideMark/>
          </w:tcPr>
          <w:p w14:paraId="070A4DF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15D57C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4FDCB8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7775F08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FD527B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B75C58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0289C79"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2.3</w:t>
            </w:r>
          </w:p>
        </w:tc>
        <w:tc>
          <w:tcPr>
            <w:tcW w:w="1252" w:type="pct"/>
            <w:tcBorders>
              <w:top w:val="nil"/>
              <w:left w:val="nil"/>
              <w:bottom w:val="single" w:sz="4" w:space="0" w:color="auto"/>
              <w:right w:val="single" w:sz="4" w:space="0" w:color="auto"/>
            </w:tcBorders>
            <w:shd w:val="clear" w:color="auto" w:fill="auto"/>
            <w:vAlign w:val="center"/>
            <w:hideMark/>
          </w:tcPr>
          <w:p w14:paraId="1107AE2B"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Cuotas de Ahorro para el Retiro</w:t>
            </w:r>
          </w:p>
        </w:tc>
        <w:tc>
          <w:tcPr>
            <w:tcW w:w="789" w:type="pct"/>
            <w:tcBorders>
              <w:top w:val="nil"/>
              <w:left w:val="nil"/>
              <w:bottom w:val="single" w:sz="4" w:space="0" w:color="auto"/>
              <w:right w:val="single" w:sz="4" w:space="0" w:color="auto"/>
            </w:tcBorders>
            <w:shd w:val="clear" w:color="000000" w:fill="FFFFFF"/>
            <w:noWrap/>
            <w:vAlign w:val="center"/>
            <w:hideMark/>
          </w:tcPr>
          <w:p w14:paraId="6EB163C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64E10C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BE583F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F04A25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FE0F67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F6098B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7CEFE5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2.4</w:t>
            </w:r>
          </w:p>
        </w:tc>
        <w:tc>
          <w:tcPr>
            <w:tcW w:w="1252" w:type="pct"/>
            <w:tcBorders>
              <w:top w:val="nil"/>
              <w:left w:val="nil"/>
              <w:bottom w:val="single" w:sz="4" w:space="0" w:color="auto"/>
              <w:right w:val="single" w:sz="4" w:space="0" w:color="auto"/>
            </w:tcBorders>
            <w:shd w:val="clear" w:color="auto" w:fill="auto"/>
            <w:vAlign w:val="center"/>
            <w:hideMark/>
          </w:tcPr>
          <w:p w14:paraId="4B003E5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Otras Cuotas y Aportaciones para la Seguridad Social</w:t>
            </w:r>
          </w:p>
        </w:tc>
        <w:tc>
          <w:tcPr>
            <w:tcW w:w="789" w:type="pct"/>
            <w:tcBorders>
              <w:top w:val="nil"/>
              <w:left w:val="nil"/>
              <w:bottom w:val="single" w:sz="4" w:space="0" w:color="auto"/>
              <w:right w:val="single" w:sz="4" w:space="0" w:color="auto"/>
            </w:tcBorders>
            <w:shd w:val="clear" w:color="000000" w:fill="FFFFFF"/>
            <w:noWrap/>
            <w:vAlign w:val="center"/>
            <w:hideMark/>
          </w:tcPr>
          <w:p w14:paraId="6364C80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C59A8E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6B0836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3CADBAB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8A72AE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45B1F7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6D3374D"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2.5</w:t>
            </w:r>
          </w:p>
        </w:tc>
        <w:tc>
          <w:tcPr>
            <w:tcW w:w="1252" w:type="pct"/>
            <w:tcBorders>
              <w:top w:val="nil"/>
              <w:left w:val="nil"/>
              <w:bottom w:val="single" w:sz="4" w:space="0" w:color="auto"/>
              <w:right w:val="single" w:sz="4" w:space="0" w:color="auto"/>
            </w:tcBorders>
            <w:shd w:val="clear" w:color="auto" w:fill="auto"/>
            <w:vAlign w:val="center"/>
            <w:hideMark/>
          </w:tcPr>
          <w:p w14:paraId="7FFD76B6"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Accesorios de Cuotas y Aportaciones de Seguridad Social</w:t>
            </w:r>
          </w:p>
        </w:tc>
        <w:tc>
          <w:tcPr>
            <w:tcW w:w="789" w:type="pct"/>
            <w:tcBorders>
              <w:top w:val="nil"/>
              <w:left w:val="nil"/>
              <w:bottom w:val="single" w:sz="4" w:space="0" w:color="auto"/>
              <w:right w:val="single" w:sz="4" w:space="0" w:color="auto"/>
            </w:tcBorders>
            <w:shd w:val="clear" w:color="000000" w:fill="FFFFFF"/>
            <w:noWrap/>
            <w:vAlign w:val="center"/>
            <w:hideMark/>
          </w:tcPr>
          <w:p w14:paraId="39C019F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9B1816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9BD663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02072F1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A56397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0269333"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3</w:t>
            </w:r>
          </w:p>
        </w:tc>
        <w:tc>
          <w:tcPr>
            <w:tcW w:w="301" w:type="pct"/>
            <w:tcBorders>
              <w:top w:val="nil"/>
              <w:left w:val="nil"/>
              <w:bottom w:val="single" w:sz="4" w:space="0" w:color="auto"/>
              <w:right w:val="single" w:sz="4" w:space="0" w:color="auto"/>
            </w:tcBorders>
            <w:shd w:val="clear" w:color="auto" w:fill="auto"/>
            <w:vAlign w:val="center"/>
            <w:hideMark/>
          </w:tcPr>
          <w:p w14:paraId="12E9F8DA"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4FC7745"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Contribuciones de Mejoras</w:t>
            </w:r>
          </w:p>
        </w:tc>
        <w:tc>
          <w:tcPr>
            <w:tcW w:w="789" w:type="pct"/>
            <w:tcBorders>
              <w:top w:val="nil"/>
              <w:left w:val="nil"/>
              <w:bottom w:val="single" w:sz="4" w:space="0" w:color="auto"/>
              <w:right w:val="single" w:sz="4" w:space="0" w:color="auto"/>
            </w:tcBorders>
            <w:shd w:val="clear" w:color="000000" w:fill="FFFFFF"/>
            <w:noWrap/>
            <w:vAlign w:val="center"/>
            <w:hideMark/>
          </w:tcPr>
          <w:p w14:paraId="5478751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C32050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5F86E9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6B7201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r>
      <w:tr w:rsidR="00DC35B7" w:rsidRPr="00DC35B7" w14:paraId="5C513FA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8E8606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5C824A4"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3.1</w:t>
            </w:r>
          </w:p>
        </w:tc>
        <w:tc>
          <w:tcPr>
            <w:tcW w:w="1252" w:type="pct"/>
            <w:tcBorders>
              <w:top w:val="nil"/>
              <w:left w:val="nil"/>
              <w:bottom w:val="single" w:sz="4" w:space="0" w:color="auto"/>
              <w:right w:val="single" w:sz="4" w:space="0" w:color="auto"/>
            </w:tcBorders>
            <w:shd w:val="clear" w:color="auto" w:fill="auto"/>
            <w:vAlign w:val="center"/>
            <w:hideMark/>
          </w:tcPr>
          <w:p w14:paraId="7A3288C2"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Contribución de Mejoras por Obras Públicas</w:t>
            </w:r>
          </w:p>
        </w:tc>
        <w:tc>
          <w:tcPr>
            <w:tcW w:w="789" w:type="pct"/>
            <w:tcBorders>
              <w:top w:val="nil"/>
              <w:left w:val="nil"/>
              <w:bottom w:val="single" w:sz="4" w:space="0" w:color="auto"/>
              <w:right w:val="single" w:sz="4" w:space="0" w:color="auto"/>
            </w:tcBorders>
            <w:shd w:val="clear" w:color="000000" w:fill="FFFFFF"/>
            <w:noWrap/>
            <w:vAlign w:val="center"/>
            <w:hideMark/>
          </w:tcPr>
          <w:p w14:paraId="7FB56AD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DD1B22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0AD0EA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2A17562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67C392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403E4E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14722A39"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3.9</w:t>
            </w:r>
          </w:p>
        </w:tc>
        <w:tc>
          <w:tcPr>
            <w:tcW w:w="1252" w:type="pct"/>
            <w:tcBorders>
              <w:top w:val="nil"/>
              <w:left w:val="nil"/>
              <w:bottom w:val="single" w:sz="4" w:space="0" w:color="auto"/>
              <w:right w:val="single" w:sz="4" w:space="0" w:color="auto"/>
            </w:tcBorders>
            <w:shd w:val="clear" w:color="auto" w:fill="auto"/>
            <w:vAlign w:val="center"/>
            <w:hideMark/>
          </w:tcPr>
          <w:p w14:paraId="7ACA832D"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Contribuciones de Mejoras no Comprendidas en la Ley de Ingresos Vigente, Causadas en Ejercicios Fiscales Anteriores Pendientes de Liquidación o Pago</w:t>
            </w:r>
          </w:p>
        </w:tc>
        <w:tc>
          <w:tcPr>
            <w:tcW w:w="789" w:type="pct"/>
            <w:tcBorders>
              <w:top w:val="nil"/>
              <w:left w:val="nil"/>
              <w:bottom w:val="single" w:sz="4" w:space="0" w:color="auto"/>
              <w:right w:val="single" w:sz="4" w:space="0" w:color="auto"/>
            </w:tcBorders>
            <w:shd w:val="clear" w:color="000000" w:fill="FFFFFF"/>
            <w:noWrap/>
            <w:vAlign w:val="center"/>
            <w:hideMark/>
          </w:tcPr>
          <w:p w14:paraId="4617579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887708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EF5BC5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448589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1A1B48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6AA71C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w:t>
            </w:r>
          </w:p>
        </w:tc>
        <w:tc>
          <w:tcPr>
            <w:tcW w:w="301" w:type="pct"/>
            <w:tcBorders>
              <w:top w:val="nil"/>
              <w:left w:val="nil"/>
              <w:bottom w:val="single" w:sz="4" w:space="0" w:color="auto"/>
              <w:right w:val="single" w:sz="4" w:space="0" w:color="auto"/>
            </w:tcBorders>
            <w:shd w:val="clear" w:color="auto" w:fill="auto"/>
            <w:vAlign w:val="center"/>
            <w:hideMark/>
          </w:tcPr>
          <w:p w14:paraId="53DABCFF"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9917235"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Derechos</w:t>
            </w:r>
          </w:p>
        </w:tc>
        <w:tc>
          <w:tcPr>
            <w:tcW w:w="789" w:type="pct"/>
            <w:tcBorders>
              <w:top w:val="nil"/>
              <w:left w:val="nil"/>
              <w:bottom w:val="single" w:sz="4" w:space="0" w:color="auto"/>
              <w:right w:val="single" w:sz="4" w:space="0" w:color="auto"/>
            </w:tcBorders>
            <w:shd w:val="clear" w:color="000000" w:fill="FFFFFF"/>
            <w:noWrap/>
            <w:vAlign w:val="center"/>
            <w:hideMark/>
          </w:tcPr>
          <w:p w14:paraId="2BD7207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7062EF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34434C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AA9DD7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632,316,883.00 </w:t>
            </w:r>
          </w:p>
        </w:tc>
      </w:tr>
      <w:tr w:rsidR="00DC35B7" w:rsidRPr="00DC35B7" w14:paraId="1B842FE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398B0B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3C0ED85"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4.1</w:t>
            </w:r>
          </w:p>
        </w:tc>
        <w:tc>
          <w:tcPr>
            <w:tcW w:w="1252" w:type="pct"/>
            <w:tcBorders>
              <w:top w:val="nil"/>
              <w:left w:val="nil"/>
              <w:bottom w:val="single" w:sz="4" w:space="0" w:color="auto"/>
              <w:right w:val="single" w:sz="4" w:space="0" w:color="auto"/>
            </w:tcBorders>
            <w:shd w:val="clear" w:color="auto" w:fill="auto"/>
            <w:vAlign w:val="center"/>
            <w:hideMark/>
          </w:tcPr>
          <w:p w14:paraId="2B64DD4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Derechos por el Uso, Goce, Aprovechamiento o Explotación de Bienes de Dominio Público</w:t>
            </w:r>
          </w:p>
        </w:tc>
        <w:tc>
          <w:tcPr>
            <w:tcW w:w="789" w:type="pct"/>
            <w:tcBorders>
              <w:top w:val="nil"/>
              <w:left w:val="nil"/>
              <w:bottom w:val="single" w:sz="4" w:space="0" w:color="auto"/>
              <w:right w:val="single" w:sz="4" w:space="0" w:color="auto"/>
            </w:tcBorders>
            <w:shd w:val="clear" w:color="000000" w:fill="FFFFFF"/>
            <w:noWrap/>
            <w:vAlign w:val="center"/>
            <w:hideMark/>
          </w:tcPr>
          <w:p w14:paraId="578913E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0CE5AF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78496D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49B792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BDF79C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tcPr>
          <w:p w14:paraId="392E7D1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4782DDB0"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4.2</w:t>
            </w:r>
          </w:p>
        </w:tc>
        <w:tc>
          <w:tcPr>
            <w:tcW w:w="1252" w:type="pct"/>
            <w:tcBorders>
              <w:top w:val="nil"/>
              <w:left w:val="nil"/>
              <w:bottom w:val="single" w:sz="4" w:space="0" w:color="auto"/>
              <w:right w:val="single" w:sz="4" w:space="0" w:color="auto"/>
            </w:tcBorders>
            <w:shd w:val="clear" w:color="auto" w:fill="auto"/>
            <w:vAlign w:val="center"/>
          </w:tcPr>
          <w:p w14:paraId="027F711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Derechos a los Hidrocarburos (Derogado)</w:t>
            </w:r>
          </w:p>
        </w:tc>
        <w:tc>
          <w:tcPr>
            <w:tcW w:w="789" w:type="pct"/>
            <w:tcBorders>
              <w:top w:val="nil"/>
              <w:left w:val="nil"/>
              <w:bottom w:val="single" w:sz="4" w:space="0" w:color="auto"/>
              <w:right w:val="single" w:sz="4" w:space="0" w:color="auto"/>
            </w:tcBorders>
            <w:shd w:val="clear" w:color="000000" w:fill="FFFFFF"/>
            <w:noWrap/>
            <w:vAlign w:val="center"/>
          </w:tcPr>
          <w:p w14:paraId="6E227C7C"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C0E87ED"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148168A4"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43981160" w14:textId="77777777" w:rsidR="00DC35B7" w:rsidRPr="00DC35B7" w:rsidRDefault="00DC35B7" w:rsidP="00B77C25">
            <w:pPr>
              <w:jc w:val="right"/>
              <w:rPr>
                <w:b/>
                <w:bCs/>
                <w:color w:val="000000"/>
                <w:sz w:val="16"/>
                <w:szCs w:val="16"/>
                <w:lang w:val="es-MX" w:eastAsia="es-MX"/>
              </w:rPr>
            </w:pPr>
          </w:p>
        </w:tc>
      </w:tr>
      <w:tr w:rsidR="00DC35B7" w:rsidRPr="00DC35B7" w14:paraId="5E05C13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74E877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AB02D2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4.3</w:t>
            </w:r>
          </w:p>
        </w:tc>
        <w:tc>
          <w:tcPr>
            <w:tcW w:w="1252" w:type="pct"/>
            <w:tcBorders>
              <w:top w:val="nil"/>
              <w:left w:val="nil"/>
              <w:bottom w:val="single" w:sz="4" w:space="0" w:color="auto"/>
              <w:right w:val="single" w:sz="4" w:space="0" w:color="auto"/>
            </w:tcBorders>
            <w:shd w:val="clear" w:color="auto" w:fill="auto"/>
            <w:vAlign w:val="center"/>
            <w:hideMark/>
          </w:tcPr>
          <w:p w14:paraId="03C14F92"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Derechos por Prestación de Servicios</w:t>
            </w:r>
          </w:p>
        </w:tc>
        <w:tc>
          <w:tcPr>
            <w:tcW w:w="789" w:type="pct"/>
            <w:tcBorders>
              <w:top w:val="nil"/>
              <w:left w:val="nil"/>
              <w:bottom w:val="single" w:sz="4" w:space="0" w:color="auto"/>
              <w:right w:val="single" w:sz="4" w:space="0" w:color="auto"/>
            </w:tcBorders>
            <w:shd w:val="clear" w:color="000000" w:fill="FFFFFF"/>
            <w:noWrap/>
            <w:vAlign w:val="center"/>
            <w:hideMark/>
          </w:tcPr>
          <w:p w14:paraId="2A16471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3B1256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DF4AC2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618,135,535.00 </w:t>
            </w:r>
          </w:p>
        </w:tc>
        <w:tc>
          <w:tcPr>
            <w:tcW w:w="840" w:type="pct"/>
            <w:tcBorders>
              <w:top w:val="nil"/>
              <w:left w:val="nil"/>
              <w:bottom w:val="single" w:sz="4" w:space="0" w:color="auto"/>
              <w:right w:val="single" w:sz="4" w:space="0" w:color="auto"/>
            </w:tcBorders>
            <w:shd w:val="clear" w:color="000000" w:fill="FFFFFF"/>
            <w:noWrap/>
            <w:vAlign w:val="center"/>
            <w:hideMark/>
          </w:tcPr>
          <w:p w14:paraId="1E7DDFF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E4AF8C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DD388C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732C335"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177B9B2" w14:textId="77777777" w:rsidR="00DC35B7" w:rsidRPr="00DC35B7" w:rsidRDefault="00DC35B7" w:rsidP="00B77C25">
            <w:pPr>
              <w:jc w:val="both"/>
              <w:rPr>
                <w:sz w:val="16"/>
                <w:szCs w:val="16"/>
                <w:lang w:val="es-MX" w:eastAsia="es-MX"/>
              </w:rPr>
            </w:pPr>
            <w:r w:rsidRPr="00DC35B7">
              <w:rPr>
                <w:sz w:val="16"/>
                <w:szCs w:val="16"/>
                <w:lang w:val="es-MX" w:eastAsia="es-MX"/>
              </w:rPr>
              <w:t>Secretaría de Gobierno</w:t>
            </w:r>
          </w:p>
        </w:tc>
        <w:tc>
          <w:tcPr>
            <w:tcW w:w="789" w:type="pct"/>
            <w:tcBorders>
              <w:top w:val="nil"/>
              <w:left w:val="nil"/>
              <w:bottom w:val="single" w:sz="4" w:space="0" w:color="auto"/>
              <w:right w:val="single" w:sz="4" w:space="0" w:color="auto"/>
            </w:tcBorders>
            <w:shd w:val="clear" w:color="000000" w:fill="FFFFFF"/>
            <w:noWrap/>
            <w:vAlign w:val="center"/>
            <w:hideMark/>
          </w:tcPr>
          <w:p w14:paraId="791BBBA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7FAD54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63,827,116.00 </w:t>
            </w:r>
          </w:p>
        </w:tc>
        <w:tc>
          <w:tcPr>
            <w:tcW w:w="840" w:type="pct"/>
            <w:tcBorders>
              <w:top w:val="nil"/>
              <w:left w:val="nil"/>
              <w:bottom w:val="single" w:sz="4" w:space="0" w:color="auto"/>
              <w:right w:val="single" w:sz="4" w:space="0" w:color="auto"/>
            </w:tcBorders>
            <w:shd w:val="clear" w:color="000000" w:fill="FFFFFF"/>
            <w:noWrap/>
            <w:vAlign w:val="center"/>
            <w:hideMark/>
          </w:tcPr>
          <w:p w14:paraId="2CD4D5F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C204D8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CE3646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1D35CD5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412881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tcPr>
          <w:p w14:paraId="45FC0198" w14:textId="77777777" w:rsidR="00DC35B7" w:rsidRPr="00DC35B7" w:rsidRDefault="00DC35B7" w:rsidP="00B77C25">
            <w:pPr>
              <w:jc w:val="both"/>
              <w:rPr>
                <w:sz w:val="16"/>
                <w:szCs w:val="16"/>
                <w:lang w:val="es-MX" w:eastAsia="es-MX"/>
              </w:rPr>
            </w:pPr>
            <w:r w:rsidRPr="00DC35B7">
              <w:rPr>
                <w:sz w:val="16"/>
                <w:szCs w:val="16"/>
                <w:lang w:val="es-MX" w:eastAsia="es-MX"/>
              </w:rPr>
              <w:t>Secretaría de Seguridad Ciudadana</w:t>
            </w:r>
          </w:p>
        </w:tc>
        <w:tc>
          <w:tcPr>
            <w:tcW w:w="789" w:type="pct"/>
            <w:tcBorders>
              <w:top w:val="nil"/>
              <w:left w:val="nil"/>
              <w:bottom w:val="single" w:sz="4" w:space="0" w:color="auto"/>
              <w:right w:val="single" w:sz="4" w:space="0" w:color="auto"/>
            </w:tcBorders>
            <w:shd w:val="clear" w:color="000000" w:fill="FFFFFF"/>
            <w:noWrap/>
            <w:vAlign w:val="center"/>
          </w:tcPr>
          <w:p w14:paraId="6FD60E3D"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01ED3B3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21,565,885.00</w:t>
            </w:r>
          </w:p>
        </w:tc>
        <w:tc>
          <w:tcPr>
            <w:tcW w:w="840" w:type="pct"/>
            <w:tcBorders>
              <w:top w:val="nil"/>
              <w:left w:val="nil"/>
              <w:bottom w:val="single" w:sz="4" w:space="0" w:color="auto"/>
              <w:right w:val="single" w:sz="4" w:space="0" w:color="auto"/>
            </w:tcBorders>
            <w:shd w:val="clear" w:color="000000" w:fill="FFFFFF"/>
            <w:noWrap/>
            <w:vAlign w:val="center"/>
          </w:tcPr>
          <w:p w14:paraId="05047230"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169D5570" w14:textId="77777777" w:rsidR="00DC35B7" w:rsidRPr="00DC35B7" w:rsidRDefault="00DC35B7" w:rsidP="00B77C25">
            <w:pPr>
              <w:jc w:val="right"/>
              <w:rPr>
                <w:b/>
                <w:bCs/>
                <w:color w:val="000000"/>
                <w:sz w:val="16"/>
                <w:szCs w:val="16"/>
                <w:lang w:val="es-MX" w:eastAsia="es-MX"/>
              </w:rPr>
            </w:pPr>
          </w:p>
        </w:tc>
      </w:tr>
      <w:tr w:rsidR="00DC35B7" w:rsidRPr="00DC35B7" w14:paraId="0E17A2C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A905D6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F5C62FD"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164E844D" w14:textId="77777777" w:rsidR="00DC35B7" w:rsidRPr="00DC35B7" w:rsidRDefault="00DC35B7" w:rsidP="00B77C25">
            <w:pPr>
              <w:jc w:val="both"/>
              <w:rPr>
                <w:sz w:val="16"/>
                <w:szCs w:val="16"/>
                <w:lang w:val="es-MX" w:eastAsia="es-MX"/>
              </w:rPr>
            </w:pPr>
            <w:r w:rsidRPr="00DC35B7">
              <w:rPr>
                <w:sz w:val="16"/>
                <w:szCs w:val="16"/>
                <w:lang w:val="es-MX" w:eastAsia="es-MX"/>
              </w:rPr>
              <w:t>Secretaría de Movilidad y Transporte</w:t>
            </w:r>
          </w:p>
        </w:tc>
        <w:tc>
          <w:tcPr>
            <w:tcW w:w="789" w:type="pct"/>
            <w:tcBorders>
              <w:top w:val="nil"/>
              <w:left w:val="nil"/>
              <w:bottom w:val="single" w:sz="4" w:space="0" w:color="auto"/>
              <w:right w:val="single" w:sz="4" w:space="0" w:color="auto"/>
            </w:tcBorders>
            <w:shd w:val="clear" w:color="000000" w:fill="FFFFFF"/>
            <w:noWrap/>
            <w:vAlign w:val="center"/>
            <w:hideMark/>
          </w:tcPr>
          <w:p w14:paraId="5D364DE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758294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348,978,578.00 </w:t>
            </w:r>
          </w:p>
        </w:tc>
        <w:tc>
          <w:tcPr>
            <w:tcW w:w="840" w:type="pct"/>
            <w:tcBorders>
              <w:top w:val="nil"/>
              <w:left w:val="nil"/>
              <w:bottom w:val="single" w:sz="4" w:space="0" w:color="auto"/>
              <w:right w:val="single" w:sz="4" w:space="0" w:color="auto"/>
            </w:tcBorders>
            <w:shd w:val="clear" w:color="000000" w:fill="FFFFFF"/>
            <w:noWrap/>
            <w:vAlign w:val="center"/>
            <w:hideMark/>
          </w:tcPr>
          <w:p w14:paraId="5C35759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9EE17E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00D81D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BCD80E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5D7872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4869679E" w14:textId="77777777" w:rsidR="00DC35B7" w:rsidRPr="00DC35B7" w:rsidRDefault="00DC35B7" w:rsidP="00B77C25">
            <w:pPr>
              <w:jc w:val="both"/>
              <w:rPr>
                <w:sz w:val="16"/>
                <w:szCs w:val="16"/>
                <w:lang w:val="es-MX" w:eastAsia="es-MX"/>
              </w:rPr>
            </w:pPr>
            <w:r w:rsidRPr="00DC35B7">
              <w:rPr>
                <w:sz w:val="16"/>
                <w:szCs w:val="16"/>
                <w:lang w:val="es-MX" w:eastAsia="es-MX"/>
              </w:rPr>
              <w:t>Secretaría de Finanzas</w:t>
            </w:r>
          </w:p>
        </w:tc>
        <w:tc>
          <w:tcPr>
            <w:tcW w:w="789" w:type="pct"/>
            <w:tcBorders>
              <w:top w:val="nil"/>
              <w:left w:val="nil"/>
              <w:bottom w:val="single" w:sz="4" w:space="0" w:color="auto"/>
              <w:right w:val="single" w:sz="4" w:space="0" w:color="auto"/>
            </w:tcBorders>
            <w:shd w:val="clear" w:color="000000" w:fill="FFFFFF"/>
            <w:noWrap/>
            <w:vAlign w:val="center"/>
            <w:hideMark/>
          </w:tcPr>
          <w:p w14:paraId="0EB900E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A65467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17,753,656.00 </w:t>
            </w:r>
          </w:p>
        </w:tc>
        <w:tc>
          <w:tcPr>
            <w:tcW w:w="840" w:type="pct"/>
            <w:tcBorders>
              <w:top w:val="nil"/>
              <w:left w:val="nil"/>
              <w:bottom w:val="single" w:sz="4" w:space="0" w:color="auto"/>
              <w:right w:val="single" w:sz="4" w:space="0" w:color="auto"/>
            </w:tcBorders>
            <w:shd w:val="clear" w:color="000000" w:fill="FFFFFF"/>
            <w:noWrap/>
            <w:vAlign w:val="center"/>
            <w:hideMark/>
          </w:tcPr>
          <w:p w14:paraId="4A4DDA5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7BE068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7C744D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13A3D2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2485E7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D5D4456" w14:textId="77777777" w:rsidR="00DC35B7" w:rsidRPr="00DC35B7" w:rsidRDefault="00DC35B7" w:rsidP="00B77C25">
            <w:pPr>
              <w:jc w:val="both"/>
              <w:rPr>
                <w:sz w:val="16"/>
                <w:szCs w:val="16"/>
                <w:lang w:val="es-MX" w:eastAsia="es-MX"/>
              </w:rPr>
            </w:pPr>
            <w:r w:rsidRPr="00DC35B7">
              <w:rPr>
                <w:sz w:val="16"/>
                <w:szCs w:val="16"/>
                <w:lang w:val="es-MX" w:eastAsia="es-MX"/>
              </w:rPr>
              <w:t>Oficialía Mayor de Gobierno</w:t>
            </w:r>
          </w:p>
        </w:tc>
        <w:tc>
          <w:tcPr>
            <w:tcW w:w="789" w:type="pct"/>
            <w:tcBorders>
              <w:top w:val="nil"/>
              <w:left w:val="nil"/>
              <w:bottom w:val="single" w:sz="4" w:space="0" w:color="auto"/>
              <w:right w:val="single" w:sz="4" w:space="0" w:color="auto"/>
            </w:tcBorders>
            <w:shd w:val="clear" w:color="000000" w:fill="FFFFFF"/>
            <w:noWrap/>
            <w:vAlign w:val="center"/>
            <w:hideMark/>
          </w:tcPr>
          <w:p w14:paraId="7E13852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DE861B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31,381,133.00 </w:t>
            </w:r>
          </w:p>
        </w:tc>
        <w:tc>
          <w:tcPr>
            <w:tcW w:w="840" w:type="pct"/>
            <w:tcBorders>
              <w:top w:val="nil"/>
              <w:left w:val="nil"/>
              <w:bottom w:val="single" w:sz="4" w:space="0" w:color="auto"/>
              <w:right w:val="single" w:sz="4" w:space="0" w:color="auto"/>
            </w:tcBorders>
            <w:shd w:val="clear" w:color="000000" w:fill="FFFFFF"/>
            <w:noWrap/>
            <w:vAlign w:val="center"/>
            <w:hideMark/>
          </w:tcPr>
          <w:p w14:paraId="66F9920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F63191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B2F219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2A843F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C4366F7"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0D1F994" w14:textId="77777777" w:rsidR="00DC35B7" w:rsidRPr="00DC35B7" w:rsidRDefault="00DC35B7" w:rsidP="00B77C25">
            <w:pPr>
              <w:jc w:val="both"/>
              <w:rPr>
                <w:sz w:val="16"/>
                <w:szCs w:val="16"/>
                <w:lang w:val="es-MX" w:eastAsia="es-MX"/>
              </w:rPr>
            </w:pPr>
            <w:r w:rsidRPr="00DC35B7">
              <w:rPr>
                <w:sz w:val="16"/>
                <w:szCs w:val="16"/>
                <w:lang w:val="es-MX" w:eastAsia="es-MX"/>
              </w:rPr>
              <w:t>Secretaría de Infraestructura</w:t>
            </w:r>
          </w:p>
        </w:tc>
        <w:tc>
          <w:tcPr>
            <w:tcW w:w="789" w:type="pct"/>
            <w:tcBorders>
              <w:top w:val="nil"/>
              <w:left w:val="nil"/>
              <w:bottom w:val="single" w:sz="4" w:space="0" w:color="auto"/>
              <w:right w:val="single" w:sz="4" w:space="0" w:color="auto"/>
            </w:tcBorders>
            <w:shd w:val="clear" w:color="000000" w:fill="FFFFFF"/>
            <w:noWrap/>
            <w:vAlign w:val="center"/>
            <w:hideMark/>
          </w:tcPr>
          <w:p w14:paraId="426099A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EF465E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525,718.00 </w:t>
            </w:r>
          </w:p>
        </w:tc>
        <w:tc>
          <w:tcPr>
            <w:tcW w:w="840" w:type="pct"/>
            <w:tcBorders>
              <w:top w:val="nil"/>
              <w:left w:val="nil"/>
              <w:bottom w:val="single" w:sz="4" w:space="0" w:color="auto"/>
              <w:right w:val="single" w:sz="4" w:space="0" w:color="auto"/>
            </w:tcBorders>
            <w:shd w:val="clear" w:color="000000" w:fill="FFFFFF"/>
            <w:noWrap/>
            <w:vAlign w:val="center"/>
            <w:hideMark/>
          </w:tcPr>
          <w:p w14:paraId="50F52F0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919BB3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35988A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A29639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0DDA23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1A51196" w14:textId="77777777" w:rsidR="00DC35B7" w:rsidRPr="00DC35B7" w:rsidRDefault="00DC35B7" w:rsidP="00B77C25">
            <w:pPr>
              <w:jc w:val="both"/>
              <w:rPr>
                <w:sz w:val="16"/>
                <w:szCs w:val="16"/>
                <w:lang w:val="es-MX" w:eastAsia="es-MX"/>
              </w:rPr>
            </w:pPr>
            <w:r w:rsidRPr="00DC35B7">
              <w:rPr>
                <w:sz w:val="16"/>
                <w:szCs w:val="16"/>
                <w:lang w:val="es-MX" w:eastAsia="es-MX"/>
              </w:rPr>
              <w:t>Secretaría de Medio Ambiente</w:t>
            </w:r>
          </w:p>
        </w:tc>
        <w:tc>
          <w:tcPr>
            <w:tcW w:w="789" w:type="pct"/>
            <w:tcBorders>
              <w:top w:val="nil"/>
              <w:left w:val="nil"/>
              <w:bottom w:val="single" w:sz="4" w:space="0" w:color="auto"/>
              <w:right w:val="single" w:sz="4" w:space="0" w:color="auto"/>
            </w:tcBorders>
            <w:shd w:val="clear" w:color="000000" w:fill="FFFFFF"/>
            <w:noWrap/>
            <w:vAlign w:val="center"/>
            <w:hideMark/>
          </w:tcPr>
          <w:p w14:paraId="64A0A02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12BD68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64,587,312.00 </w:t>
            </w:r>
          </w:p>
        </w:tc>
        <w:tc>
          <w:tcPr>
            <w:tcW w:w="840" w:type="pct"/>
            <w:tcBorders>
              <w:top w:val="nil"/>
              <w:left w:val="nil"/>
              <w:bottom w:val="single" w:sz="4" w:space="0" w:color="auto"/>
              <w:right w:val="single" w:sz="4" w:space="0" w:color="auto"/>
            </w:tcBorders>
            <w:shd w:val="clear" w:color="000000" w:fill="FFFFFF"/>
            <w:noWrap/>
            <w:vAlign w:val="center"/>
            <w:hideMark/>
          </w:tcPr>
          <w:p w14:paraId="09D29A6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F7AC16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B6DCF5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DC722B"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2014ACFF"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hideMark/>
          </w:tcPr>
          <w:p w14:paraId="543D7027" w14:textId="77777777" w:rsidR="00DC35B7" w:rsidRPr="00DC35B7" w:rsidRDefault="00DC35B7" w:rsidP="00B77C25">
            <w:pPr>
              <w:jc w:val="both"/>
              <w:rPr>
                <w:sz w:val="16"/>
                <w:szCs w:val="16"/>
                <w:lang w:val="es-MX" w:eastAsia="es-MX"/>
              </w:rPr>
            </w:pPr>
            <w:r w:rsidRPr="00DC35B7">
              <w:rPr>
                <w:sz w:val="16"/>
                <w:szCs w:val="16"/>
                <w:lang w:val="es-MX" w:eastAsia="es-MX"/>
              </w:rPr>
              <w:t>Procuraduría General de Justicia</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540466E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47EB8FF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7,871,514.00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32FFDD5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CDB12D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E8FF7A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EB725C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331047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A85BD92" w14:textId="77777777" w:rsidR="00DC35B7" w:rsidRPr="00DC35B7" w:rsidRDefault="00DC35B7" w:rsidP="00B77C25">
            <w:pPr>
              <w:rPr>
                <w:sz w:val="16"/>
                <w:szCs w:val="16"/>
                <w:lang w:val="es-MX" w:eastAsia="es-MX"/>
              </w:rPr>
            </w:pPr>
            <w:r w:rsidRPr="00DC35B7">
              <w:rPr>
                <w:sz w:val="16"/>
                <w:szCs w:val="16"/>
                <w:lang w:val="es-MX" w:eastAsia="es-MX"/>
              </w:rPr>
              <w:t>Secretaría de la Función Pública</w:t>
            </w:r>
          </w:p>
        </w:tc>
        <w:tc>
          <w:tcPr>
            <w:tcW w:w="789" w:type="pct"/>
            <w:tcBorders>
              <w:top w:val="nil"/>
              <w:left w:val="nil"/>
              <w:bottom w:val="single" w:sz="4" w:space="0" w:color="auto"/>
              <w:right w:val="single" w:sz="4" w:space="0" w:color="auto"/>
            </w:tcBorders>
            <w:shd w:val="clear" w:color="000000" w:fill="FFFFFF"/>
            <w:noWrap/>
            <w:vAlign w:val="center"/>
            <w:hideMark/>
          </w:tcPr>
          <w:p w14:paraId="77C6708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2D84A8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1,767,120.00 </w:t>
            </w:r>
          </w:p>
        </w:tc>
        <w:tc>
          <w:tcPr>
            <w:tcW w:w="840" w:type="pct"/>
            <w:tcBorders>
              <w:top w:val="nil"/>
              <w:left w:val="nil"/>
              <w:bottom w:val="single" w:sz="4" w:space="0" w:color="auto"/>
              <w:right w:val="single" w:sz="4" w:space="0" w:color="auto"/>
            </w:tcBorders>
            <w:shd w:val="clear" w:color="000000" w:fill="FFFFFF"/>
            <w:noWrap/>
            <w:vAlign w:val="center"/>
            <w:hideMark/>
          </w:tcPr>
          <w:p w14:paraId="0EB0FD2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6EBC92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05CF52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14:paraId="441C23B2"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tcPr>
          <w:p w14:paraId="06924AB2"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tcPr>
          <w:p w14:paraId="354838C6" w14:textId="77777777" w:rsidR="00DC35B7" w:rsidRPr="00DC35B7" w:rsidRDefault="00DC35B7" w:rsidP="00B77C25">
            <w:pPr>
              <w:jc w:val="both"/>
              <w:rPr>
                <w:sz w:val="16"/>
                <w:szCs w:val="16"/>
                <w:lang w:val="es-MX" w:eastAsia="es-MX"/>
              </w:rPr>
            </w:pPr>
            <w:r w:rsidRPr="00DC35B7">
              <w:rPr>
                <w:sz w:val="16"/>
                <w:szCs w:val="16"/>
                <w:lang w:val="es-MX" w:eastAsia="es-MX"/>
              </w:rPr>
              <w:t>Secretaría de Fomento Agropecuario</w:t>
            </w: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2EB6E0EB" w14:textId="77777777" w:rsidR="00DC35B7" w:rsidRPr="00DC35B7" w:rsidRDefault="00DC35B7" w:rsidP="00B77C25">
            <w:pPr>
              <w:jc w:val="right"/>
              <w:rPr>
                <w:color w:val="000000"/>
                <w:sz w:val="16"/>
                <w:szCs w:val="16"/>
                <w:lang w:val="es-MX" w:eastAsia="es-MX"/>
              </w:rPr>
            </w:pP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38DF5AC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510,238.00</w:t>
            </w: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6BAB7CF5" w14:textId="77777777" w:rsidR="00DC35B7" w:rsidRPr="00DC35B7" w:rsidRDefault="00DC35B7" w:rsidP="00B77C25">
            <w:pPr>
              <w:jc w:val="right"/>
              <w:rPr>
                <w:b/>
                <w:bCs/>
                <w:color w:val="000000"/>
                <w:sz w:val="16"/>
                <w:szCs w:val="16"/>
                <w:lang w:val="es-MX" w:eastAsia="es-MX"/>
              </w:rPr>
            </w:pP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2CE5A0F7" w14:textId="77777777" w:rsidR="00DC35B7" w:rsidRPr="00DC35B7" w:rsidRDefault="00DC35B7" w:rsidP="00B77C25">
            <w:pPr>
              <w:jc w:val="right"/>
              <w:rPr>
                <w:b/>
                <w:bCs/>
                <w:color w:val="000000"/>
                <w:sz w:val="16"/>
                <w:szCs w:val="16"/>
                <w:lang w:val="es-MX" w:eastAsia="es-MX"/>
              </w:rPr>
            </w:pPr>
          </w:p>
        </w:tc>
      </w:tr>
      <w:tr w:rsidR="00DC35B7" w:rsidRPr="00DC35B7" w14:paraId="0E6A3C6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6AA33"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112C1AC2"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hideMark/>
          </w:tcPr>
          <w:p w14:paraId="640B371E" w14:textId="77777777" w:rsidR="00DC35B7" w:rsidRPr="00DC35B7" w:rsidRDefault="00DC35B7" w:rsidP="00B77C25">
            <w:pPr>
              <w:jc w:val="both"/>
              <w:rPr>
                <w:sz w:val="16"/>
                <w:szCs w:val="16"/>
                <w:lang w:val="es-MX" w:eastAsia="es-MX"/>
              </w:rPr>
            </w:pPr>
            <w:r w:rsidRPr="00DC35B7">
              <w:rPr>
                <w:sz w:val="16"/>
                <w:szCs w:val="16"/>
                <w:lang w:val="es-MX" w:eastAsia="es-MX"/>
              </w:rPr>
              <w:t>Secretaría de Salud</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1D4E62C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632FA15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26,791,580.00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354E546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909220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2B01BB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C9B420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0B41233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CF0EDEA" w14:textId="77777777" w:rsidR="00DC35B7" w:rsidRPr="00DC35B7" w:rsidRDefault="00DC35B7" w:rsidP="00B77C25">
            <w:pPr>
              <w:jc w:val="both"/>
              <w:rPr>
                <w:sz w:val="16"/>
                <w:szCs w:val="16"/>
                <w:lang w:val="es-MX" w:eastAsia="es-MX"/>
              </w:rPr>
            </w:pPr>
            <w:r w:rsidRPr="00DC35B7">
              <w:rPr>
                <w:sz w:val="16"/>
                <w:szCs w:val="16"/>
                <w:lang w:val="es-MX" w:eastAsia="es-MX"/>
              </w:rPr>
              <w:t>Instituto de Catastro</w:t>
            </w:r>
          </w:p>
        </w:tc>
        <w:tc>
          <w:tcPr>
            <w:tcW w:w="789" w:type="pct"/>
            <w:tcBorders>
              <w:top w:val="nil"/>
              <w:left w:val="nil"/>
              <w:bottom w:val="single" w:sz="4" w:space="0" w:color="auto"/>
              <w:right w:val="single" w:sz="4" w:space="0" w:color="auto"/>
            </w:tcBorders>
            <w:shd w:val="clear" w:color="000000" w:fill="FFFFFF"/>
            <w:noWrap/>
            <w:vAlign w:val="center"/>
            <w:hideMark/>
          </w:tcPr>
          <w:p w14:paraId="21E40A4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46BA26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2,272,573.00 </w:t>
            </w:r>
          </w:p>
        </w:tc>
        <w:tc>
          <w:tcPr>
            <w:tcW w:w="840" w:type="pct"/>
            <w:tcBorders>
              <w:top w:val="nil"/>
              <w:left w:val="nil"/>
              <w:bottom w:val="single" w:sz="4" w:space="0" w:color="auto"/>
              <w:right w:val="single" w:sz="4" w:space="0" w:color="auto"/>
            </w:tcBorders>
            <w:shd w:val="clear" w:color="000000" w:fill="FFFFFF"/>
            <w:noWrap/>
            <w:vAlign w:val="center"/>
            <w:hideMark/>
          </w:tcPr>
          <w:p w14:paraId="704159D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620C84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2E7482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9251A98"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F7A1981"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6A314400" w14:textId="77777777" w:rsidR="00DC35B7" w:rsidRPr="00DC35B7" w:rsidRDefault="00DC35B7" w:rsidP="00B77C25">
            <w:pPr>
              <w:jc w:val="both"/>
              <w:rPr>
                <w:sz w:val="16"/>
                <w:szCs w:val="16"/>
                <w:lang w:val="es-MX" w:eastAsia="es-MX"/>
              </w:rPr>
            </w:pPr>
            <w:r w:rsidRPr="00DC35B7">
              <w:rPr>
                <w:sz w:val="16"/>
                <w:szCs w:val="16"/>
                <w:lang w:val="es-MX" w:eastAsia="es-MX"/>
              </w:rPr>
              <w:t>Poder Judicial</w:t>
            </w:r>
          </w:p>
        </w:tc>
        <w:tc>
          <w:tcPr>
            <w:tcW w:w="789" w:type="pct"/>
            <w:tcBorders>
              <w:top w:val="nil"/>
              <w:left w:val="nil"/>
              <w:bottom w:val="single" w:sz="4" w:space="0" w:color="auto"/>
              <w:right w:val="single" w:sz="4" w:space="0" w:color="auto"/>
            </w:tcBorders>
            <w:shd w:val="clear" w:color="000000" w:fill="FFFFFF"/>
            <w:noWrap/>
            <w:vAlign w:val="center"/>
            <w:hideMark/>
          </w:tcPr>
          <w:p w14:paraId="7F0AA18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5E440C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30956F0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FD03DF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D94373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tcPr>
          <w:p w14:paraId="1DC835B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24C1B21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tcPr>
          <w:p w14:paraId="35DA7C9E" w14:textId="77777777" w:rsidR="00DC35B7" w:rsidRPr="00DC35B7" w:rsidRDefault="00DC35B7" w:rsidP="00B77C25">
            <w:pPr>
              <w:jc w:val="both"/>
              <w:rPr>
                <w:sz w:val="16"/>
                <w:szCs w:val="16"/>
                <w:lang w:val="es-MX" w:eastAsia="es-MX"/>
              </w:rPr>
            </w:pPr>
            <w:r w:rsidRPr="00DC35B7">
              <w:rPr>
                <w:sz w:val="16"/>
                <w:szCs w:val="16"/>
                <w:lang w:val="es-MX" w:eastAsia="es-MX"/>
              </w:rPr>
              <w:t>Secretaría de Cultura</w:t>
            </w:r>
          </w:p>
        </w:tc>
        <w:tc>
          <w:tcPr>
            <w:tcW w:w="789" w:type="pct"/>
            <w:tcBorders>
              <w:top w:val="nil"/>
              <w:left w:val="nil"/>
              <w:bottom w:val="single" w:sz="4" w:space="0" w:color="auto"/>
              <w:right w:val="single" w:sz="4" w:space="0" w:color="auto"/>
            </w:tcBorders>
            <w:shd w:val="clear" w:color="000000" w:fill="FFFFFF"/>
            <w:noWrap/>
            <w:vAlign w:val="center"/>
          </w:tcPr>
          <w:p w14:paraId="19EB85D4"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7B79D3F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1,007,000.00</w:t>
            </w:r>
          </w:p>
        </w:tc>
        <w:tc>
          <w:tcPr>
            <w:tcW w:w="840" w:type="pct"/>
            <w:tcBorders>
              <w:top w:val="nil"/>
              <w:left w:val="nil"/>
              <w:bottom w:val="single" w:sz="4" w:space="0" w:color="auto"/>
              <w:right w:val="single" w:sz="4" w:space="0" w:color="auto"/>
            </w:tcBorders>
            <w:shd w:val="clear" w:color="000000" w:fill="FFFFFF"/>
            <w:noWrap/>
            <w:vAlign w:val="center"/>
          </w:tcPr>
          <w:p w14:paraId="0BC62658"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4BB9AFA5" w14:textId="77777777" w:rsidR="00DC35B7" w:rsidRPr="00DC35B7" w:rsidRDefault="00DC35B7" w:rsidP="00B77C25">
            <w:pPr>
              <w:jc w:val="right"/>
              <w:rPr>
                <w:b/>
                <w:bCs/>
                <w:color w:val="000000"/>
                <w:sz w:val="16"/>
                <w:szCs w:val="16"/>
                <w:lang w:val="es-MX" w:eastAsia="es-MX"/>
              </w:rPr>
            </w:pPr>
          </w:p>
        </w:tc>
      </w:tr>
      <w:tr w:rsidR="00DC35B7" w:rsidRPr="00DC35B7" w14:paraId="23F07DE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tcPr>
          <w:p w14:paraId="2A161C0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2D3D3DF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tcPr>
          <w:p w14:paraId="217ED9EA" w14:textId="77777777" w:rsidR="00DC35B7" w:rsidRPr="00DC35B7" w:rsidRDefault="00DC35B7" w:rsidP="00B77C25">
            <w:pPr>
              <w:jc w:val="both"/>
              <w:rPr>
                <w:sz w:val="16"/>
                <w:szCs w:val="16"/>
                <w:lang w:val="es-MX" w:eastAsia="es-MX"/>
              </w:rPr>
            </w:pPr>
            <w:r w:rsidRPr="00DC35B7">
              <w:rPr>
                <w:sz w:val="16"/>
                <w:szCs w:val="16"/>
                <w:lang w:val="es-MX" w:eastAsia="es-MX"/>
              </w:rPr>
              <w:t>Secretaría de Bienestar</w:t>
            </w:r>
          </w:p>
        </w:tc>
        <w:tc>
          <w:tcPr>
            <w:tcW w:w="789" w:type="pct"/>
            <w:tcBorders>
              <w:top w:val="nil"/>
              <w:left w:val="nil"/>
              <w:bottom w:val="single" w:sz="4" w:space="0" w:color="auto"/>
              <w:right w:val="single" w:sz="4" w:space="0" w:color="auto"/>
            </w:tcBorders>
            <w:shd w:val="clear" w:color="000000" w:fill="FFFFFF"/>
            <w:noWrap/>
            <w:vAlign w:val="center"/>
          </w:tcPr>
          <w:p w14:paraId="1A7AADCB"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6F69F8A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4F75B39A"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717801F8" w14:textId="77777777" w:rsidR="00DC35B7" w:rsidRPr="00DC35B7" w:rsidRDefault="00DC35B7" w:rsidP="00B77C25">
            <w:pPr>
              <w:jc w:val="right"/>
              <w:rPr>
                <w:b/>
                <w:bCs/>
                <w:color w:val="000000"/>
                <w:sz w:val="16"/>
                <w:szCs w:val="16"/>
                <w:lang w:val="es-MX" w:eastAsia="es-MX"/>
              </w:rPr>
            </w:pPr>
          </w:p>
        </w:tc>
      </w:tr>
      <w:tr w:rsidR="00DC35B7" w:rsidRPr="00DC35B7" w14:paraId="68A7206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tcPr>
          <w:p w14:paraId="5C1BF098"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6E9EEF4"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tcPr>
          <w:p w14:paraId="4780EA85" w14:textId="77777777" w:rsidR="00DC35B7" w:rsidRPr="00DC35B7" w:rsidRDefault="00DC35B7" w:rsidP="00B77C25">
            <w:pPr>
              <w:jc w:val="both"/>
              <w:rPr>
                <w:sz w:val="16"/>
                <w:szCs w:val="16"/>
                <w:lang w:val="es-MX" w:eastAsia="es-MX"/>
              </w:rPr>
            </w:pPr>
            <w:r w:rsidRPr="00DC35B7">
              <w:rPr>
                <w:sz w:val="16"/>
                <w:szCs w:val="16"/>
                <w:lang w:val="es-MX" w:eastAsia="es-MX"/>
              </w:rPr>
              <w:t>Secretaría de Ordenamiento Territorial y Vivienda</w:t>
            </w:r>
          </w:p>
        </w:tc>
        <w:tc>
          <w:tcPr>
            <w:tcW w:w="789" w:type="pct"/>
            <w:tcBorders>
              <w:top w:val="nil"/>
              <w:left w:val="nil"/>
              <w:bottom w:val="single" w:sz="4" w:space="0" w:color="auto"/>
              <w:right w:val="single" w:sz="4" w:space="0" w:color="auto"/>
            </w:tcBorders>
            <w:shd w:val="clear" w:color="000000" w:fill="FFFFFF"/>
            <w:noWrap/>
            <w:vAlign w:val="center"/>
          </w:tcPr>
          <w:p w14:paraId="37B1CF07"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B6009C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6E64B12C"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27EDCB90" w14:textId="77777777" w:rsidR="00DC35B7" w:rsidRPr="00DC35B7" w:rsidRDefault="00DC35B7" w:rsidP="00B77C25">
            <w:pPr>
              <w:jc w:val="right"/>
              <w:rPr>
                <w:b/>
                <w:bCs/>
                <w:color w:val="000000"/>
                <w:sz w:val="16"/>
                <w:szCs w:val="16"/>
                <w:lang w:val="es-MX" w:eastAsia="es-MX"/>
              </w:rPr>
            </w:pPr>
          </w:p>
        </w:tc>
      </w:tr>
      <w:tr w:rsidR="00DC35B7" w:rsidRPr="00DC35B7" w14:paraId="538BBB3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E9358D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5C37A1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72F52F7" w14:textId="77777777" w:rsidR="00DC35B7" w:rsidRPr="00DC35B7" w:rsidRDefault="00DC35B7" w:rsidP="00B77C25">
            <w:pPr>
              <w:jc w:val="both"/>
              <w:rPr>
                <w:sz w:val="16"/>
                <w:szCs w:val="16"/>
                <w:lang w:val="es-MX" w:eastAsia="es-MX"/>
              </w:rPr>
            </w:pPr>
            <w:r w:rsidRPr="00DC35B7">
              <w:rPr>
                <w:sz w:val="16"/>
                <w:szCs w:val="16"/>
                <w:lang w:val="es-MX" w:eastAsia="es-MX"/>
              </w:rPr>
              <w:t>Servicios Generales</w:t>
            </w:r>
          </w:p>
        </w:tc>
        <w:tc>
          <w:tcPr>
            <w:tcW w:w="789" w:type="pct"/>
            <w:tcBorders>
              <w:top w:val="nil"/>
              <w:left w:val="nil"/>
              <w:bottom w:val="single" w:sz="4" w:space="0" w:color="auto"/>
              <w:right w:val="single" w:sz="4" w:space="0" w:color="auto"/>
            </w:tcBorders>
            <w:shd w:val="clear" w:color="000000" w:fill="FFFFFF"/>
            <w:noWrap/>
            <w:vAlign w:val="center"/>
            <w:hideMark/>
          </w:tcPr>
          <w:p w14:paraId="4D8EB7A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72961E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29,296,112.00 </w:t>
            </w:r>
          </w:p>
        </w:tc>
        <w:tc>
          <w:tcPr>
            <w:tcW w:w="840" w:type="pct"/>
            <w:tcBorders>
              <w:top w:val="nil"/>
              <w:left w:val="nil"/>
              <w:bottom w:val="single" w:sz="4" w:space="0" w:color="auto"/>
              <w:right w:val="single" w:sz="4" w:space="0" w:color="auto"/>
            </w:tcBorders>
            <w:shd w:val="clear" w:color="000000" w:fill="FFFFFF"/>
            <w:noWrap/>
            <w:vAlign w:val="center"/>
            <w:hideMark/>
          </w:tcPr>
          <w:p w14:paraId="099DD70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74DED0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4F409A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29A800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C2F66B6"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4.4</w:t>
            </w:r>
          </w:p>
        </w:tc>
        <w:tc>
          <w:tcPr>
            <w:tcW w:w="1252" w:type="pct"/>
            <w:tcBorders>
              <w:top w:val="nil"/>
              <w:left w:val="nil"/>
              <w:bottom w:val="single" w:sz="4" w:space="0" w:color="auto"/>
              <w:right w:val="single" w:sz="4" w:space="0" w:color="auto"/>
            </w:tcBorders>
            <w:shd w:val="clear" w:color="auto" w:fill="auto"/>
            <w:vAlign w:val="center"/>
            <w:hideMark/>
          </w:tcPr>
          <w:p w14:paraId="718434D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Otros Derechos</w:t>
            </w:r>
          </w:p>
        </w:tc>
        <w:tc>
          <w:tcPr>
            <w:tcW w:w="789" w:type="pct"/>
            <w:tcBorders>
              <w:top w:val="nil"/>
              <w:left w:val="nil"/>
              <w:bottom w:val="single" w:sz="4" w:space="0" w:color="auto"/>
              <w:right w:val="single" w:sz="4" w:space="0" w:color="auto"/>
            </w:tcBorders>
            <w:shd w:val="clear" w:color="000000" w:fill="FFFFFF"/>
            <w:noWrap/>
            <w:vAlign w:val="center"/>
            <w:hideMark/>
          </w:tcPr>
          <w:p w14:paraId="77EC55D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0A6712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C4EA5E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003E66A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718D60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1240DD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F349B3E"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4.5</w:t>
            </w:r>
          </w:p>
        </w:tc>
        <w:tc>
          <w:tcPr>
            <w:tcW w:w="1252" w:type="pct"/>
            <w:tcBorders>
              <w:top w:val="nil"/>
              <w:left w:val="nil"/>
              <w:bottom w:val="single" w:sz="4" w:space="0" w:color="auto"/>
              <w:right w:val="single" w:sz="4" w:space="0" w:color="auto"/>
            </w:tcBorders>
            <w:shd w:val="clear" w:color="auto" w:fill="auto"/>
            <w:vAlign w:val="center"/>
            <w:hideMark/>
          </w:tcPr>
          <w:p w14:paraId="5034900F"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Accesorios de Derechos</w:t>
            </w:r>
          </w:p>
        </w:tc>
        <w:tc>
          <w:tcPr>
            <w:tcW w:w="789" w:type="pct"/>
            <w:tcBorders>
              <w:top w:val="nil"/>
              <w:left w:val="nil"/>
              <w:bottom w:val="single" w:sz="4" w:space="0" w:color="auto"/>
              <w:right w:val="single" w:sz="4" w:space="0" w:color="auto"/>
            </w:tcBorders>
            <w:shd w:val="clear" w:color="000000" w:fill="FFFFFF"/>
            <w:noWrap/>
            <w:vAlign w:val="center"/>
            <w:hideMark/>
          </w:tcPr>
          <w:p w14:paraId="0B87771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6EFF5C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EB3F5D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14,181,348.00 </w:t>
            </w:r>
          </w:p>
        </w:tc>
        <w:tc>
          <w:tcPr>
            <w:tcW w:w="840" w:type="pct"/>
            <w:tcBorders>
              <w:top w:val="nil"/>
              <w:left w:val="nil"/>
              <w:bottom w:val="single" w:sz="4" w:space="0" w:color="auto"/>
              <w:right w:val="single" w:sz="4" w:space="0" w:color="auto"/>
            </w:tcBorders>
            <w:shd w:val="clear" w:color="000000" w:fill="FFFFFF"/>
            <w:noWrap/>
            <w:vAlign w:val="center"/>
            <w:hideMark/>
          </w:tcPr>
          <w:p w14:paraId="78EBBF5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7A5FB5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ED6DD5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3F76CC3"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6145A37"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Recargos</w:t>
            </w:r>
          </w:p>
        </w:tc>
        <w:tc>
          <w:tcPr>
            <w:tcW w:w="789" w:type="pct"/>
            <w:tcBorders>
              <w:top w:val="nil"/>
              <w:left w:val="nil"/>
              <w:bottom w:val="single" w:sz="4" w:space="0" w:color="auto"/>
              <w:right w:val="single" w:sz="4" w:space="0" w:color="auto"/>
            </w:tcBorders>
            <w:shd w:val="clear" w:color="000000" w:fill="FFFFFF"/>
            <w:noWrap/>
            <w:vAlign w:val="center"/>
            <w:hideMark/>
          </w:tcPr>
          <w:p w14:paraId="05D5E70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A0D5C9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454,572.00 </w:t>
            </w:r>
          </w:p>
        </w:tc>
        <w:tc>
          <w:tcPr>
            <w:tcW w:w="840" w:type="pct"/>
            <w:tcBorders>
              <w:top w:val="nil"/>
              <w:left w:val="nil"/>
              <w:bottom w:val="single" w:sz="4" w:space="0" w:color="auto"/>
              <w:right w:val="single" w:sz="4" w:space="0" w:color="auto"/>
            </w:tcBorders>
            <w:shd w:val="clear" w:color="000000" w:fill="FFFFFF"/>
            <w:noWrap/>
            <w:vAlign w:val="center"/>
            <w:hideMark/>
          </w:tcPr>
          <w:p w14:paraId="6DA63DF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DA4D5A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7D54A2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5A7A92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C11C6CA"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1040A00"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Actualizaciones</w:t>
            </w:r>
          </w:p>
        </w:tc>
        <w:tc>
          <w:tcPr>
            <w:tcW w:w="789" w:type="pct"/>
            <w:tcBorders>
              <w:top w:val="nil"/>
              <w:left w:val="nil"/>
              <w:bottom w:val="single" w:sz="4" w:space="0" w:color="auto"/>
              <w:right w:val="single" w:sz="4" w:space="0" w:color="auto"/>
            </w:tcBorders>
            <w:shd w:val="clear" w:color="000000" w:fill="FFFFFF"/>
            <w:noWrap/>
            <w:vAlign w:val="center"/>
            <w:hideMark/>
          </w:tcPr>
          <w:p w14:paraId="03007AF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4793A5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163,296.00 </w:t>
            </w:r>
          </w:p>
        </w:tc>
        <w:tc>
          <w:tcPr>
            <w:tcW w:w="840" w:type="pct"/>
            <w:tcBorders>
              <w:top w:val="nil"/>
              <w:left w:val="nil"/>
              <w:bottom w:val="single" w:sz="4" w:space="0" w:color="auto"/>
              <w:right w:val="single" w:sz="4" w:space="0" w:color="auto"/>
            </w:tcBorders>
            <w:shd w:val="clear" w:color="000000" w:fill="FFFFFF"/>
            <w:noWrap/>
            <w:vAlign w:val="center"/>
            <w:hideMark/>
          </w:tcPr>
          <w:p w14:paraId="79BF8CF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490F35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F629DC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C8B387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402668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B242A7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Multas</w:t>
            </w:r>
          </w:p>
        </w:tc>
        <w:tc>
          <w:tcPr>
            <w:tcW w:w="789" w:type="pct"/>
            <w:tcBorders>
              <w:top w:val="nil"/>
              <w:left w:val="nil"/>
              <w:bottom w:val="single" w:sz="4" w:space="0" w:color="auto"/>
              <w:right w:val="single" w:sz="4" w:space="0" w:color="auto"/>
            </w:tcBorders>
            <w:shd w:val="clear" w:color="000000" w:fill="FFFFFF"/>
            <w:noWrap/>
            <w:vAlign w:val="center"/>
            <w:hideMark/>
          </w:tcPr>
          <w:p w14:paraId="057D5CB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55A914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13,497,156.00 </w:t>
            </w:r>
          </w:p>
        </w:tc>
        <w:tc>
          <w:tcPr>
            <w:tcW w:w="840" w:type="pct"/>
            <w:tcBorders>
              <w:top w:val="nil"/>
              <w:left w:val="nil"/>
              <w:bottom w:val="single" w:sz="4" w:space="0" w:color="auto"/>
              <w:right w:val="single" w:sz="4" w:space="0" w:color="auto"/>
            </w:tcBorders>
            <w:shd w:val="clear" w:color="000000" w:fill="FFFFFF"/>
            <w:noWrap/>
            <w:vAlign w:val="center"/>
            <w:hideMark/>
          </w:tcPr>
          <w:p w14:paraId="6E841E7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D92AF7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5051A3B"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54BDFE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ADA012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86C0E2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Gastos de ejecución</w:t>
            </w:r>
          </w:p>
        </w:tc>
        <w:tc>
          <w:tcPr>
            <w:tcW w:w="789" w:type="pct"/>
            <w:tcBorders>
              <w:top w:val="nil"/>
              <w:left w:val="nil"/>
              <w:bottom w:val="single" w:sz="4" w:space="0" w:color="auto"/>
              <w:right w:val="single" w:sz="4" w:space="0" w:color="auto"/>
            </w:tcBorders>
            <w:shd w:val="clear" w:color="000000" w:fill="FFFFFF"/>
            <w:noWrap/>
            <w:vAlign w:val="center"/>
            <w:hideMark/>
          </w:tcPr>
          <w:p w14:paraId="3467390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7043D2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66,324.00</w:t>
            </w:r>
          </w:p>
        </w:tc>
        <w:tc>
          <w:tcPr>
            <w:tcW w:w="840" w:type="pct"/>
            <w:tcBorders>
              <w:top w:val="nil"/>
              <w:left w:val="nil"/>
              <w:bottom w:val="single" w:sz="4" w:space="0" w:color="auto"/>
              <w:right w:val="single" w:sz="4" w:space="0" w:color="auto"/>
            </w:tcBorders>
            <w:shd w:val="clear" w:color="000000" w:fill="FFFFFF"/>
            <w:noWrap/>
            <w:vAlign w:val="center"/>
            <w:hideMark/>
          </w:tcPr>
          <w:p w14:paraId="78AAD90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D55F0D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0CE8CA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FCC372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86BC3D5"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194489DD"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Indemnización por cheques devueltos</w:t>
            </w:r>
          </w:p>
        </w:tc>
        <w:tc>
          <w:tcPr>
            <w:tcW w:w="789" w:type="pct"/>
            <w:tcBorders>
              <w:top w:val="nil"/>
              <w:left w:val="nil"/>
              <w:bottom w:val="single" w:sz="4" w:space="0" w:color="auto"/>
              <w:right w:val="single" w:sz="4" w:space="0" w:color="auto"/>
            </w:tcBorders>
            <w:shd w:val="clear" w:color="000000" w:fill="FFFFFF"/>
            <w:noWrap/>
            <w:vAlign w:val="center"/>
            <w:hideMark/>
          </w:tcPr>
          <w:p w14:paraId="7569A1B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06D35A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28AF470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744431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D4A622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4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EF64DC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A12180A"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4.9</w:t>
            </w:r>
          </w:p>
        </w:tc>
        <w:tc>
          <w:tcPr>
            <w:tcW w:w="1252" w:type="pct"/>
            <w:tcBorders>
              <w:top w:val="nil"/>
              <w:left w:val="nil"/>
              <w:bottom w:val="single" w:sz="4" w:space="0" w:color="auto"/>
              <w:right w:val="single" w:sz="4" w:space="0" w:color="auto"/>
            </w:tcBorders>
            <w:shd w:val="clear" w:color="auto" w:fill="auto"/>
            <w:vAlign w:val="center"/>
            <w:hideMark/>
          </w:tcPr>
          <w:p w14:paraId="03312E8C"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Derechos no Comprendidos en la Ley de Ingresos Vigente, Causados en Ejercicios Fiscales Anteriores Pendientes de Liquidación o Pago</w:t>
            </w:r>
          </w:p>
        </w:tc>
        <w:tc>
          <w:tcPr>
            <w:tcW w:w="789" w:type="pct"/>
            <w:tcBorders>
              <w:top w:val="nil"/>
              <w:left w:val="nil"/>
              <w:bottom w:val="single" w:sz="4" w:space="0" w:color="auto"/>
              <w:right w:val="single" w:sz="4" w:space="0" w:color="auto"/>
            </w:tcBorders>
            <w:shd w:val="clear" w:color="000000" w:fill="FFFFFF"/>
            <w:noWrap/>
            <w:vAlign w:val="center"/>
            <w:hideMark/>
          </w:tcPr>
          <w:p w14:paraId="10D36E7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A41177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E2DC0A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C4424F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933C83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9A4773D"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5</w:t>
            </w:r>
          </w:p>
        </w:tc>
        <w:tc>
          <w:tcPr>
            <w:tcW w:w="301" w:type="pct"/>
            <w:tcBorders>
              <w:top w:val="nil"/>
              <w:left w:val="nil"/>
              <w:bottom w:val="single" w:sz="4" w:space="0" w:color="auto"/>
              <w:right w:val="single" w:sz="4" w:space="0" w:color="auto"/>
            </w:tcBorders>
            <w:shd w:val="clear" w:color="auto" w:fill="auto"/>
            <w:vAlign w:val="center"/>
            <w:hideMark/>
          </w:tcPr>
          <w:p w14:paraId="157F4FC8"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50245F5B"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Productos</w:t>
            </w:r>
          </w:p>
        </w:tc>
        <w:tc>
          <w:tcPr>
            <w:tcW w:w="789" w:type="pct"/>
            <w:tcBorders>
              <w:top w:val="nil"/>
              <w:left w:val="nil"/>
              <w:bottom w:val="single" w:sz="4" w:space="0" w:color="auto"/>
              <w:right w:val="single" w:sz="4" w:space="0" w:color="auto"/>
            </w:tcBorders>
            <w:shd w:val="clear" w:color="000000" w:fill="FFFFFF"/>
            <w:noWrap/>
            <w:vAlign w:val="center"/>
            <w:hideMark/>
          </w:tcPr>
          <w:p w14:paraId="1E6B0CA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BD0963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C2097D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96F2D8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89,907,285.00 </w:t>
            </w:r>
          </w:p>
        </w:tc>
      </w:tr>
      <w:tr w:rsidR="00DC35B7" w:rsidRPr="00DC35B7" w14:paraId="39B1AAE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294330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0A767FF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5.1</w:t>
            </w:r>
          </w:p>
        </w:tc>
        <w:tc>
          <w:tcPr>
            <w:tcW w:w="1252" w:type="pct"/>
            <w:tcBorders>
              <w:top w:val="nil"/>
              <w:left w:val="nil"/>
              <w:bottom w:val="single" w:sz="4" w:space="0" w:color="auto"/>
              <w:right w:val="single" w:sz="4" w:space="0" w:color="auto"/>
            </w:tcBorders>
            <w:shd w:val="clear" w:color="auto" w:fill="auto"/>
            <w:vAlign w:val="center"/>
            <w:hideMark/>
          </w:tcPr>
          <w:p w14:paraId="7F17FA3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Productos</w:t>
            </w:r>
          </w:p>
        </w:tc>
        <w:tc>
          <w:tcPr>
            <w:tcW w:w="789" w:type="pct"/>
            <w:tcBorders>
              <w:top w:val="nil"/>
              <w:left w:val="nil"/>
              <w:bottom w:val="single" w:sz="4" w:space="0" w:color="auto"/>
              <w:right w:val="single" w:sz="4" w:space="0" w:color="auto"/>
            </w:tcBorders>
            <w:shd w:val="clear" w:color="000000" w:fill="FFFFFF"/>
            <w:noWrap/>
            <w:vAlign w:val="center"/>
            <w:hideMark/>
          </w:tcPr>
          <w:p w14:paraId="55E674B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517BD3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AC3883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89,907,285.00 </w:t>
            </w:r>
          </w:p>
        </w:tc>
        <w:tc>
          <w:tcPr>
            <w:tcW w:w="840" w:type="pct"/>
            <w:tcBorders>
              <w:top w:val="nil"/>
              <w:left w:val="nil"/>
              <w:bottom w:val="single" w:sz="4" w:space="0" w:color="auto"/>
              <w:right w:val="single" w:sz="4" w:space="0" w:color="auto"/>
            </w:tcBorders>
            <w:shd w:val="clear" w:color="000000" w:fill="FFFFFF"/>
            <w:noWrap/>
            <w:vAlign w:val="center"/>
            <w:hideMark/>
          </w:tcPr>
          <w:p w14:paraId="3A4D11D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7BB1886"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FF59B2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C4D4AEF"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C4075BB" w14:textId="77777777" w:rsidR="00DC35B7" w:rsidRPr="00DC35B7" w:rsidRDefault="00DC35B7" w:rsidP="00B77C25">
            <w:pPr>
              <w:jc w:val="both"/>
              <w:rPr>
                <w:sz w:val="16"/>
                <w:szCs w:val="16"/>
                <w:lang w:val="es-MX" w:eastAsia="es-MX"/>
              </w:rPr>
            </w:pPr>
            <w:r w:rsidRPr="00DC35B7">
              <w:rPr>
                <w:sz w:val="16"/>
                <w:szCs w:val="16"/>
                <w:lang w:val="es-MX" w:eastAsia="es-MX"/>
              </w:rPr>
              <w:t>Enajenación de bienes muebles e inmuebles</w:t>
            </w:r>
          </w:p>
        </w:tc>
        <w:tc>
          <w:tcPr>
            <w:tcW w:w="789" w:type="pct"/>
            <w:tcBorders>
              <w:top w:val="nil"/>
              <w:left w:val="nil"/>
              <w:bottom w:val="single" w:sz="4" w:space="0" w:color="auto"/>
              <w:right w:val="single" w:sz="4" w:space="0" w:color="auto"/>
            </w:tcBorders>
            <w:shd w:val="clear" w:color="000000" w:fill="FFFFFF"/>
            <w:noWrap/>
            <w:vAlign w:val="center"/>
            <w:hideMark/>
          </w:tcPr>
          <w:p w14:paraId="4FF18F0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107EDD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283AECE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79E1C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92E2ED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FA871C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C21690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8C74946" w14:textId="77777777" w:rsidR="00DC35B7" w:rsidRPr="00DC35B7" w:rsidRDefault="00DC35B7" w:rsidP="00B77C25">
            <w:pPr>
              <w:jc w:val="both"/>
              <w:rPr>
                <w:sz w:val="16"/>
                <w:szCs w:val="16"/>
                <w:lang w:val="es-MX" w:eastAsia="es-MX"/>
              </w:rPr>
            </w:pPr>
            <w:r w:rsidRPr="00DC35B7">
              <w:rPr>
                <w:sz w:val="16"/>
                <w:szCs w:val="16"/>
                <w:lang w:val="es-MX" w:eastAsia="es-MX"/>
              </w:rPr>
              <w:t>Arrendamiento de bienes muebles e inmuebles</w:t>
            </w:r>
          </w:p>
        </w:tc>
        <w:tc>
          <w:tcPr>
            <w:tcW w:w="789" w:type="pct"/>
            <w:tcBorders>
              <w:top w:val="nil"/>
              <w:left w:val="nil"/>
              <w:bottom w:val="single" w:sz="4" w:space="0" w:color="auto"/>
              <w:right w:val="single" w:sz="4" w:space="0" w:color="auto"/>
            </w:tcBorders>
            <w:shd w:val="clear" w:color="000000" w:fill="FFFFFF"/>
            <w:noWrap/>
            <w:vAlign w:val="center"/>
            <w:hideMark/>
          </w:tcPr>
          <w:p w14:paraId="7052D58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4D6606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488,237.00 </w:t>
            </w:r>
          </w:p>
        </w:tc>
        <w:tc>
          <w:tcPr>
            <w:tcW w:w="840" w:type="pct"/>
            <w:tcBorders>
              <w:top w:val="nil"/>
              <w:left w:val="nil"/>
              <w:bottom w:val="single" w:sz="4" w:space="0" w:color="auto"/>
              <w:right w:val="single" w:sz="4" w:space="0" w:color="auto"/>
            </w:tcBorders>
            <w:shd w:val="clear" w:color="000000" w:fill="FFFFFF"/>
            <w:noWrap/>
            <w:vAlign w:val="center"/>
            <w:hideMark/>
          </w:tcPr>
          <w:p w14:paraId="1F3C35E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3EC3EB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B987C5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BC7074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D700D1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6EB2BF0F" w14:textId="77777777" w:rsidR="00DC35B7" w:rsidRPr="00DC35B7" w:rsidRDefault="00DC35B7" w:rsidP="00B77C25">
            <w:pPr>
              <w:jc w:val="both"/>
              <w:rPr>
                <w:sz w:val="16"/>
                <w:szCs w:val="16"/>
                <w:lang w:val="es-MX" w:eastAsia="es-MX"/>
              </w:rPr>
            </w:pPr>
            <w:r w:rsidRPr="00DC35B7">
              <w:rPr>
                <w:sz w:val="16"/>
                <w:szCs w:val="16"/>
                <w:lang w:val="es-MX" w:eastAsia="es-MX"/>
              </w:rPr>
              <w:t>Rendimientos o intereses</w:t>
            </w:r>
          </w:p>
        </w:tc>
        <w:tc>
          <w:tcPr>
            <w:tcW w:w="789" w:type="pct"/>
            <w:tcBorders>
              <w:top w:val="nil"/>
              <w:left w:val="nil"/>
              <w:bottom w:val="single" w:sz="4" w:space="0" w:color="auto"/>
              <w:right w:val="single" w:sz="4" w:space="0" w:color="auto"/>
            </w:tcBorders>
            <w:shd w:val="clear" w:color="000000" w:fill="FFFFFF"/>
            <w:noWrap/>
            <w:vAlign w:val="center"/>
            <w:hideMark/>
          </w:tcPr>
          <w:p w14:paraId="5A5899E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41461A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66,950,000.00 </w:t>
            </w:r>
          </w:p>
        </w:tc>
        <w:tc>
          <w:tcPr>
            <w:tcW w:w="840" w:type="pct"/>
            <w:tcBorders>
              <w:top w:val="nil"/>
              <w:left w:val="nil"/>
              <w:bottom w:val="single" w:sz="4" w:space="0" w:color="auto"/>
              <w:right w:val="single" w:sz="4" w:space="0" w:color="auto"/>
            </w:tcBorders>
            <w:shd w:val="clear" w:color="000000" w:fill="FFFFFF"/>
            <w:noWrap/>
            <w:vAlign w:val="center"/>
            <w:hideMark/>
          </w:tcPr>
          <w:p w14:paraId="6CF1E78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74C0CE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020568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3E7282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5FCB82F"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B32D69D" w14:textId="77777777" w:rsidR="00DC35B7" w:rsidRPr="00DC35B7" w:rsidRDefault="00DC35B7" w:rsidP="00B77C25">
            <w:pPr>
              <w:jc w:val="both"/>
              <w:rPr>
                <w:sz w:val="16"/>
                <w:szCs w:val="16"/>
                <w:lang w:val="es-MX" w:eastAsia="es-MX"/>
              </w:rPr>
            </w:pPr>
            <w:r w:rsidRPr="00DC35B7">
              <w:rPr>
                <w:sz w:val="16"/>
                <w:szCs w:val="16"/>
                <w:lang w:val="es-MX" w:eastAsia="es-MX"/>
              </w:rPr>
              <w:t>Venta de publicaciones oficiales o del periódico oficial</w:t>
            </w:r>
          </w:p>
        </w:tc>
        <w:tc>
          <w:tcPr>
            <w:tcW w:w="789" w:type="pct"/>
            <w:tcBorders>
              <w:top w:val="nil"/>
              <w:left w:val="nil"/>
              <w:bottom w:val="single" w:sz="4" w:space="0" w:color="auto"/>
              <w:right w:val="single" w:sz="4" w:space="0" w:color="auto"/>
            </w:tcBorders>
            <w:shd w:val="clear" w:color="000000" w:fill="FFFFFF"/>
            <w:noWrap/>
            <w:vAlign w:val="center"/>
            <w:hideMark/>
          </w:tcPr>
          <w:p w14:paraId="4860225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B11831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3,318,477.00 </w:t>
            </w:r>
          </w:p>
        </w:tc>
        <w:tc>
          <w:tcPr>
            <w:tcW w:w="840" w:type="pct"/>
            <w:tcBorders>
              <w:top w:val="nil"/>
              <w:left w:val="nil"/>
              <w:bottom w:val="single" w:sz="4" w:space="0" w:color="auto"/>
              <w:right w:val="single" w:sz="4" w:space="0" w:color="auto"/>
            </w:tcBorders>
            <w:shd w:val="clear" w:color="000000" w:fill="FFFFFF"/>
            <w:noWrap/>
            <w:vAlign w:val="center"/>
            <w:hideMark/>
          </w:tcPr>
          <w:p w14:paraId="59DF31B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2833F4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5DCFD8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3A5101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E66933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402AE83E" w14:textId="77777777" w:rsidR="00DC35B7" w:rsidRPr="00DC35B7" w:rsidRDefault="00DC35B7" w:rsidP="00B77C25">
            <w:pPr>
              <w:jc w:val="both"/>
              <w:rPr>
                <w:sz w:val="16"/>
                <w:szCs w:val="16"/>
                <w:lang w:val="es-MX" w:eastAsia="es-MX"/>
              </w:rPr>
            </w:pPr>
            <w:r w:rsidRPr="00DC35B7">
              <w:rPr>
                <w:sz w:val="16"/>
                <w:szCs w:val="16"/>
                <w:lang w:val="es-MX" w:eastAsia="es-MX"/>
              </w:rPr>
              <w:t>Venta de formas oficiales</w:t>
            </w:r>
          </w:p>
        </w:tc>
        <w:tc>
          <w:tcPr>
            <w:tcW w:w="789" w:type="pct"/>
            <w:tcBorders>
              <w:top w:val="nil"/>
              <w:left w:val="nil"/>
              <w:bottom w:val="single" w:sz="4" w:space="0" w:color="auto"/>
              <w:right w:val="single" w:sz="4" w:space="0" w:color="auto"/>
            </w:tcBorders>
            <w:shd w:val="clear" w:color="000000" w:fill="FFFFFF"/>
            <w:noWrap/>
            <w:vAlign w:val="center"/>
            <w:hideMark/>
          </w:tcPr>
          <w:p w14:paraId="491C7A2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486E5A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16,631,243.00 </w:t>
            </w:r>
          </w:p>
        </w:tc>
        <w:tc>
          <w:tcPr>
            <w:tcW w:w="840" w:type="pct"/>
            <w:tcBorders>
              <w:top w:val="nil"/>
              <w:left w:val="nil"/>
              <w:bottom w:val="single" w:sz="4" w:space="0" w:color="auto"/>
              <w:right w:val="single" w:sz="4" w:space="0" w:color="auto"/>
            </w:tcBorders>
            <w:shd w:val="clear" w:color="000000" w:fill="FFFFFF"/>
            <w:noWrap/>
            <w:vAlign w:val="center"/>
            <w:hideMark/>
          </w:tcPr>
          <w:p w14:paraId="262566C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3E4A6B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D11087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9F6A9E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6E049E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57FCDA1" w14:textId="77777777" w:rsidR="00DC35B7" w:rsidRPr="00DC35B7" w:rsidRDefault="00DC35B7" w:rsidP="00B77C25">
            <w:pPr>
              <w:jc w:val="both"/>
              <w:rPr>
                <w:sz w:val="16"/>
                <w:szCs w:val="16"/>
                <w:lang w:val="es-MX" w:eastAsia="es-MX"/>
              </w:rPr>
            </w:pPr>
            <w:r w:rsidRPr="00DC35B7">
              <w:rPr>
                <w:sz w:val="16"/>
                <w:szCs w:val="16"/>
                <w:lang w:val="es-MX" w:eastAsia="es-MX"/>
              </w:rPr>
              <w:t>Otros productos</w:t>
            </w:r>
          </w:p>
        </w:tc>
        <w:tc>
          <w:tcPr>
            <w:tcW w:w="789" w:type="pct"/>
            <w:tcBorders>
              <w:top w:val="nil"/>
              <w:left w:val="nil"/>
              <w:bottom w:val="single" w:sz="4" w:space="0" w:color="auto"/>
              <w:right w:val="single" w:sz="4" w:space="0" w:color="auto"/>
            </w:tcBorders>
            <w:shd w:val="clear" w:color="000000" w:fill="FFFFFF"/>
            <w:noWrap/>
            <w:vAlign w:val="center"/>
            <w:hideMark/>
          </w:tcPr>
          <w:p w14:paraId="3300617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0A90DF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2,519,328.00 </w:t>
            </w:r>
          </w:p>
        </w:tc>
        <w:tc>
          <w:tcPr>
            <w:tcW w:w="840" w:type="pct"/>
            <w:tcBorders>
              <w:top w:val="nil"/>
              <w:left w:val="nil"/>
              <w:bottom w:val="single" w:sz="4" w:space="0" w:color="auto"/>
              <w:right w:val="single" w:sz="4" w:space="0" w:color="auto"/>
            </w:tcBorders>
            <w:shd w:val="clear" w:color="000000" w:fill="FFFFFF"/>
            <w:noWrap/>
            <w:vAlign w:val="center"/>
            <w:hideMark/>
          </w:tcPr>
          <w:p w14:paraId="6089ABD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C928BF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3B9DEE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1"/>
        </w:trPr>
        <w:tc>
          <w:tcPr>
            <w:tcW w:w="188" w:type="pct"/>
            <w:tcBorders>
              <w:top w:val="nil"/>
              <w:left w:val="single" w:sz="4" w:space="0" w:color="auto"/>
              <w:bottom w:val="single" w:sz="4" w:space="0" w:color="auto"/>
              <w:right w:val="single" w:sz="4" w:space="0" w:color="auto"/>
            </w:tcBorders>
            <w:shd w:val="clear" w:color="auto" w:fill="auto"/>
            <w:vAlign w:val="center"/>
          </w:tcPr>
          <w:p w14:paraId="517E360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71EBE6AF"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5.2</w:t>
            </w:r>
          </w:p>
        </w:tc>
        <w:tc>
          <w:tcPr>
            <w:tcW w:w="1252" w:type="pct"/>
            <w:tcBorders>
              <w:top w:val="nil"/>
              <w:left w:val="nil"/>
              <w:bottom w:val="single" w:sz="4" w:space="0" w:color="auto"/>
              <w:right w:val="single" w:sz="4" w:space="0" w:color="auto"/>
            </w:tcBorders>
            <w:shd w:val="clear" w:color="auto" w:fill="auto"/>
            <w:vAlign w:val="center"/>
          </w:tcPr>
          <w:p w14:paraId="01FDCB9A"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Productos de Capital (Derogado)</w:t>
            </w:r>
          </w:p>
        </w:tc>
        <w:tc>
          <w:tcPr>
            <w:tcW w:w="789" w:type="pct"/>
            <w:tcBorders>
              <w:top w:val="nil"/>
              <w:left w:val="nil"/>
              <w:bottom w:val="single" w:sz="4" w:space="0" w:color="auto"/>
              <w:right w:val="single" w:sz="4" w:space="0" w:color="auto"/>
            </w:tcBorders>
            <w:shd w:val="clear" w:color="000000" w:fill="FFFFFF"/>
            <w:noWrap/>
            <w:vAlign w:val="center"/>
          </w:tcPr>
          <w:p w14:paraId="00788886"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2B1A2B4A"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25FB7F9C"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3C5B402D" w14:textId="77777777" w:rsidR="00DC35B7" w:rsidRPr="00DC35B7" w:rsidRDefault="00DC35B7" w:rsidP="00B77C25">
            <w:pPr>
              <w:jc w:val="right"/>
              <w:rPr>
                <w:b/>
                <w:bCs/>
                <w:color w:val="000000"/>
                <w:sz w:val="16"/>
                <w:szCs w:val="16"/>
                <w:lang w:val="es-MX" w:eastAsia="es-MX"/>
              </w:rPr>
            </w:pPr>
          </w:p>
        </w:tc>
      </w:tr>
      <w:tr w:rsidR="00DC35B7" w:rsidRPr="00DC35B7" w14:paraId="0A52B82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23"/>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CA8BF9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0CA2FB6"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5.9</w:t>
            </w:r>
          </w:p>
        </w:tc>
        <w:tc>
          <w:tcPr>
            <w:tcW w:w="1252" w:type="pct"/>
            <w:tcBorders>
              <w:top w:val="nil"/>
              <w:left w:val="nil"/>
              <w:bottom w:val="single" w:sz="4" w:space="0" w:color="auto"/>
              <w:right w:val="single" w:sz="4" w:space="0" w:color="auto"/>
            </w:tcBorders>
            <w:shd w:val="clear" w:color="auto" w:fill="auto"/>
            <w:vAlign w:val="center"/>
            <w:hideMark/>
          </w:tcPr>
          <w:p w14:paraId="779533A1"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Productos no Comprendidos en la Ley de Ingresos Vigente, Causados en Ejercicios Fiscales Anteriores Pendientes de Liquidación o Pago</w:t>
            </w:r>
          </w:p>
        </w:tc>
        <w:tc>
          <w:tcPr>
            <w:tcW w:w="789" w:type="pct"/>
            <w:tcBorders>
              <w:top w:val="nil"/>
              <w:left w:val="nil"/>
              <w:bottom w:val="single" w:sz="4" w:space="0" w:color="auto"/>
              <w:right w:val="single" w:sz="4" w:space="0" w:color="auto"/>
            </w:tcBorders>
            <w:shd w:val="clear" w:color="000000" w:fill="FFFFFF"/>
            <w:noWrap/>
            <w:vAlign w:val="center"/>
            <w:hideMark/>
          </w:tcPr>
          <w:p w14:paraId="31EA918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EDD295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587541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3B177E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7C9C52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270AAEF"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6</w:t>
            </w:r>
          </w:p>
        </w:tc>
        <w:tc>
          <w:tcPr>
            <w:tcW w:w="301" w:type="pct"/>
            <w:tcBorders>
              <w:top w:val="nil"/>
              <w:left w:val="nil"/>
              <w:bottom w:val="single" w:sz="4" w:space="0" w:color="auto"/>
              <w:right w:val="single" w:sz="4" w:space="0" w:color="auto"/>
            </w:tcBorders>
            <w:shd w:val="clear" w:color="auto" w:fill="auto"/>
            <w:vAlign w:val="center"/>
            <w:hideMark/>
          </w:tcPr>
          <w:p w14:paraId="575A4DB7"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E645CD7"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Aprovechamientos</w:t>
            </w:r>
          </w:p>
        </w:tc>
        <w:tc>
          <w:tcPr>
            <w:tcW w:w="789" w:type="pct"/>
            <w:tcBorders>
              <w:top w:val="nil"/>
              <w:left w:val="nil"/>
              <w:bottom w:val="single" w:sz="4" w:space="0" w:color="auto"/>
              <w:right w:val="single" w:sz="4" w:space="0" w:color="auto"/>
            </w:tcBorders>
            <w:shd w:val="clear" w:color="000000" w:fill="FFFFFF"/>
            <w:noWrap/>
            <w:vAlign w:val="center"/>
            <w:hideMark/>
          </w:tcPr>
          <w:p w14:paraId="2B4A8B8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5D6C72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BA3F81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C71760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1,071,200.00 </w:t>
            </w:r>
          </w:p>
        </w:tc>
      </w:tr>
      <w:tr w:rsidR="00DC35B7" w:rsidRPr="00DC35B7" w14:paraId="2957CFE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29C73F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71A3ABA"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6.1.</w:t>
            </w:r>
          </w:p>
        </w:tc>
        <w:tc>
          <w:tcPr>
            <w:tcW w:w="1252" w:type="pct"/>
            <w:tcBorders>
              <w:top w:val="nil"/>
              <w:left w:val="nil"/>
              <w:bottom w:val="single" w:sz="4" w:space="0" w:color="auto"/>
              <w:right w:val="single" w:sz="4" w:space="0" w:color="auto"/>
            </w:tcBorders>
            <w:shd w:val="clear" w:color="auto" w:fill="auto"/>
            <w:vAlign w:val="center"/>
            <w:hideMark/>
          </w:tcPr>
          <w:p w14:paraId="344BC38B"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Aprovechamientos</w:t>
            </w:r>
          </w:p>
        </w:tc>
        <w:tc>
          <w:tcPr>
            <w:tcW w:w="789" w:type="pct"/>
            <w:tcBorders>
              <w:top w:val="nil"/>
              <w:left w:val="nil"/>
              <w:bottom w:val="single" w:sz="4" w:space="0" w:color="auto"/>
              <w:right w:val="single" w:sz="4" w:space="0" w:color="auto"/>
            </w:tcBorders>
            <w:shd w:val="clear" w:color="000000" w:fill="FFFFFF"/>
            <w:noWrap/>
            <w:vAlign w:val="center"/>
            <w:hideMark/>
          </w:tcPr>
          <w:p w14:paraId="59997A6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FF958C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BD0575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1,071,200.00 </w:t>
            </w:r>
          </w:p>
        </w:tc>
        <w:tc>
          <w:tcPr>
            <w:tcW w:w="840" w:type="pct"/>
            <w:tcBorders>
              <w:top w:val="nil"/>
              <w:left w:val="nil"/>
              <w:bottom w:val="single" w:sz="4" w:space="0" w:color="auto"/>
              <w:right w:val="single" w:sz="4" w:space="0" w:color="auto"/>
            </w:tcBorders>
            <w:shd w:val="clear" w:color="000000" w:fill="FFFFFF"/>
            <w:noWrap/>
            <w:vAlign w:val="center"/>
            <w:hideMark/>
          </w:tcPr>
          <w:p w14:paraId="12B448C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9B69FC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28CFCF2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474BA74C"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6.2</w:t>
            </w:r>
          </w:p>
        </w:tc>
        <w:tc>
          <w:tcPr>
            <w:tcW w:w="1252" w:type="pct"/>
            <w:tcBorders>
              <w:top w:val="nil"/>
              <w:left w:val="nil"/>
              <w:bottom w:val="single" w:sz="4" w:space="0" w:color="auto"/>
              <w:right w:val="single" w:sz="4" w:space="0" w:color="auto"/>
            </w:tcBorders>
            <w:shd w:val="clear" w:color="auto" w:fill="auto"/>
            <w:vAlign w:val="center"/>
          </w:tcPr>
          <w:p w14:paraId="3C5DE00F" w14:textId="77777777" w:rsidR="00DC35B7" w:rsidRPr="00DC35B7" w:rsidRDefault="00DC35B7" w:rsidP="00B77C25">
            <w:pPr>
              <w:jc w:val="both"/>
              <w:rPr>
                <w:b/>
                <w:color w:val="000000"/>
                <w:sz w:val="16"/>
                <w:szCs w:val="16"/>
                <w:lang w:val="es-MX" w:eastAsia="es-MX"/>
              </w:rPr>
            </w:pPr>
            <w:r w:rsidRPr="00DC35B7">
              <w:rPr>
                <w:b/>
                <w:color w:val="000000"/>
                <w:sz w:val="16"/>
                <w:szCs w:val="16"/>
                <w:lang w:val="es-MX" w:eastAsia="es-MX"/>
              </w:rPr>
              <w:t>Aprovechamientos Patrimoniales</w:t>
            </w:r>
          </w:p>
        </w:tc>
        <w:tc>
          <w:tcPr>
            <w:tcW w:w="789" w:type="pct"/>
            <w:tcBorders>
              <w:top w:val="nil"/>
              <w:left w:val="nil"/>
              <w:bottom w:val="single" w:sz="4" w:space="0" w:color="auto"/>
              <w:right w:val="single" w:sz="4" w:space="0" w:color="auto"/>
            </w:tcBorders>
            <w:shd w:val="clear" w:color="000000" w:fill="FFFFFF"/>
            <w:noWrap/>
            <w:vAlign w:val="center"/>
          </w:tcPr>
          <w:p w14:paraId="786963EE"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7E2BA269"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B028736"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B0A0034" w14:textId="77777777" w:rsidR="00DC35B7" w:rsidRPr="00DC35B7" w:rsidRDefault="00DC35B7" w:rsidP="00B77C25">
            <w:pPr>
              <w:jc w:val="right"/>
              <w:rPr>
                <w:b/>
                <w:bCs/>
                <w:color w:val="000000"/>
                <w:sz w:val="16"/>
                <w:szCs w:val="16"/>
                <w:lang w:val="es-MX" w:eastAsia="es-MX"/>
              </w:rPr>
            </w:pPr>
          </w:p>
        </w:tc>
      </w:tr>
      <w:tr w:rsidR="00DC35B7" w:rsidRPr="00DC35B7" w14:paraId="66F5E76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1CB424"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tcPr>
          <w:p w14:paraId="0E37A5EB"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6.3</w:t>
            </w: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07E4DDE0"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Accesorios de Aprovechamientos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7220820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64288A4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024E845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936D0D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2084EB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2BA2B9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B27E26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42658E1"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Recargos</w:t>
            </w:r>
          </w:p>
        </w:tc>
        <w:tc>
          <w:tcPr>
            <w:tcW w:w="789" w:type="pct"/>
            <w:tcBorders>
              <w:top w:val="nil"/>
              <w:left w:val="nil"/>
              <w:bottom w:val="single" w:sz="4" w:space="0" w:color="auto"/>
              <w:right w:val="single" w:sz="4" w:space="0" w:color="auto"/>
            </w:tcBorders>
            <w:shd w:val="clear" w:color="000000" w:fill="FFFFFF"/>
            <w:noWrap/>
            <w:vAlign w:val="center"/>
            <w:hideMark/>
          </w:tcPr>
          <w:p w14:paraId="4E2C5BB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6C7939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0175B0F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B13CF6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6E4A47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3C01BC7"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2BF6954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2DC9CBE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Actualizaciones</w:t>
            </w:r>
          </w:p>
        </w:tc>
        <w:tc>
          <w:tcPr>
            <w:tcW w:w="789" w:type="pct"/>
            <w:tcBorders>
              <w:top w:val="nil"/>
              <w:left w:val="nil"/>
              <w:bottom w:val="single" w:sz="4" w:space="0" w:color="auto"/>
              <w:right w:val="single" w:sz="4" w:space="0" w:color="auto"/>
            </w:tcBorders>
            <w:shd w:val="clear" w:color="000000" w:fill="FFFFFF"/>
            <w:noWrap/>
            <w:vAlign w:val="center"/>
            <w:hideMark/>
          </w:tcPr>
          <w:p w14:paraId="319FB06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63F8A0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5E9F1F3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97E21D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D2FD78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C86835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2F6A2C40"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17306633"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Multas</w:t>
            </w:r>
          </w:p>
        </w:tc>
        <w:tc>
          <w:tcPr>
            <w:tcW w:w="789" w:type="pct"/>
            <w:tcBorders>
              <w:top w:val="nil"/>
              <w:left w:val="nil"/>
              <w:bottom w:val="single" w:sz="4" w:space="0" w:color="auto"/>
              <w:right w:val="single" w:sz="4" w:space="0" w:color="auto"/>
            </w:tcBorders>
            <w:shd w:val="clear" w:color="000000" w:fill="FFFFFF"/>
            <w:noWrap/>
            <w:vAlign w:val="center"/>
            <w:hideMark/>
          </w:tcPr>
          <w:p w14:paraId="36CD68E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13F20F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6DE1826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F54398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61C77B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F6BDD5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816114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41A22BCF"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Gastos de Ejecución</w:t>
            </w:r>
          </w:p>
        </w:tc>
        <w:tc>
          <w:tcPr>
            <w:tcW w:w="789" w:type="pct"/>
            <w:tcBorders>
              <w:top w:val="nil"/>
              <w:left w:val="nil"/>
              <w:bottom w:val="single" w:sz="4" w:space="0" w:color="auto"/>
              <w:right w:val="single" w:sz="4" w:space="0" w:color="auto"/>
            </w:tcBorders>
            <w:shd w:val="clear" w:color="000000" w:fill="FFFFFF"/>
            <w:noWrap/>
            <w:vAlign w:val="center"/>
            <w:hideMark/>
          </w:tcPr>
          <w:p w14:paraId="05777B9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3CC3B9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5D163E5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9622B1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6D4F5E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D285C5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606BB220"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1E9D4FC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Fianzas que hagan efectivas</w:t>
            </w:r>
          </w:p>
        </w:tc>
        <w:tc>
          <w:tcPr>
            <w:tcW w:w="789" w:type="pct"/>
            <w:tcBorders>
              <w:top w:val="nil"/>
              <w:left w:val="nil"/>
              <w:bottom w:val="single" w:sz="4" w:space="0" w:color="auto"/>
              <w:right w:val="single" w:sz="4" w:space="0" w:color="auto"/>
            </w:tcBorders>
            <w:shd w:val="clear" w:color="000000" w:fill="FFFFFF"/>
            <w:noWrap/>
            <w:vAlign w:val="center"/>
            <w:hideMark/>
          </w:tcPr>
          <w:p w14:paraId="1409D96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8E573D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759B01B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69E6D5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416518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3"/>
        </w:trPr>
        <w:tc>
          <w:tcPr>
            <w:tcW w:w="188" w:type="pct"/>
            <w:tcBorders>
              <w:top w:val="nil"/>
              <w:left w:val="single" w:sz="4" w:space="0" w:color="auto"/>
              <w:bottom w:val="single" w:sz="4" w:space="0" w:color="auto"/>
              <w:right w:val="single" w:sz="4" w:space="0" w:color="auto"/>
            </w:tcBorders>
            <w:shd w:val="clear" w:color="auto" w:fill="auto"/>
            <w:vAlign w:val="center"/>
          </w:tcPr>
          <w:p w14:paraId="02E95B5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4D6288C0"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tcPr>
          <w:p w14:paraId="58250DA9" w14:textId="77777777" w:rsidR="00DC35B7" w:rsidRPr="00DC35B7" w:rsidRDefault="00DC35B7" w:rsidP="00B77C25">
            <w:pPr>
              <w:jc w:val="both"/>
              <w:rPr>
                <w:bCs/>
                <w:color w:val="000000"/>
                <w:sz w:val="16"/>
                <w:szCs w:val="16"/>
                <w:lang w:val="es-MX" w:eastAsia="es-MX"/>
              </w:rPr>
            </w:pPr>
            <w:r w:rsidRPr="00DC35B7">
              <w:rPr>
                <w:bCs/>
                <w:color w:val="000000"/>
                <w:sz w:val="16"/>
                <w:szCs w:val="16"/>
                <w:lang w:val="es-MX" w:eastAsia="es-MX"/>
              </w:rPr>
              <w:t>Indemnizaciones</w:t>
            </w:r>
          </w:p>
        </w:tc>
        <w:tc>
          <w:tcPr>
            <w:tcW w:w="789" w:type="pct"/>
            <w:tcBorders>
              <w:top w:val="nil"/>
              <w:left w:val="nil"/>
              <w:bottom w:val="single" w:sz="4" w:space="0" w:color="auto"/>
              <w:right w:val="single" w:sz="4" w:space="0" w:color="auto"/>
            </w:tcBorders>
            <w:shd w:val="clear" w:color="000000" w:fill="FFFFFF"/>
            <w:noWrap/>
            <w:vAlign w:val="center"/>
          </w:tcPr>
          <w:p w14:paraId="2089EA0F"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65E4F6D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1BDFB669"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7065951C" w14:textId="77777777" w:rsidR="00DC35B7" w:rsidRPr="00DC35B7" w:rsidRDefault="00DC35B7" w:rsidP="00B77C25">
            <w:pPr>
              <w:jc w:val="right"/>
              <w:rPr>
                <w:b/>
                <w:bCs/>
                <w:color w:val="000000"/>
                <w:sz w:val="16"/>
                <w:szCs w:val="16"/>
                <w:lang w:val="es-MX" w:eastAsia="es-MX"/>
              </w:rPr>
            </w:pPr>
          </w:p>
        </w:tc>
      </w:tr>
      <w:tr w:rsidR="00DC35B7" w:rsidRPr="00DC35B7" w14:paraId="1621869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14:paraId="67417EEE"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tcPr>
          <w:p w14:paraId="56AF4BB9" w14:textId="77777777" w:rsidR="00DC35B7" w:rsidRPr="00DC35B7" w:rsidRDefault="00DC35B7" w:rsidP="00B77C25">
            <w:pPr>
              <w:jc w:val="center"/>
              <w:rPr>
                <w:b/>
                <w:bCs/>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auto" w:fill="auto"/>
            <w:vAlign w:val="center"/>
          </w:tcPr>
          <w:p w14:paraId="1DF8DB31" w14:textId="77777777" w:rsidR="00DC35B7" w:rsidRPr="00DC35B7" w:rsidRDefault="00DC35B7" w:rsidP="00B77C25">
            <w:pPr>
              <w:jc w:val="both"/>
              <w:rPr>
                <w:bCs/>
                <w:color w:val="000000"/>
                <w:sz w:val="16"/>
                <w:szCs w:val="16"/>
                <w:lang w:val="es-MX" w:eastAsia="es-MX"/>
              </w:rPr>
            </w:pPr>
            <w:r w:rsidRPr="00DC35B7">
              <w:rPr>
                <w:bCs/>
                <w:color w:val="000000"/>
                <w:sz w:val="16"/>
                <w:szCs w:val="16"/>
                <w:lang w:val="es-MX" w:eastAsia="es-MX"/>
              </w:rPr>
              <w:t>Reintegros</w:t>
            </w: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6EFD9840" w14:textId="77777777" w:rsidR="00DC35B7" w:rsidRPr="00DC35B7" w:rsidRDefault="00DC35B7" w:rsidP="00B77C25">
            <w:pPr>
              <w:jc w:val="right"/>
              <w:rPr>
                <w:color w:val="000000"/>
                <w:sz w:val="16"/>
                <w:szCs w:val="16"/>
                <w:lang w:val="es-MX" w:eastAsia="es-MX"/>
              </w:rPr>
            </w:pP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11C6CAF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1264EEA6" w14:textId="77777777" w:rsidR="00DC35B7" w:rsidRPr="00DC35B7" w:rsidRDefault="00DC35B7" w:rsidP="00B77C25">
            <w:pPr>
              <w:jc w:val="right"/>
              <w:rPr>
                <w:b/>
                <w:bCs/>
                <w:color w:val="000000"/>
                <w:sz w:val="16"/>
                <w:szCs w:val="16"/>
                <w:lang w:val="es-MX" w:eastAsia="es-MX"/>
              </w:rPr>
            </w:pP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45242162" w14:textId="77777777" w:rsidR="00DC35B7" w:rsidRPr="00DC35B7" w:rsidRDefault="00DC35B7" w:rsidP="00B77C25">
            <w:pPr>
              <w:jc w:val="right"/>
              <w:rPr>
                <w:b/>
                <w:bCs/>
                <w:color w:val="000000"/>
                <w:sz w:val="16"/>
                <w:szCs w:val="16"/>
                <w:lang w:val="es-MX" w:eastAsia="es-MX"/>
              </w:rPr>
            </w:pPr>
          </w:p>
        </w:tc>
      </w:tr>
      <w:tr w:rsidR="00DC35B7" w:rsidRPr="00DC35B7" w14:paraId="3F92753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61"/>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F352E77"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56445C60"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6.9</w:t>
            </w:r>
          </w:p>
        </w:tc>
        <w:tc>
          <w:tcPr>
            <w:tcW w:w="1252" w:type="pct"/>
            <w:tcBorders>
              <w:top w:val="nil"/>
              <w:left w:val="nil"/>
              <w:bottom w:val="single" w:sz="4" w:space="0" w:color="auto"/>
              <w:right w:val="single" w:sz="4" w:space="0" w:color="auto"/>
            </w:tcBorders>
            <w:shd w:val="clear" w:color="auto" w:fill="auto"/>
            <w:vAlign w:val="center"/>
            <w:hideMark/>
          </w:tcPr>
          <w:p w14:paraId="1798C437"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Aprovechamientos no Comprendidos en la Ley de Ingresos Vigente, Causados en Ejercicios Fiscales Anteriores Pendientes de Liquidación o Pago</w:t>
            </w:r>
          </w:p>
        </w:tc>
        <w:tc>
          <w:tcPr>
            <w:tcW w:w="789" w:type="pct"/>
            <w:tcBorders>
              <w:top w:val="nil"/>
              <w:left w:val="nil"/>
              <w:bottom w:val="single" w:sz="4" w:space="0" w:color="auto"/>
              <w:right w:val="single" w:sz="4" w:space="0" w:color="auto"/>
            </w:tcBorders>
            <w:shd w:val="clear" w:color="000000" w:fill="FFFFFF"/>
            <w:noWrap/>
            <w:vAlign w:val="center"/>
            <w:hideMark/>
          </w:tcPr>
          <w:p w14:paraId="5AAC36B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BBAED6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D33799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6ACC6D8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718632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4"/>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0A86A9E"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7</w:t>
            </w:r>
          </w:p>
        </w:tc>
        <w:tc>
          <w:tcPr>
            <w:tcW w:w="301" w:type="pct"/>
            <w:tcBorders>
              <w:top w:val="nil"/>
              <w:left w:val="nil"/>
              <w:bottom w:val="single" w:sz="4" w:space="0" w:color="auto"/>
              <w:right w:val="single" w:sz="4" w:space="0" w:color="auto"/>
            </w:tcBorders>
            <w:shd w:val="clear" w:color="auto" w:fill="auto"/>
            <w:vAlign w:val="center"/>
            <w:hideMark/>
          </w:tcPr>
          <w:p w14:paraId="080F17DA"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4612C1C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Ingresos por Venta de Bienes, Prestación de Servicios y Otros Ingresos</w:t>
            </w:r>
          </w:p>
        </w:tc>
        <w:tc>
          <w:tcPr>
            <w:tcW w:w="789" w:type="pct"/>
            <w:tcBorders>
              <w:top w:val="nil"/>
              <w:left w:val="nil"/>
              <w:bottom w:val="single" w:sz="4" w:space="0" w:color="auto"/>
              <w:right w:val="single" w:sz="4" w:space="0" w:color="auto"/>
            </w:tcBorders>
            <w:shd w:val="clear" w:color="000000" w:fill="FFFFFF"/>
            <w:noWrap/>
            <w:vAlign w:val="center"/>
            <w:hideMark/>
          </w:tcPr>
          <w:p w14:paraId="58A03F3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6A4FD1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28F11D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5ACF3F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153,692,885.00 </w:t>
            </w:r>
          </w:p>
        </w:tc>
      </w:tr>
      <w:tr w:rsidR="00DC35B7" w:rsidRPr="00DC35B7" w14:paraId="08C5A50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0"/>
        </w:trPr>
        <w:tc>
          <w:tcPr>
            <w:tcW w:w="188" w:type="pct"/>
            <w:tcBorders>
              <w:top w:val="nil"/>
              <w:left w:val="single" w:sz="4" w:space="0" w:color="auto"/>
              <w:bottom w:val="single" w:sz="4" w:space="0" w:color="auto"/>
              <w:right w:val="single" w:sz="4" w:space="0" w:color="auto"/>
            </w:tcBorders>
            <w:shd w:val="clear" w:color="auto" w:fill="auto"/>
            <w:vAlign w:val="center"/>
          </w:tcPr>
          <w:p w14:paraId="2D9FFAB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6D627035"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7.1</w:t>
            </w:r>
          </w:p>
        </w:tc>
        <w:tc>
          <w:tcPr>
            <w:tcW w:w="1252" w:type="pct"/>
            <w:tcBorders>
              <w:top w:val="nil"/>
              <w:left w:val="nil"/>
              <w:bottom w:val="single" w:sz="4" w:space="0" w:color="auto"/>
              <w:right w:val="single" w:sz="4" w:space="0" w:color="auto"/>
            </w:tcBorders>
            <w:shd w:val="clear" w:color="auto" w:fill="auto"/>
            <w:vAlign w:val="center"/>
          </w:tcPr>
          <w:p w14:paraId="74779BC2"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Instituciones Públicas de Seguridad Social</w:t>
            </w:r>
          </w:p>
        </w:tc>
        <w:tc>
          <w:tcPr>
            <w:tcW w:w="789" w:type="pct"/>
            <w:tcBorders>
              <w:top w:val="nil"/>
              <w:left w:val="nil"/>
              <w:bottom w:val="single" w:sz="4" w:space="0" w:color="auto"/>
              <w:right w:val="single" w:sz="4" w:space="0" w:color="auto"/>
            </w:tcBorders>
            <w:shd w:val="clear" w:color="000000" w:fill="FFFFFF"/>
            <w:noWrap/>
            <w:vAlign w:val="center"/>
          </w:tcPr>
          <w:p w14:paraId="2B9F6115"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1C5C22FF"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15B7453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32E7FC45" w14:textId="77777777" w:rsidR="00DC35B7" w:rsidRPr="00DC35B7" w:rsidRDefault="00DC35B7" w:rsidP="00B77C25">
            <w:pPr>
              <w:jc w:val="right"/>
              <w:rPr>
                <w:b/>
                <w:bCs/>
                <w:color w:val="000000"/>
                <w:sz w:val="16"/>
                <w:szCs w:val="16"/>
                <w:lang w:val="es-MX" w:eastAsia="es-MX"/>
              </w:rPr>
            </w:pPr>
          </w:p>
        </w:tc>
      </w:tr>
      <w:tr w:rsidR="00DC35B7" w:rsidRPr="00DC35B7" w14:paraId="32AFF8D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4"/>
        </w:trPr>
        <w:tc>
          <w:tcPr>
            <w:tcW w:w="188" w:type="pct"/>
            <w:tcBorders>
              <w:top w:val="nil"/>
              <w:left w:val="single" w:sz="4" w:space="0" w:color="auto"/>
              <w:bottom w:val="single" w:sz="4" w:space="0" w:color="auto"/>
              <w:right w:val="single" w:sz="4" w:space="0" w:color="auto"/>
            </w:tcBorders>
            <w:shd w:val="clear" w:color="auto" w:fill="auto"/>
            <w:vAlign w:val="center"/>
          </w:tcPr>
          <w:p w14:paraId="2157EB3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44E733E9"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7.2</w:t>
            </w:r>
          </w:p>
        </w:tc>
        <w:tc>
          <w:tcPr>
            <w:tcW w:w="1252" w:type="pct"/>
            <w:tcBorders>
              <w:top w:val="nil"/>
              <w:left w:val="nil"/>
              <w:bottom w:val="single" w:sz="4" w:space="0" w:color="auto"/>
              <w:right w:val="single" w:sz="4" w:space="0" w:color="auto"/>
            </w:tcBorders>
            <w:shd w:val="clear" w:color="auto" w:fill="auto"/>
            <w:vAlign w:val="center"/>
          </w:tcPr>
          <w:p w14:paraId="74BF3B72"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Empresas Productivas del Estado</w:t>
            </w:r>
          </w:p>
        </w:tc>
        <w:tc>
          <w:tcPr>
            <w:tcW w:w="789" w:type="pct"/>
            <w:tcBorders>
              <w:top w:val="nil"/>
              <w:left w:val="nil"/>
              <w:bottom w:val="single" w:sz="4" w:space="0" w:color="auto"/>
              <w:right w:val="single" w:sz="4" w:space="0" w:color="auto"/>
            </w:tcBorders>
            <w:shd w:val="clear" w:color="000000" w:fill="FFFFFF"/>
            <w:noWrap/>
            <w:vAlign w:val="center"/>
          </w:tcPr>
          <w:p w14:paraId="67588164"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4968D8A2"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64B89A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2AEBC9F8" w14:textId="77777777" w:rsidR="00DC35B7" w:rsidRPr="00DC35B7" w:rsidRDefault="00DC35B7" w:rsidP="00B77C25">
            <w:pPr>
              <w:jc w:val="right"/>
              <w:rPr>
                <w:b/>
                <w:bCs/>
                <w:color w:val="000000"/>
                <w:sz w:val="16"/>
                <w:szCs w:val="16"/>
                <w:lang w:val="es-MX" w:eastAsia="es-MX"/>
              </w:rPr>
            </w:pPr>
          </w:p>
        </w:tc>
      </w:tr>
      <w:tr w:rsidR="00DC35B7" w:rsidRPr="00DC35B7" w14:paraId="6C5C0C3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30"/>
        </w:trPr>
        <w:tc>
          <w:tcPr>
            <w:tcW w:w="188" w:type="pct"/>
            <w:tcBorders>
              <w:top w:val="nil"/>
              <w:left w:val="single" w:sz="4" w:space="0" w:color="auto"/>
              <w:bottom w:val="single" w:sz="4" w:space="0" w:color="auto"/>
              <w:right w:val="single" w:sz="4" w:space="0" w:color="auto"/>
            </w:tcBorders>
            <w:shd w:val="clear" w:color="auto" w:fill="auto"/>
            <w:vAlign w:val="center"/>
          </w:tcPr>
          <w:p w14:paraId="23E9864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50D21508"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7.3</w:t>
            </w:r>
          </w:p>
        </w:tc>
        <w:tc>
          <w:tcPr>
            <w:tcW w:w="1252" w:type="pct"/>
            <w:tcBorders>
              <w:top w:val="nil"/>
              <w:left w:val="nil"/>
              <w:bottom w:val="single" w:sz="4" w:space="0" w:color="auto"/>
              <w:right w:val="single" w:sz="4" w:space="0" w:color="auto"/>
            </w:tcBorders>
            <w:shd w:val="clear" w:color="auto" w:fill="auto"/>
            <w:vAlign w:val="center"/>
          </w:tcPr>
          <w:p w14:paraId="267DC4AD"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Entidades Paraestatales y Fideicomisos no Empresariales y no Financieros</w:t>
            </w:r>
          </w:p>
        </w:tc>
        <w:tc>
          <w:tcPr>
            <w:tcW w:w="789" w:type="pct"/>
            <w:tcBorders>
              <w:top w:val="nil"/>
              <w:left w:val="nil"/>
              <w:bottom w:val="single" w:sz="4" w:space="0" w:color="auto"/>
              <w:right w:val="single" w:sz="4" w:space="0" w:color="auto"/>
            </w:tcBorders>
            <w:shd w:val="clear" w:color="000000" w:fill="FFFFFF"/>
            <w:noWrap/>
            <w:vAlign w:val="center"/>
          </w:tcPr>
          <w:p w14:paraId="41EEE27C"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04738D63"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003B66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153,692,885.00</w:t>
            </w:r>
          </w:p>
        </w:tc>
        <w:tc>
          <w:tcPr>
            <w:tcW w:w="840" w:type="pct"/>
            <w:tcBorders>
              <w:top w:val="nil"/>
              <w:left w:val="nil"/>
              <w:bottom w:val="single" w:sz="4" w:space="0" w:color="auto"/>
              <w:right w:val="single" w:sz="4" w:space="0" w:color="auto"/>
            </w:tcBorders>
            <w:shd w:val="clear" w:color="000000" w:fill="FFFFFF"/>
            <w:noWrap/>
            <w:vAlign w:val="center"/>
          </w:tcPr>
          <w:p w14:paraId="09786F8C" w14:textId="77777777" w:rsidR="00DC35B7" w:rsidRPr="00DC35B7" w:rsidRDefault="00DC35B7" w:rsidP="00B77C25">
            <w:pPr>
              <w:jc w:val="right"/>
              <w:rPr>
                <w:b/>
                <w:bCs/>
                <w:color w:val="000000"/>
                <w:sz w:val="16"/>
                <w:szCs w:val="16"/>
                <w:lang w:val="es-MX" w:eastAsia="es-MX"/>
              </w:rPr>
            </w:pPr>
          </w:p>
        </w:tc>
      </w:tr>
      <w:tr w:rsidR="00DC35B7" w:rsidRPr="00DC35B7" w14:paraId="6AE2DA1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6"/>
        </w:trPr>
        <w:tc>
          <w:tcPr>
            <w:tcW w:w="188" w:type="pct"/>
            <w:tcBorders>
              <w:top w:val="nil"/>
              <w:left w:val="single" w:sz="4" w:space="0" w:color="auto"/>
              <w:bottom w:val="single" w:sz="4" w:space="0" w:color="auto"/>
              <w:right w:val="single" w:sz="4" w:space="0" w:color="auto"/>
            </w:tcBorders>
            <w:shd w:val="clear" w:color="auto" w:fill="auto"/>
            <w:vAlign w:val="center"/>
          </w:tcPr>
          <w:p w14:paraId="224CDF2A"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7A1A119D"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7.4</w:t>
            </w:r>
          </w:p>
        </w:tc>
        <w:tc>
          <w:tcPr>
            <w:tcW w:w="1252" w:type="pct"/>
            <w:tcBorders>
              <w:top w:val="nil"/>
              <w:left w:val="nil"/>
              <w:bottom w:val="single" w:sz="4" w:space="0" w:color="auto"/>
              <w:right w:val="single" w:sz="4" w:space="0" w:color="auto"/>
            </w:tcBorders>
            <w:shd w:val="clear" w:color="auto" w:fill="auto"/>
            <w:vAlign w:val="center"/>
          </w:tcPr>
          <w:p w14:paraId="5522BF8D"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Entidades Paraestatales Empresariales no Financieras con Participación Estatal Mayoritaria</w:t>
            </w:r>
          </w:p>
        </w:tc>
        <w:tc>
          <w:tcPr>
            <w:tcW w:w="789" w:type="pct"/>
            <w:tcBorders>
              <w:top w:val="nil"/>
              <w:left w:val="nil"/>
              <w:bottom w:val="single" w:sz="4" w:space="0" w:color="auto"/>
              <w:right w:val="single" w:sz="4" w:space="0" w:color="auto"/>
            </w:tcBorders>
            <w:shd w:val="clear" w:color="000000" w:fill="FFFFFF"/>
            <w:noWrap/>
            <w:vAlign w:val="center"/>
          </w:tcPr>
          <w:p w14:paraId="311B6674"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03364F01"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5818B3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65C5A89F" w14:textId="77777777" w:rsidR="00DC35B7" w:rsidRPr="00DC35B7" w:rsidRDefault="00DC35B7" w:rsidP="00B77C25">
            <w:pPr>
              <w:jc w:val="right"/>
              <w:rPr>
                <w:b/>
                <w:bCs/>
                <w:color w:val="000000"/>
                <w:sz w:val="16"/>
                <w:szCs w:val="16"/>
                <w:lang w:val="es-MX" w:eastAsia="es-MX"/>
              </w:rPr>
            </w:pPr>
          </w:p>
        </w:tc>
      </w:tr>
      <w:tr w:rsidR="00DC35B7" w:rsidRPr="00DC35B7" w14:paraId="0C30D1F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110"/>
        </w:trPr>
        <w:tc>
          <w:tcPr>
            <w:tcW w:w="188" w:type="pct"/>
            <w:tcBorders>
              <w:top w:val="nil"/>
              <w:left w:val="single" w:sz="4" w:space="0" w:color="auto"/>
              <w:bottom w:val="single" w:sz="4" w:space="0" w:color="auto"/>
              <w:right w:val="single" w:sz="4" w:space="0" w:color="auto"/>
            </w:tcBorders>
            <w:shd w:val="clear" w:color="auto" w:fill="auto"/>
            <w:vAlign w:val="center"/>
          </w:tcPr>
          <w:p w14:paraId="1BD587A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69C1459D"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7.5</w:t>
            </w:r>
          </w:p>
        </w:tc>
        <w:tc>
          <w:tcPr>
            <w:tcW w:w="1252" w:type="pct"/>
            <w:tcBorders>
              <w:top w:val="nil"/>
              <w:left w:val="nil"/>
              <w:bottom w:val="single" w:sz="4" w:space="0" w:color="auto"/>
              <w:right w:val="single" w:sz="4" w:space="0" w:color="auto"/>
            </w:tcBorders>
            <w:shd w:val="clear" w:color="auto" w:fill="auto"/>
            <w:vAlign w:val="center"/>
          </w:tcPr>
          <w:p w14:paraId="36988A3A"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Entidades Paraestatales Empresariales Financieras Monetarias con Participación Estatal Mayoritaria</w:t>
            </w:r>
          </w:p>
        </w:tc>
        <w:tc>
          <w:tcPr>
            <w:tcW w:w="789" w:type="pct"/>
            <w:tcBorders>
              <w:top w:val="nil"/>
              <w:left w:val="nil"/>
              <w:bottom w:val="single" w:sz="4" w:space="0" w:color="auto"/>
              <w:right w:val="single" w:sz="4" w:space="0" w:color="auto"/>
            </w:tcBorders>
            <w:shd w:val="clear" w:color="000000" w:fill="FFFFFF"/>
            <w:noWrap/>
            <w:vAlign w:val="center"/>
          </w:tcPr>
          <w:p w14:paraId="14FBA605"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151CC438"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0BA046E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1ECBD180" w14:textId="77777777" w:rsidR="00DC35B7" w:rsidRPr="00DC35B7" w:rsidRDefault="00DC35B7" w:rsidP="00B77C25">
            <w:pPr>
              <w:jc w:val="right"/>
              <w:rPr>
                <w:b/>
                <w:bCs/>
                <w:color w:val="000000"/>
                <w:sz w:val="16"/>
                <w:szCs w:val="16"/>
                <w:lang w:val="es-MX" w:eastAsia="es-MX"/>
              </w:rPr>
            </w:pPr>
          </w:p>
        </w:tc>
      </w:tr>
      <w:tr w:rsidR="00DC35B7" w:rsidRPr="00DC35B7" w14:paraId="50D0A78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84"/>
        </w:trPr>
        <w:tc>
          <w:tcPr>
            <w:tcW w:w="188" w:type="pct"/>
            <w:tcBorders>
              <w:top w:val="nil"/>
              <w:left w:val="single" w:sz="4" w:space="0" w:color="auto"/>
              <w:bottom w:val="single" w:sz="4" w:space="0" w:color="auto"/>
              <w:right w:val="single" w:sz="4" w:space="0" w:color="auto"/>
            </w:tcBorders>
            <w:shd w:val="clear" w:color="auto" w:fill="auto"/>
            <w:vAlign w:val="center"/>
          </w:tcPr>
          <w:p w14:paraId="47F4195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7A7C2CC9"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7.6</w:t>
            </w:r>
          </w:p>
        </w:tc>
        <w:tc>
          <w:tcPr>
            <w:tcW w:w="1252" w:type="pct"/>
            <w:tcBorders>
              <w:top w:val="nil"/>
              <w:left w:val="nil"/>
              <w:bottom w:val="single" w:sz="4" w:space="0" w:color="auto"/>
              <w:right w:val="single" w:sz="4" w:space="0" w:color="auto"/>
            </w:tcBorders>
            <w:shd w:val="clear" w:color="auto" w:fill="auto"/>
            <w:vAlign w:val="center"/>
          </w:tcPr>
          <w:p w14:paraId="08CF1E99"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Entidades Paraestatales Empresariales Financieras no Monetarias con Participación Estatal mayoritaria</w:t>
            </w:r>
          </w:p>
        </w:tc>
        <w:tc>
          <w:tcPr>
            <w:tcW w:w="789" w:type="pct"/>
            <w:tcBorders>
              <w:top w:val="nil"/>
              <w:left w:val="nil"/>
              <w:bottom w:val="single" w:sz="4" w:space="0" w:color="auto"/>
              <w:right w:val="single" w:sz="4" w:space="0" w:color="auto"/>
            </w:tcBorders>
            <w:shd w:val="clear" w:color="000000" w:fill="FFFFFF"/>
            <w:noWrap/>
            <w:vAlign w:val="center"/>
          </w:tcPr>
          <w:p w14:paraId="0CD58590"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76719EB4"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7FE264D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2B4352EA" w14:textId="77777777" w:rsidR="00DC35B7" w:rsidRPr="00DC35B7" w:rsidRDefault="00DC35B7" w:rsidP="00B77C25">
            <w:pPr>
              <w:jc w:val="right"/>
              <w:rPr>
                <w:b/>
                <w:bCs/>
                <w:color w:val="000000"/>
                <w:sz w:val="16"/>
                <w:szCs w:val="16"/>
                <w:lang w:val="es-MX" w:eastAsia="es-MX"/>
              </w:rPr>
            </w:pPr>
          </w:p>
        </w:tc>
      </w:tr>
      <w:tr w:rsidR="00DC35B7" w:rsidRPr="00DC35B7" w14:paraId="582313D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1"/>
        </w:trPr>
        <w:tc>
          <w:tcPr>
            <w:tcW w:w="188" w:type="pct"/>
            <w:tcBorders>
              <w:top w:val="nil"/>
              <w:left w:val="single" w:sz="4" w:space="0" w:color="auto"/>
              <w:bottom w:val="single" w:sz="4" w:space="0" w:color="auto"/>
              <w:right w:val="single" w:sz="4" w:space="0" w:color="auto"/>
            </w:tcBorders>
            <w:shd w:val="clear" w:color="auto" w:fill="auto"/>
            <w:vAlign w:val="center"/>
          </w:tcPr>
          <w:p w14:paraId="6FB7118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5D281FB7"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7.7</w:t>
            </w:r>
          </w:p>
        </w:tc>
        <w:tc>
          <w:tcPr>
            <w:tcW w:w="1252" w:type="pct"/>
            <w:tcBorders>
              <w:top w:val="nil"/>
              <w:left w:val="nil"/>
              <w:bottom w:val="single" w:sz="4" w:space="0" w:color="auto"/>
              <w:right w:val="single" w:sz="4" w:space="0" w:color="auto"/>
            </w:tcBorders>
            <w:shd w:val="clear" w:color="auto" w:fill="auto"/>
            <w:vAlign w:val="center"/>
          </w:tcPr>
          <w:p w14:paraId="675587D2"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Fideicomisos Financieros Públicos con Participación Estatal mayoritaria</w:t>
            </w:r>
          </w:p>
        </w:tc>
        <w:tc>
          <w:tcPr>
            <w:tcW w:w="789" w:type="pct"/>
            <w:tcBorders>
              <w:top w:val="nil"/>
              <w:left w:val="nil"/>
              <w:bottom w:val="single" w:sz="4" w:space="0" w:color="auto"/>
              <w:right w:val="single" w:sz="4" w:space="0" w:color="auto"/>
            </w:tcBorders>
            <w:shd w:val="clear" w:color="000000" w:fill="FFFFFF"/>
            <w:noWrap/>
            <w:vAlign w:val="center"/>
          </w:tcPr>
          <w:p w14:paraId="5748630C"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0F0CA272"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72C0B62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66189543" w14:textId="77777777" w:rsidR="00DC35B7" w:rsidRPr="00DC35B7" w:rsidRDefault="00DC35B7" w:rsidP="00B77C25">
            <w:pPr>
              <w:jc w:val="right"/>
              <w:rPr>
                <w:b/>
                <w:bCs/>
                <w:color w:val="000000"/>
                <w:sz w:val="16"/>
                <w:szCs w:val="16"/>
                <w:lang w:val="es-MX" w:eastAsia="es-MX"/>
              </w:rPr>
            </w:pPr>
          </w:p>
        </w:tc>
      </w:tr>
      <w:tr w:rsidR="00DC35B7" w:rsidRPr="00DC35B7" w14:paraId="6E8DC6B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7"/>
        </w:trPr>
        <w:tc>
          <w:tcPr>
            <w:tcW w:w="188" w:type="pct"/>
            <w:tcBorders>
              <w:top w:val="nil"/>
              <w:left w:val="single" w:sz="4" w:space="0" w:color="auto"/>
              <w:bottom w:val="single" w:sz="4" w:space="0" w:color="auto"/>
              <w:right w:val="single" w:sz="4" w:space="0" w:color="auto"/>
            </w:tcBorders>
            <w:shd w:val="clear" w:color="auto" w:fill="auto"/>
            <w:vAlign w:val="center"/>
          </w:tcPr>
          <w:p w14:paraId="54BDEE0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1561A690"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7.8</w:t>
            </w:r>
          </w:p>
        </w:tc>
        <w:tc>
          <w:tcPr>
            <w:tcW w:w="1252" w:type="pct"/>
            <w:tcBorders>
              <w:top w:val="nil"/>
              <w:left w:val="nil"/>
              <w:bottom w:val="single" w:sz="4" w:space="0" w:color="auto"/>
              <w:right w:val="single" w:sz="4" w:space="0" w:color="auto"/>
            </w:tcBorders>
            <w:shd w:val="clear" w:color="auto" w:fill="auto"/>
            <w:vAlign w:val="center"/>
          </w:tcPr>
          <w:p w14:paraId="5E3FAD3D"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Ingresos por Venta de Bienes y Prestación de Servicios de los Poderes Legislativo y Judicial, y de los Órganos Autónomos</w:t>
            </w:r>
          </w:p>
        </w:tc>
        <w:tc>
          <w:tcPr>
            <w:tcW w:w="789" w:type="pct"/>
            <w:tcBorders>
              <w:top w:val="nil"/>
              <w:left w:val="nil"/>
              <w:bottom w:val="single" w:sz="4" w:space="0" w:color="auto"/>
              <w:right w:val="single" w:sz="4" w:space="0" w:color="auto"/>
            </w:tcBorders>
            <w:shd w:val="clear" w:color="000000" w:fill="FFFFFF"/>
            <w:noWrap/>
            <w:vAlign w:val="center"/>
          </w:tcPr>
          <w:p w14:paraId="4BE5EF93"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4F24C241"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03D080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5069311B" w14:textId="77777777" w:rsidR="00DC35B7" w:rsidRPr="00DC35B7" w:rsidRDefault="00DC35B7" w:rsidP="00B77C25">
            <w:pPr>
              <w:jc w:val="right"/>
              <w:rPr>
                <w:b/>
                <w:bCs/>
                <w:color w:val="000000"/>
                <w:sz w:val="16"/>
                <w:szCs w:val="16"/>
                <w:lang w:val="es-MX" w:eastAsia="es-MX"/>
              </w:rPr>
            </w:pPr>
          </w:p>
        </w:tc>
      </w:tr>
      <w:tr w:rsidR="00DC35B7" w:rsidRPr="00DC35B7" w14:paraId="310440F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500DB95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98B3A0F"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7.9</w:t>
            </w:r>
          </w:p>
        </w:tc>
        <w:tc>
          <w:tcPr>
            <w:tcW w:w="1252" w:type="pct"/>
            <w:tcBorders>
              <w:top w:val="nil"/>
              <w:left w:val="nil"/>
              <w:bottom w:val="single" w:sz="4" w:space="0" w:color="auto"/>
              <w:right w:val="single" w:sz="4" w:space="0" w:color="auto"/>
            </w:tcBorders>
            <w:shd w:val="clear" w:color="auto" w:fill="auto"/>
            <w:vAlign w:val="center"/>
          </w:tcPr>
          <w:p w14:paraId="2D3F1EED"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Otros Ingresos</w:t>
            </w:r>
          </w:p>
        </w:tc>
        <w:tc>
          <w:tcPr>
            <w:tcW w:w="789" w:type="pct"/>
            <w:tcBorders>
              <w:top w:val="nil"/>
              <w:left w:val="nil"/>
              <w:bottom w:val="single" w:sz="4" w:space="0" w:color="auto"/>
              <w:right w:val="single" w:sz="4" w:space="0" w:color="auto"/>
            </w:tcBorders>
            <w:shd w:val="clear" w:color="000000" w:fill="FFFFFF"/>
            <w:noWrap/>
            <w:vAlign w:val="center"/>
          </w:tcPr>
          <w:p w14:paraId="69923CE4"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2A36EC05"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1809329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33E69C3B" w14:textId="77777777" w:rsidR="00DC35B7" w:rsidRPr="00DC35B7" w:rsidRDefault="00DC35B7" w:rsidP="00B77C25">
            <w:pPr>
              <w:jc w:val="right"/>
              <w:rPr>
                <w:b/>
                <w:bCs/>
                <w:color w:val="000000"/>
                <w:sz w:val="16"/>
                <w:szCs w:val="16"/>
                <w:lang w:val="es-MX" w:eastAsia="es-MX"/>
              </w:rPr>
            </w:pPr>
          </w:p>
        </w:tc>
      </w:tr>
      <w:tr w:rsidR="00DC35B7" w:rsidRPr="00DC35B7" w14:paraId="5039E7F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0B3C88FE"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8</w:t>
            </w:r>
          </w:p>
        </w:tc>
        <w:tc>
          <w:tcPr>
            <w:tcW w:w="301" w:type="pct"/>
            <w:tcBorders>
              <w:top w:val="nil"/>
              <w:left w:val="nil"/>
              <w:bottom w:val="single" w:sz="4" w:space="0" w:color="auto"/>
              <w:right w:val="single" w:sz="4" w:space="0" w:color="auto"/>
            </w:tcBorders>
            <w:shd w:val="clear" w:color="auto" w:fill="auto"/>
            <w:noWrap/>
            <w:vAlign w:val="center"/>
          </w:tcPr>
          <w:p w14:paraId="2C601C2A"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tcPr>
          <w:p w14:paraId="7E255151" w14:textId="77777777" w:rsidR="00DC35B7" w:rsidRPr="00DC35B7" w:rsidRDefault="00DC35B7" w:rsidP="00B77C25">
            <w:pPr>
              <w:jc w:val="both"/>
              <w:rPr>
                <w:b/>
                <w:color w:val="000000"/>
                <w:sz w:val="16"/>
                <w:szCs w:val="16"/>
                <w:lang w:val="es-MX" w:eastAsia="es-MX"/>
              </w:rPr>
            </w:pPr>
            <w:r w:rsidRPr="00DC35B7">
              <w:rPr>
                <w:b/>
                <w:color w:val="000000"/>
                <w:sz w:val="16"/>
                <w:szCs w:val="16"/>
                <w:lang w:val="es-MX" w:eastAsia="es-MX"/>
              </w:rPr>
              <w:t xml:space="preserve">Participaciones, Aportaciones, Convenios, Incentivos Derivados de la </w:t>
            </w:r>
            <w:r w:rsidRPr="00DC35B7">
              <w:rPr>
                <w:b/>
                <w:color w:val="000000"/>
                <w:sz w:val="16"/>
                <w:szCs w:val="16"/>
                <w:lang w:val="es-MX" w:eastAsia="es-MX"/>
              </w:rPr>
              <w:lastRenderedPageBreak/>
              <w:t>Colaboración Fiscal y Fondos Distintos de Aportaciones</w:t>
            </w:r>
          </w:p>
        </w:tc>
        <w:tc>
          <w:tcPr>
            <w:tcW w:w="789" w:type="pct"/>
            <w:tcBorders>
              <w:top w:val="nil"/>
              <w:left w:val="nil"/>
              <w:bottom w:val="single" w:sz="4" w:space="0" w:color="auto"/>
              <w:right w:val="single" w:sz="4" w:space="0" w:color="auto"/>
            </w:tcBorders>
            <w:shd w:val="clear" w:color="000000" w:fill="FFFFFF"/>
            <w:noWrap/>
            <w:vAlign w:val="center"/>
          </w:tcPr>
          <w:p w14:paraId="78AD9D5D"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77AEC40"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01C629A5"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2A3862F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23,982,198,721.00</w:t>
            </w:r>
          </w:p>
        </w:tc>
      </w:tr>
      <w:tr w:rsidR="00DC35B7" w:rsidRPr="00DC35B7" w14:paraId="4620AA8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4C2B9"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hideMark/>
          </w:tcPr>
          <w:p w14:paraId="782F24CC"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8.1.</w:t>
            </w: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43A38E0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Participaciones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748CC6B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57B00CF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7EEE38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11,073,317,394.00</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429AC26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DFD4A8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E3AF75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72F15C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1463390E" w14:textId="77777777" w:rsidR="00DC35B7" w:rsidRPr="00DC35B7" w:rsidRDefault="00DC35B7" w:rsidP="00B77C25">
            <w:pPr>
              <w:jc w:val="both"/>
              <w:rPr>
                <w:sz w:val="16"/>
                <w:szCs w:val="16"/>
                <w:lang w:val="es-MX" w:eastAsia="es-MX"/>
              </w:rPr>
            </w:pPr>
            <w:r w:rsidRPr="00DC35B7">
              <w:rPr>
                <w:sz w:val="16"/>
                <w:szCs w:val="16"/>
                <w:lang w:val="es-MX" w:eastAsia="es-MX"/>
              </w:rPr>
              <w:t>Fondo General de Participaciones</w:t>
            </w:r>
          </w:p>
        </w:tc>
        <w:tc>
          <w:tcPr>
            <w:tcW w:w="789" w:type="pct"/>
            <w:tcBorders>
              <w:top w:val="nil"/>
              <w:left w:val="nil"/>
              <w:bottom w:val="single" w:sz="4" w:space="0" w:color="auto"/>
              <w:right w:val="single" w:sz="4" w:space="0" w:color="auto"/>
            </w:tcBorders>
            <w:shd w:val="clear" w:color="000000" w:fill="FFFFFF"/>
            <w:noWrap/>
            <w:vAlign w:val="center"/>
            <w:hideMark/>
          </w:tcPr>
          <w:p w14:paraId="3D9085A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C655BD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8,366,976,892.00 </w:t>
            </w:r>
          </w:p>
        </w:tc>
        <w:tc>
          <w:tcPr>
            <w:tcW w:w="840" w:type="pct"/>
            <w:tcBorders>
              <w:top w:val="nil"/>
              <w:left w:val="nil"/>
              <w:bottom w:val="single" w:sz="4" w:space="0" w:color="auto"/>
              <w:right w:val="single" w:sz="4" w:space="0" w:color="auto"/>
            </w:tcBorders>
            <w:shd w:val="clear" w:color="000000" w:fill="FFFFFF"/>
            <w:noWrap/>
            <w:vAlign w:val="center"/>
            <w:hideMark/>
          </w:tcPr>
          <w:p w14:paraId="078256E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E4D7E9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BB9EED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922072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979F7E1"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72744DB" w14:textId="77777777" w:rsidR="00DC35B7" w:rsidRPr="00DC35B7" w:rsidRDefault="00DC35B7" w:rsidP="00B77C25">
            <w:pPr>
              <w:jc w:val="both"/>
              <w:rPr>
                <w:sz w:val="16"/>
                <w:szCs w:val="16"/>
                <w:lang w:val="es-MX" w:eastAsia="es-MX"/>
              </w:rPr>
            </w:pPr>
            <w:r w:rsidRPr="00DC35B7">
              <w:rPr>
                <w:sz w:val="16"/>
                <w:szCs w:val="16"/>
                <w:lang w:val="es-MX" w:eastAsia="es-MX"/>
              </w:rPr>
              <w:t>Fondo de Fomento Municipal</w:t>
            </w:r>
          </w:p>
        </w:tc>
        <w:tc>
          <w:tcPr>
            <w:tcW w:w="789" w:type="pct"/>
            <w:tcBorders>
              <w:top w:val="nil"/>
              <w:left w:val="nil"/>
              <w:bottom w:val="single" w:sz="4" w:space="0" w:color="auto"/>
              <w:right w:val="single" w:sz="4" w:space="0" w:color="auto"/>
            </w:tcBorders>
            <w:shd w:val="clear" w:color="000000" w:fill="FFFFFF"/>
            <w:noWrap/>
            <w:vAlign w:val="center"/>
            <w:hideMark/>
          </w:tcPr>
          <w:p w14:paraId="388988C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F50566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547,642,406.00 </w:t>
            </w:r>
          </w:p>
        </w:tc>
        <w:tc>
          <w:tcPr>
            <w:tcW w:w="840" w:type="pct"/>
            <w:tcBorders>
              <w:top w:val="nil"/>
              <w:left w:val="nil"/>
              <w:bottom w:val="single" w:sz="4" w:space="0" w:color="auto"/>
              <w:right w:val="single" w:sz="4" w:space="0" w:color="auto"/>
            </w:tcBorders>
            <w:shd w:val="clear" w:color="000000" w:fill="FFFFFF"/>
            <w:noWrap/>
            <w:vAlign w:val="center"/>
            <w:hideMark/>
          </w:tcPr>
          <w:p w14:paraId="180FF57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749226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66E60C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70D4A28"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3E2D15F"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3F8718A1" w14:textId="77777777" w:rsidR="00DC35B7" w:rsidRPr="00DC35B7" w:rsidRDefault="00DC35B7" w:rsidP="00B77C25">
            <w:pPr>
              <w:jc w:val="both"/>
              <w:rPr>
                <w:sz w:val="16"/>
                <w:szCs w:val="16"/>
                <w:lang w:val="es-MX" w:eastAsia="es-MX"/>
              </w:rPr>
            </w:pPr>
            <w:r w:rsidRPr="00DC35B7">
              <w:rPr>
                <w:sz w:val="16"/>
                <w:szCs w:val="16"/>
                <w:lang w:val="es-MX" w:eastAsia="es-MX"/>
              </w:rPr>
              <w:t>Fondo de Fiscalización</w:t>
            </w:r>
          </w:p>
        </w:tc>
        <w:tc>
          <w:tcPr>
            <w:tcW w:w="789" w:type="pct"/>
            <w:tcBorders>
              <w:top w:val="nil"/>
              <w:left w:val="nil"/>
              <w:bottom w:val="single" w:sz="4" w:space="0" w:color="auto"/>
              <w:right w:val="single" w:sz="4" w:space="0" w:color="auto"/>
            </w:tcBorders>
            <w:shd w:val="clear" w:color="000000" w:fill="FFFFFF"/>
            <w:noWrap/>
            <w:vAlign w:val="center"/>
            <w:hideMark/>
          </w:tcPr>
          <w:p w14:paraId="3CC8C0A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C93197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408,231,717.00 </w:t>
            </w:r>
          </w:p>
        </w:tc>
        <w:tc>
          <w:tcPr>
            <w:tcW w:w="840" w:type="pct"/>
            <w:tcBorders>
              <w:top w:val="nil"/>
              <w:left w:val="nil"/>
              <w:bottom w:val="single" w:sz="4" w:space="0" w:color="auto"/>
              <w:right w:val="single" w:sz="4" w:space="0" w:color="auto"/>
            </w:tcBorders>
            <w:shd w:val="clear" w:color="000000" w:fill="FFFFFF"/>
            <w:noWrap/>
            <w:vAlign w:val="center"/>
            <w:hideMark/>
          </w:tcPr>
          <w:p w14:paraId="324595F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2962DF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275A67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382A7E7"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6700FF4"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6420BE9B" w14:textId="77777777" w:rsidR="00DC35B7" w:rsidRPr="00DC35B7" w:rsidRDefault="00DC35B7" w:rsidP="00B77C25">
            <w:pPr>
              <w:jc w:val="both"/>
              <w:rPr>
                <w:sz w:val="16"/>
                <w:szCs w:val="16"/>
                <w:lang w:val="es-MX" w:eastAsia="es-MX"/>
              </w:rPr>
            </w:pPr>
            <w:r w:rsidRPr="00DC35B7">
              <w:rPr>
                <w:sz w:val="16"/>
                <w:szCs w:val="16"/>
                <w:lang w:val="es-MX" w:eastAsia="es-MX"/>
              </w:rPr>
              <w:t>Fondo de Compensación</w:t>
            </w:r>
          </w:p>
        </w:tc>
        <w:tc>
          <w:tcPr>
            <w:tcW w:w="789" w:type="pct"/>
            <w:tcBorders>
              <w:top w:val="nil"/>
              <w:left w:val="nil"/>
              <w:bottom w:val="single" w:sz="4" w:space="0" w:color="auto"/>
              <w:right w:val="single" w:sz="4" w:space="0" w:color="auto"/>
            </w:tcBorders>
            <w:shd w:val="clear" w:color="000000" w:fill="FFFFFF"/>
            <w:noWrap/>
            <w:vAlign w:val="center"/>
            <w:hideMark/>
          </w:tcPr>
          <w:p w14:paraId="573D3EA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398D67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619,122,861.00 </w:t>
            </w:r>
          </w:p>
        </w:tc>
        <w:tc>
          <w:tcPr>
            <w:tcW w:w="840" w:type="pct"/>
            <w:tcBorders>
              <w:top w:val="nil"/>
              <w:left w:val="nil"/>
              <w:bottom w:val="single" w:sz="4" w:space="0" w:color="auto"/>
              <w:right w:val="single" w:sz="4" w:space="0" w:color="auto"/>
            </w:tcBorders>
            <w:shd w:val="clear" w:color="000000" w:fill="FFFFFF"/>
            <w:noWrap/>
            <w:vAlign w:val="center"/>
            <w:hideMark/>
          </w:tcPr>
          <w:p w14:paraId="7969937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24B011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A478C9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681397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6876B3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4291204" w14:textId="77777777" w:rsidR="00DC35B7" w:rsidRPr="00DC35B7" w:rsidRDefault="00DC35B7" w:rsidP="00B77C25">
            <w:pPr>
              <w:jc w:val="both"/>
              <w:rPr>
                <w:sz w:val="16"/>
                <w:szCs w:val="16"/>
                <w:lang w:val="es-MX" w:eastAsia="es-MX"/>
              </w:rPr>
            </w:pPr>
            <w:r w:rsidRPr="00DC35B7">
              <w:rPr>
                <w:sz w:val="16"/>
                <w:szCs w:val="16"/>
                <w:lang w:val="es-MX" w:eastAsia="es-MX"/>
              </w:rPr>
              <w:t>Impuesto Especial Sobre Producción y Servicios</w:t>
            </w:r>
          </w:p>
        </w:tc>
        <w:tc>
          <w:tcPr>
            <w:tcW w:w="789" w:type="pct"/>
            <w:tcBorders>
              <w:top w:val="nil"/>
              <w:left w:val="nil"/>
              <w:bottom w:val="single" w:sz="4" w:space="0" w:color="auto"/>
              <w:right w:val="single" w:sz="4" w:space="0" w:color="auto"/>
            </w:tcBorders>
            <w:shd w:val="clear" w:color="000000" w:fill="FFFFFF"/>
            <w:noWrap/>
            <w:vAlign w:val="center"/>
            <w:hideMark/>
          </w:tcPr>
          <w:p w14:paraId="46A5190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6BD8811"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75,399,152.00 </w:t>
            </w:r>
          </w:p>
        </w:tc>
        <w:tc>
          <w:tcPr>
            <w:tcW w:w="840" w:type="pct"/>
            <w:tcBorders>
              <w:top w:val="nil"/>
              <w:left w:val="nil"/>
              <w:bottom w:val="single" w:sz="4" w:space="0" w:color="auto"/>
              <w:right w:val="single" w:sz="4" w:space="0" w:color="auto"/>
            </w:tcBorders>
            <w:shd w:val="clear" w:color="000000" w:fill="FFFFFF"/>
            <w:noWrap/>
            <w:vAlign w:val="center"/>
            <w:hideMark/>
          </w:tcPr>
          <w:p w14:paraId="7019D74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A65B11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E4C529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E9FA90"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3C3E4180"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hideMark/>
          </w:tcPr>
          <w:p w14:paraId="3B63A783" w14:textId="77777777" w:rsidR="00DC35B7" w:rsidRPr="00DC35B7" w:rsidRDefault="00DC35B7" w:rsidP="00B77C25">
            <w:pPr>
              <w:jc w:val="both"/>
              <w:rPr>
                <w:sz w:val="16"/>
                <w:szCs w:val="16"/>
                <w:lang w:val="es-MX" w:eastAsia="es-MX"/>
              </w:rPr>
            </w:pPr>
            <w:r w:rsidRPr="00DC35B7">
              <w:rPr>
                <w:sz w:val="16"/>
                <w:szCs w:val="16"/>
                <w:lang w:val="es-MX" w:eastAsia="es-MX"/>
              </w:rPr>
              <w:t>Incentivo a la Venta Final de Gasolinas y Diésel</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791E288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1505980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225,828,023.00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12A5845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72D2712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0799F5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10A42B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1ADBBEC"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10F1FFB" w14:textId="77777777" w:rsidR="00DC35B7" w:rsidRPr="00DC35B7" w:rsidRDefault="00DC35B7" w:rsidP="00B77C25">
            <w:pPr>
              <w:jc w:val="both"/>
              <w:rPr>
                <w:sz w:val="16"/>
                <w:szCs w:val="16"/>
                <w:lang w:val="es-MX" w:eastAsia="es-MX"/>
              </w:rPr>
            </w:pPr>
            <w:r w:rsidRPr="00DC35B7">
              <w:rPr>
                <w:sz w:val="16"/>
                <w:szCs w:val="16"/>
                <w:lang w:val="es-MX" w:eastAsia="es-MX"/>
              </w:rPr>
              <w:t>Impuesto Sobre Automóviles Nuevos (compensación)</w:t>
            </w:r>
          </w:p>
        </w:tc>
        <w:tc>
          <w:tcPr>
            <w:tcW w:w="789" w:type="pct"/>
            <w:tcBorders>
              <w:top w:val="nil"/>
              <w:left w:val="nil"/>
              <w:bottom w:val="single" w:sz="4" w:space="0" w:color="auto"/>
              <w:right w:val="single" w:sz="4" w:space="0" w:color="auto"/>
            </w:tcBorders>
            <w:shd w:val="clear" w:color="000000" w:fill="FFFFFF"/>
            <w:noWrap/>
            <w:vAlign w:val="center"/>
            <w:hideMark/>
          </w:tcPr>
          <w:p w14:paraId="5C4AB27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8ACF6E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11,640,431.00 </w:t>
            </w:r>
          </w:p>
        </w:tc>
        <w:tc>
          <w:tcPr>
            <w:tcW w:w="840" w:type="pct"/>
            <w:tcBorders>
              <w:top w:val="nil"/>
              <w:left w:val="nil"/>
              <w:bottom w:val="single" w:sz="4" w:space="0" w:color="auto"/>
              <w:right w:val="single" w:sz="4" w:space="0" w:color="auto"/>
            </w:tcBorders>
            <w:shd w:val="clear" w:color="000000" w:fill="FFFFFF"/>
            <w:noWrap/>
            <w:vAlign w:val="center"/>
            <w:hideMark/>
          </w:tcPr>
          <w:p w14:paraId="5E8942A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2CDE93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D4A4B6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4E22F0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432433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74A10AA" w14:textId="77777777" w:rsidR="00DC35B7" w:rsidRPr="00DC35B7" w:rsidRDefault="00DC35B7" w:rsidP="00B77C25">
            <w:pPr>
              <w:jc w:val="both"/>
              <w:rPr>
                <w:sz w:val="16"/>
                <w:szCs w:val="16"/>
                <w:lang w:val="es-MX" w:eastAsia="es-MX"/>
              </w:rPr>
            </w:pPr>
            <w:r w:rsidRPr="00DC35B7">
              <w:rPr>
                <w:sz w:val="16"/>
                <w:szCs w:val="16"/>
                <w:lang w:val="es-MX" w:eastAsia="es-MX"/>
              </w:rPr>
              <w:t>Fondo ISR Artículo 3-B de la Ley de Coordinación Fiscal</w:t>
            </w:r>
          </w:p>
        </w:tc>
        <w:tc>
          <w:tcPr>
            <w:tcW w:w="789" w:type="pct"/>
            <w:tcBorders>
              <w:top w:val="nil"/>
              <w:left w:val="nil"/>
              <w:bottom w:val="single" w:sz="4" w:space="0" w:color="auto"/>
              <w:right w:val="single" w:sz="4" w:space="0" w:color="auto"/>
            </w:tcBorders>
            <w:shd w:val="clear" w:color="000000" w:fill="FFFFFF"/>
            <w:noWrap/>
            <w:vAlign w:val="center"/>
            <w:hideMark/>
          </w:tcPr>
          <w:p w14:paraId="4F6E289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0190D9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814,819,960.00 </w:t>
            </w:r>
          </w:p>
        </w:tc>
        <w:tc>
          <w:tcPr>
            <w:tcW w:w="840" w:type="pct"/>
            <w:tcBorders>
              <w:top w:val="nil"/>
              <w:left w:val="nil"/>
              <w:bottom w:val="single" w:sz="4" w:space="0" w:color="auto"/>
              <w:right w:val="single" w:sz="4" w:space="0" w:color="auto"/>
            </w:tcBorders>
            <w:shd w:val="clear" w:color="000000" w:fill="FFFFFF"/>
            <w:noWrap/>
            <w:vAlign w:val="center"/>
            <w:hideMark/>
          </w:tcPr>
          <w:p w14:paraId="6C2B2BA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F37732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20426F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63BA84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9B2866C"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0DBE202" w14:textId="77777777" w:rsidR="00DC35B7" w:rsidRPr="00DC35B7" w:rsidRDefault="00DC35B7" w:rsidP="00B77C25">
            <w:pPr>
              <w:jc w:val="both"/>
              <w:rPr>
                <w:sz w:val="16"/>
                <w:szCs w:val="16"/>
                <w:lang w:val="es-MX" w:eastAsia="es-MX"/>
              </w:rPr>
            </w:pPr>
            <w:r w:rsidRPr="00DC35B7">
              <w:rPr>
                <w:sz w:val="16"/>
                <w:szCs w:val="16"/>
                <w:lang w:val="es-MX" w:eastAsia="es-MX"/>
              </w:rPr>
              <w:t>REPECOS e INTERMEDIOS</w:t>
            </w:r>
          </w:p>
        </w:tc>
        <w:tc>
          <w:tcPr>
            <w:tcW w:w="789" w:type="pct"/>
            <w:tcBorders>
              <w:top w:val="nil"/>
              <w:left w:val="nil"/>
              <w:bottom w:val="single" w:sz="4" w:space="0" w:color="auto"/>
              <w:right w:val="single" w:sz="4" w:space="0" w:color="auto"/>
            </w:tcBorders>
            <w:shd w:val="clear" w:color="000000" w:fill="FFFFFF"/>
            <w:noWrap/>
            <w:vAlign w:val="center"/>
            <w:hideMark/>
          </w:tcPr>
          <w:p w14:paraId="1E7A3B7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248552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3,655,952.00 </w:t>
            </w:r>
          </w:p>
        </w:tc>
        <w:tc>
          <w:tcPr>
            <w:tcW w:w="840" w:type="pct"/>
            <w:tcBorders>
              <w:top w:val="nil"/>
              <w:left w:val="nil"/>
              <w:bottom w:val="single" w:sz="4" w:space="0" w:color="auto"/>
              <w:right w:val="single" w:sz="4" w:space="0" w:color="auto"/>
            </w:tcBorders>
            <w:shd w:val="clear" w:color="000000" w:fill="FFFFFF"/>
            <w:noWrap/>
            <w:vAlign w:val="center"/>
            <w:hideMark/>
          </w:tcPr>
          <w:p w14:paraId="3BF72B2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43F78A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0E99A2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458719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00B1BE7"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8.2</w:t>
            </w:r>
          </w:p>
        </w:tc>
        <w:tc>
          <w:tcPr>
            <w:tcW w:w="1252" w:type="pct"/>
            <w:tcBorders>
              <w:top w:val="nil"/>
              <w:left w:val="nil"/>
              <w:bottom w:val="single" w:sz="4" w:space="0" w:color="auto"/>
              <w:right w:val="single" w:sz="4" w:space="0" w:color="auto"/>
            </w:tcBorders>
            <w:shd w:val="clear" w:color="auto" w:fill="auto"/>
            <w:vAlign w:val="center"/>
            <w:hideMark/>
          </w:tcPr>
          <w:p w14:paraId="253A4988"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Aportaciones</w:t>
            </w:r>
          </w:p>
        </w:tc>
        <w:tc>
          <w:tcPr>
            <w:tcW w:w="789" w:type="pct"/>
            <w:tcBorders>
              <w:top w:val="nil"/>
              <w:left w:val="nil"/>
              <w:bottom w:val="single" w:sz="4" w:space="0" w:color="auto"/>
              <w:right w:val="single" w:sz="4" w:space="0" w:color="auto"/>
            </w:tcBorders>
            <w:shd w:val="clear" w:color="000000" w:fill="FFFFFF"/>
            <w:noWrap/>
            <w:vAlign w:val="center"/>
            <w:hideMark/>
          </w:tcPr>
          <w:p w14:paraId="4823AD5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BBEA327"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B85C4E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12,794,739,972.00 </w:t>
            </w:r>
          </w:p>
        </w:tc>
        <w:tc>
          <w:tcPr>
            <w:tcW w:w="840" w:type="pct"/>
            <w:tcBorders>
              <w:top w:val="nil"/>
              <w:left w:val="nil"/>
              <w:bottom w:val="single" w:sz="4" w:space="0" w:color="auto"/>
              <w:right w:val="single" w:sz="4" w:space="0" w:color="auto"/>
            </w:tcBorders>
            <w:shd w:val="clear" w:color="000000" w:fill="FFFFFF"/>
            <w:noWrap/>
            <w:vAlign w:val="center"/>
            <w:hideMark/>
          </w:tcPr>
          <w:p w14:paraId="55DF41B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168AE0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CCB56E8"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FD1D7A0"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049EAB2"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la Nómina y Gasto Operativo  (FONE)</w:t>
            </w:r>
          </w:p>
        </w:tc>
        <w:tc>
          <w:tcPr>
            <w:tcW w:w="789" w:type="pct"/>
            <w:tcBorders>
              <w:top w:val="nil"/>
              <w:left w:val="nil"/>
              <w:bottom w:val="single" w:sz="4" w:space="0" w:color="auto"/>
              <w:right w:val="single" w:sz="4" w:space="0" w:color="auto"/>
            </w:tcBorders>
            <w:shd w:val="clear" w:color="000000" w:fill="FFFFFF"/>
            <w:noWrap/>
            <w:vAlign w:val="center"/>
            <w:hideMark/>
          </w:tcPr>
          <w:p w14:paraId="4EBD72C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4E8F40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6,554,258,966.00 </w:t>
            </w:r>
          </w:p>
        </w:tc>
        <w:tc>
          <w:tcPr>
            <w:tcW w:w="840" w:type="pct"/>
            <w:tcBorders>
              <w:top w:val="nil"/>
              <w:left w:val="nil"/>
              <w:bottom w:val="single" w:sz="4" w:space="0" w:color="auto"/>
              <w:right w:val="single" w:sz="4" w:space="0" w:color="auto"/>
            </w:tcBorders>
            <w:shd w:val="clear" w:color="000000" w:fill="FFFFFF"/>
            <w:noWrap/>
            <w:vAlign w:val="center"/>
            <w:hideMark/>
          </w:tcPr>
          <w:p w14:paraId="07E702D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465D35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AAA67E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7E8458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4C1800D"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E5A4B5D" w14:textId="77777777" w:rsidR="00DC35B7" w:rsidRPr="00DC35B7" w:rsidRDefault="00DC35B7" w:rsidP="00B77C25">
            <w:pPr>
              <w:jc w:val="both"/>
              <w:rPr>
                <w:sz w:val="16"/>
                <w:szCs w:val="16"/>
                <w:lang w:val="es-MX" w:eastAsia="es-MX"/>
              </w:rPr>
            </w:pPr>
            <w:r w:rsidRPr="00DC35B7">
              <w:rPr>
                <w:sz w:val="16"/>
                <w:szCs w:val="16"/>
                <w:lang w:val="es-MX" w:eastAsia="es-MX"/>
              </w:rPr>
              <w:t>FONE  Servicios Personales</w:t>
            </w:r>
          </w:p>
        </w:tc>
        <w:tc>
          <w:tcPr>
            <w:tcW w:w="789" w:type="pct"/>
            <w:tcBorders>
              <w:top w:val="nil"/>
              <w:left w:val="nil"/>
              <w:bottom w:val="single" w:sz="4" w:space="0" w:color="auto"/>
              <w:right w:val="single" w:sz="4" w:space="0" w:color="auto"/>
            </w:tcBorders>
            <w:shd w:val="clear" w:color="000000" w:fill="FFFFFF"/>
            <w:noWrap/>
            <w:vAlign w:val="center"/>
            <w:hideMark/>
          </w:tcPr>
          <w:p w14:paraId="590A040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6,267,894,686.00 </w:t>
            </w:r>
          </w:p>
        </w:tc>
        <w:tc>
          <w:tcPr>
            <w:tcW w:w="789" w:type="pct"/>
            <w:tcBorders>
              <w:top w:val="nil"/>
              <w:left w:val="nil"/>
              <w:bottom w:val="single" w:sz="4" w:space="0" w:color="auto"/>
              <w:right w:val="single" w:sz="4" w:space="0" w:color="auto"/>
            </w:tcBorders>
            <w:shd w:val="clear" w:color="000000" w:fill="FFFFFF"/>
            <w:noWrap/>
            <w:vAlign w:val="center"/>
            <w:hideMark/>
          </w:tcPr>
          <w:p w14:paraId="704A5BA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FAC372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CCD4A5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3510E9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6605FB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A44805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0FC5E6C" w14:textId="77777777" w:rsidR="00DC35B7" w:rsidRPr="00DC35B7" w:rsidRDefault="00DC35B7" w:rsidP="00B77C25">
            <w:pPr>
              <w:jc w:val="both"/>
              <w:rPr>
                <w:sz w:val="16"/>
                <w:szCs w:val="16"/>
                <w:lang w:val="es-MX" w:eastAsia="es-MX"/>
              </w:rPr>
            </w:pPr>
            <w:r w:rsidRPr="00DC35B7">
              <w:rPr>
                <w:sz w:val="16"/>
                <w:szCs w:val="16"/>
                <w:lang w:val="es-MX" w:eastAsia="es-MX"/>
              </w:rPr>
              <w:t>FONE Gasto Corriente</w:t>
            </w:r>
          </w:p>
        </w:tc>
        <w:tc>
          <w:tcPr>
            <w:tcW w:w="789" w:type="pct"/>
            <w:tcBorders>
              <w:top w:val="nil"/>
              <w:left w:val="nil"/>
              <w:bottom w:val="single" w:sz="4" w:space="0" w:color="auto"/>
              <w:right w:val="single" w:sz="4" w:space="0" w:color="auto"/>
            </w:tcBorders>
            <w:shd w:val="clear" w:color="000000" w:fill="FFFFFF"/>
            <w:noWrap/>
            <w:vAlign w:val="center"/>
            <w:hideMark/>
          </w:tcPr>
          <w:p w14:paraId="7CBF46B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101,579,734.00 </w:t>
            </w:r>
          </w:p>
        </w:tc>
        <w:tc>
          <w:tcPr>
            <w:tcW w:w="789" w:type="pct"/>
            <w:tcBorders>
              <w:top w:val="nil"/>
              <w:left w:val="nil"/>
              <w:bottom w:val="single" w:sz="4" w:space="0" w:color="auto"/>
              <w:right w:val="single" w:sz="4" w:space="0" w:color="auto"/>
            </w:tcBorders>
            <w:shd w:val="clear" w:color="000000" w:fill="FFFFFF"/>
            <w:noWrap/>
            <w:vAlign w:val="center"/>
            <w:hideMark/>
          </w:tcPr>
          <w:p w14:paraId="510A14B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AC93F6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591BEC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E1B713B"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7A9B46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47BF0A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61CBE08D" w14:textId="77777777" w:rsidR="00DC35B7" w:rsidRPr="00DC35B7" w:rsidRDefault="00DC35B7" w:rsidP="00B77C25">
            <w:pPr>
              <w:jc w:val="both"/>
              <w:rPr>
                <w:sz w:val="16"/>
                <w:szCs w:val="16"/>
                <w:lang w:val="es-MX" w:eastAsia="es-MX"/>
              </w:rPr>
            </w:pPr>
            <w:r w:rsidRPr="00DC35B7">
              <w:rPr>
                <w:sz w:val="16"/>
                <w:szCs w:val="16"/>
                <w:lang w:val="es-MX" w:eastAsia="es-MX"/>
              </w:rPr>
              <w:t>FONE Gasto Operativo</w:t>
            </w:r>
          </w:p>
        </w:tc>
        <w:tc>
          <w:tcPr>
            <w:tcW w:w="789" w:type="pct"/>
            <w:tcBorders>
              <w:top w:val="nil"/>
              <w:left w:val="nil"/>
              <w:bottom w:val="single" w:sz="4" w:space="0" w:color="auto"/>
              <w:right w:val="single" w:sz="4" w:space="0" w:color="auto"/>
            </w:tcBorders>
            <w:shd w:val="clear" w:color="000000" w:fill="FFFFFF"/>
            <w:noWrap/>
            <w:vAlign w:val="center"/>
            <w:hideMark/>
          </w:tcPr>
          <w:p w14:paraId="65726FA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184,784,546.00 </w:t>
            </w:r>
          </w:p>
        </w:tc>
        <w:tc>
          <w:tcPr>
            <w:tcW w:w="789" w:type="pct"/>
            <w:tcBorders>
              <w:top w:val="nil"/>
              <w:left w:val="nil"/>
              <w:bottom w:val="single" w:sz="4" w:space="0" w:color="auto"/>
              <w:right w:val="single" w:sz="4" w:space="0" w:color="auto"/>
            </w:tcBorders>
            <w:shd w:val="clear" w:color="000000" w:fill="FFFFFF"/>
            <w:noWrap/>
            <w:vAlign w:val="center"/>
            <w:hideMark/>
          </w:tcPr>
          <w:p w14:paraId="7232C2E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06C9C5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1B7AAA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693F6B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DD3E21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4956E4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33B4CFF2"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los Servicios de Salud (FASSA)</w:t>
            </w:r>
          </w:p>
        </w:tc>
        <w:tc>
          <w:tcPr>
            <w:tcW w:w="789" w:type="pct"/>
            <w:tcBorders>
              <w:top w:val="nil"/>
              <w:left w:val="nil"/>
              <w:bottom w:val="single" w:sz="4" w:space="0" w:color="auto"/>
              <w:right w:val="single" w:sz="4" w:space="0" w:color="auto"/>
            </w:tcBorders>
            <w:shd w:val="clear" w:color="000000" w:fill="FFFFFF"/>
            <w:noWrap/>
            <w:vAlign w:val="center"/>
            <w:hideMark/>
          </w:tcPr>
          <w:p w14:paraId="3A9A403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A9D8A5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2,186,743,976.00 </w:t>
            </w:r>
          </w:p>
        </w:tc>
        <w:tc>
          <w:tcPr>
            <w:tcW w:w="840" w:type="pct"/>
            <w:tcBorders>
              <w:top w:val="nil"/>
              <w:left w:val="nil"/>
              <w:bottom w:val="single" w:sz="4" w:space="0" w:color="auto"/>
              <w:right w:val="single" w:sz="4" w:space="0" w:color="auto"/>
            </w:tcBorders>
            <w:shd w:val="clear" w:color="000000" w:fill="FFFFFF"/>
            <w:noWrap/>
            <w:vAlign w:val="center"/>
            <w:hideMark/>
          </w:tcPr>
          <w:p w14:paraId="18D207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C795A8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2367ED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56CB15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5DCD8F5"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447C143B"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la Infraestructura Social (FAIS)</w:t>
            </w:r>
          </w:p>
        </w:tc>
        <w:tc>
          <w:tcPr>
            <w:tcW w:w="789" w:type="pct"/>
            <w:tcBorders>
              <w:top w:val="nil"/>
              <w:left w:val="nil"/>
              <w:bottom w:val="single" w:sz="4" w:space="0" w:color="auto"/>
              <w:right w:val="single" w:sz="4" w:space="0" w:color="auto"/>
            </w:tcBorders>
            <w:shd w:val="clear" w:color="000000" w:fill="FFFFFF"/>
            <w:noWrap/>
            <w:vAlign w:val="center"/>
            <w:hideMark/>
          </w:tcPr>
          <w:p w14:paraId="6721047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8B5D5D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1,173,088,410.00 </w:t>
            </w:r>
          </w:p>
        </w:tc>
        <w:tc>
          <w:tcPr>
            <w:tcW w:w="840" w:type="pct"/>
            <w:tcBorders>
              <w:top w:val="nil"/>
              <w:left w:val="nil"/>
              <w:bottom w:val="single" w:sz="4" w:space="0" w:color="auto"/>
              <w:right w:val="single" w:sz="4" w:space="0" w:color="auto"/>
            </w:tcBorders>
            <w:shd w:val="clear" w:color="000000" w:fill="FFFFFF"/>
            <w:noWrap/>
            <w:vAlign w:val="center"/>
            <w:hideMark/>
          </w:tcPr>
          <w:p w14:paraId="72D9C6A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7A64F2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96DAAA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FAC5CA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426CA554"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5D0F55D0" w14:textId="77777777" w:rsidR="00DC35B7" w:rsidRPr="00DC35B7" w:rsidRDefault="00DC35B7" w:rsidP="00B77C25">
            <w:pPr>
              <w:jc w:val="both"/>
              <w:rPr>
                <w:sz w:val="16"/>
                <w:szCs w:val="16"/>
                <w:lang w:val="es-MX" w:eastAsia="es-MX"/>
              </w:rPr>
            </w:pPr>
            <w:r w:rsidRPr="00DC35B7">
              <w:rPr>
                <w:sz w:val="16"/>
                <w:szCs w:val="16"/>
                <w:lang w:val="es-MX" w:eastAsia="es-MX"/>
              </w:rPr>
              <w:t>Fondo para la Infraestructura Social Municipal (FISM)</w:t>
            </w:r>
          </w:p>
        </w:tc>
        <w:tc>
          <w:tcPr>
            <w:tcW w:w="789" w:type="pct"/>
            <w:tcBorders>
              <w:top w:val="nil"/>
              <w:left w:val="nil"/>
              <w:bottom w:val="single" w:sz="4" w:space="0" w:color="auto"/>
              <w:right w:val="single" w:sz="4" w:space="0" w:color="auto"/>
            </w:tcBorders>
            <w:shd w:val="clear" w:color="000000" w:fill="FFFFFF"/>
            <w:noWrap/>
            <w:vAlign w:val="center"/>
            <w:hideMark/>
          </w:tcPr>
          <w:p w14:paraId="305C05A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1,030,893,065.00 </w:t>
            </w:r>
          </w:p>
        </w:tc>
        <w:tc>
          <w:tcPr>
            <w:tcW w:w="789" w:type="pct"/>
            <w:tcBorders>
              <w:top w:val="nil"/>
              <w:left w:val="nil"/>
              <w:bottom w:val="single" w:sz="4" w:space="0" w:color="auto"/>
              <w:right w:val="single" w:sz="4" w:space="0" w:color="auto"/>
            </w:tcBorders>
            <w:shd w:val="clear" w:color="000000" w:fill="FFFFFF"/>
            <w:noWrap/>
            <w:vAlign w:val="center"/>
            <w:hideMark/>
          </w:tcPr>
          <w:p w14:paraId="5551792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1A1FB2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E2CD82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6E7228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F38E258"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45038B6"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49C89CB" w14:textId="77777777" w:rsidR="00DC35B7" w:rsidRPr="00DC35B7" w:rsidRDefault="00DC35B7" w:rsidP="00B77C25">
            <w:pPr>
              <w:jc w:val="both"/>
              <w:rPr>
                <w:sz w:val="16"/>
                <w:szCs w:val="16"/>
                <w:lang w:val="es-MX" w:eastAsia="es-MX"/>
              </w:rPr>
            </w:pPr>
            <w:r w:rsidRPr="00DC35B7">
              <w:rPr>
                <w:sz w:val="16"/>
                <w:szCs w:val="16"/>
                <w:lang w:val="es-MX" w:eastAsia="es-MX"/>
              </w:rPr>
              <w:t>Fondo para la Infraestructura Social Estatal  (FISE)</w:t>
            </w:r>
          </w:p>
        </w:tc>
        <w:tc>
          <w:tcPr>
            <w:tcW w:w="789" w:type="pct"/>
            <w:tcBorders>
              <w:top w:val="nil"/>
              <w:left w:val="nil"/>
              <w:bottom w:val="single" w:sz="4" w:space="0" w:color="auto"/>
              <w:right w:val="single" w:sz="4" w:space="0" w:color="auto"/>
            </w:tcBorders>
            <w:shd w:val="clear" w:color="000000" w:fill="FFFFFF"/>
            <w:noWrap/>
            <w:vAlign w:val="center"/>
            <w:hideMark/>
          </w:tcPr>
          <w:p w14:paraId="245EE4E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142,195,345.00 </w:t>
            </w:r>
          </w:p>
        </w:tc>
        <w:tc>
          <w:tcPr>
            <w:tcW w:w="789" w:type="pct"/>
            <w:tcBorders>
              <w:top w:val="nil"/>
              <w:left w:val="nil"/>
              <w:bottom w:val="single" w:sz="4" w:space="0" w:color="auto"/>
              <w:right w:val="single" w:sz="4" w:space="0" w:color="auto"/>
            </w:tcBorders>
            <w:shd w:val="clear" w:color="000000" w:fill="FFFFFF"/>
            <w:noWrap/>
            <w:vAlign w:val="center"/>
            <w:hideMark/>
          </w:tcPr>
          <w:p w14:paraId="67800F3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6D48BA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2FE0A8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1C0CE1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C2573E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3DD6334"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F339163"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el Fortalecimiento Municipal (FORTAMUN)</w:t>
            </w:r>
          </w:p>
        </w:tc>
        <w:tc>
          <w:tcPr>
            <w:tcW w:w="789" w:type="pct"/>
            <w:tcBorders>
              <w:top w:val="nil"/>
              <w:left w:val="nil"/>
              <w:bottom w:val="single" w:sz="4" w:space="0" w:color="auto"/>
              <w:right w:val="single" w:sz="4" w:space="0" w:color="auto"/>
            </w:tcBorders>
            <w:shd w:val="clear" w:color="000000" w:fill="FFFFFF"/>
            <w:noWrap/>
            <w:vAlign w:val="center"/>
            <w:hideMark/>
          </w:tcPr>
          <w:p w14:paraId="785D787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4E2CCC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1,195,629,098.00 </w:t>
            </w:r>
          </w:p>
        </w:tc>
        <w:tc>
          <w:tcPr>
            <w:tcW w:w="840" w:type="pct"/>
            <w:tcBorders>
              <w:top w:val="nil"/>
              <w:left w:val="nil"/>
              <w:bottom w:val="single" w:sz="4" w:space="0" w:color="auto"/>
              <w:right w:val="single" w:sz="4" w:space="0" w:color="auto"/>
            </w:tcBorders>
            <w:shd w:val="clear" w:color="000000" w:fill="FFFFFF"/>
            <w:noWrap/>
            <w:vAlign w:val="center"/>
            <w:hideMark/>
          </w:tcPr>
          <w:p w14:paraId="7BD7225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74D765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B685DF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CAEA82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3751C81"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6ED3803D"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la Educación Tecnológica y de Adultos (FAETA)</w:t>
            </w:r>
          </w:p>
        </w:tc>
        <w:tc>
          <w:tcPr>
            <w:tcW w:w="789" w:type="pct"/>
            <w:tcBorders>
              <w:top w:val="nil"/>
              <w:left w:val="nil"/>
              <w:bottom w:val="single" w:sz="4" w:space="0" w:color="auto"/>
              <w:right w:val="single" w:sz="4" w:space="0" w:color="auto"/>
            </w:tcBorders>
            <w:shd w:val="clear" w:color="000000" w:fill="FFFFFF"/>
            <w:noWrap/>
            <w:vAlign w:val="center"/>
            <w:hideMark/>
          </w:tcPr>
          <w:p w14:paraId="42EB9C4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3D6E37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106,959,348.00 </w:t>
            </w:r>
          </w:p>
        </w:tc>
        <w:tc>
          <w:tcPr>
            <w:tcW w:w="840" w:type="pct"/>
            <w:tcBorders>
              <w:top w:val="nil"/>
              <w:left w:val="nil"/>
              <w:bottom w:val="single" w:sz="4" w:space="0" w:color="auto"/>
              <w:right w:val="single" w:sz="4" w:space="0" w:color="auto"/>
            </w:tcBorders>
            <w:shd w:val="clear" w:color="000000" w:fill="FFFFFF"/>
            <w:noWrap/>
            <w:vAlign w:val="center"/>
            <w:hideMark/>
          </w:tcPr>
          <w:p w14:paraId="45E276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BEBAD6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7996CCD"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DEA089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0657D78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2F5287E" w14:textId="77777777" w:rsidR="00DC35B7" w:rsidRPr="00DC35B7" w:rsidRDefault="00DC35B7" w:rsidP="00B77C25">
            <w:pPr>
              <w:jc w:val="both"/>
              <w:rPr>
                <w:sz w:val="16"/>
                <w:szCs w:val="16"/>
                <w:lang w:val="es-MX" w:eastAsia="es-MX"/>
              </w:rPr>
            </w:pPr>
            <w:r w:rsidRPr="00DC35B7">
              <w:rPr>
                <w:sz w:val="16"/>
                <w:szCs w:val="16"/>
                <w:lang w:val="es-MX" w:eastAsia="es-MX"/>
              </w:rPr>
              <w:t>Fondo para la Educación de Adultos (ITEA)</w:t>
            </w:r>
          </w:p>
        </w:tc>
        <w:tc>
          <w:tcPr>
            <w:tcW w:w="789" w:type="pct"/>
            <w:tcBorders>
              <w:top w:val="nil"/>
              <w:left w:val="nil"/>
              <w:bottom w:val="single" w:sz="4" w:space="0" w:color="auto"/>
              <w:right w:val="single" w:sz="4" w:space="0" w:color="auto"/>
            </w:tcBorders>
            <w:shd w:val="clear" w:color="000000" w:fill="FFFFFF"/>
            <w:noWrap/>
            <w:vAlign w:val="center"/>
            <w:hideMark/>
          </w:tcPr>
          <w:p w14:paraId="421F55A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53,369,238.00 </w:t>
            </w:r>
          </w:p>
        </w:tc>
        <w:tc>
          <w:tcPr>
            <w:tcW w:w="789" w:type="pct"/>
            <w:tcBorders>
              <w:top w:val="nil"/>
              <w:left w:val="nil"/>
              <w:bottom w:val="single" w:sz="4" w:space="0" w:color="auto"/>
              <w:right w:val="single" w:sz="4" w:space="0" w:color="auto"/>
            </w:tcBorders>
            <w:shd w:val="clear" w:color="000000" w:fill="FFFFFF"/>
            <w:noWrap/>
            <w:vAlign w:val="center"/>
            <w:hideMark/>
          </w:tcPr>
          <w:p w14:paraId="4726708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8B83BC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EDAB68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766565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3EFD5C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2EA17C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099FF6C2" w14:textId="77777777" w:rsidR="00DC35B7" w:rsidRPr="00DC35B7" w:rsidRDefault="00DC35B7" w:rsidP="00B77C25">
            <w:pPr>
              <w:jc w:val="both"/>
              <w:rPr>
                <w:sz w:val="16"/>
                <w:szCs w:val="16"/>
                <w:lang w:val="es-MX" w:eastAsia="es-MX"/>
              </w:rPr>
            </w:pPr>
            <w:r w:rsidRPr="00DC35B7">
              <w:rPr>
                <w:sz w:val="16"/>
                <w:szCs w:val="16"/>
                <w:lang w:val="es-MX" w:eastAsia="es-MX"/>
              </w:rPr>
              <w:t>Fondo para la Educación Tecnológica (CONALEP)</w:t>
            </w:r>
          </w:p>
        </w:tc>
        <w:tc>
          <w:tcPr>
            <w:tcW w:w="789" w:type="pct"/>
            <w:tcBorders>
              <w:top w:val="nil"/>
              <w:left w:val="nil"/>
              <w:bottom w:val="single" w:sz="4" w:space="0" w:color="auto"/>
              <w:right w:val="single" w:sz="4" w:space="0" w:color="auto"/>
            </w:tcBorders>
            <w:shd w:val="clear" w:color="000000" w:fill="FFFFFF"/>
            <w:noWrap/>
            <w:vAlign w:val="center"/>
            <w:hideMark/>
          </w:tcPr>
          <w:p w14:paraId="58CA177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53,590,110.00 </w:t>
            </w:r>
          </w:p>
        </w:tc>
        <w:tc>
          <w:tcPr>
            <w:tcW w:w="789" w:type="pct"/>
            <w:tcBorders>
              <w:top w:val="nil"/>
              <w:left w:val="nil"/>
              <w:bottom w:val="single" w:sz="4" w:space="0" w:color="auto"/>
              <w:right w:val="single" w:sz="4" w:space="0" w:color="auto"/>
            </w:tcBorders>
            <w:shd w:val="clear" w:color="000000" w:fill="FFFFFF"/>
            <w:noWrap/>
            <w:vAlign w:val="center"/>
            <w:hideMark/>
          </w:tcPr>
          <w:p w14:paraId="5BF20EE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032D7B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98A3D8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42B707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C0BA86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5647DB2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1DAFEE78"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la Seguridad Pública (FASP)</w:t>
            </w:r>
          </w:p>
        </w:tc>
        <w:tc>
          <w:tcPr>
            <w:tcW w:w="789" w:type="pct"/>
            <w:tcBorders>
              <w:top w:val="nil"/>
              <w:left w:val="nil"/>
              <w:bottom w:val="single" w:sz="4" w:space="0" w:color="auto"/>
              <w:right w:val="single" w:sz="4" w:space="0" w:color="auto"/>
            </w:tcBorders>
            <w:shd w:val="clear" w:color="000000" w:fill="FFFFFF"/>
            <w:noWrap/>
            <w:vAlign w:val="center"/>
            <w:hideMark/>
          </w:tcPr>
          <w:p w14:paraId="015C300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8AAA25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174,602,950.00 </w:t>
            </w:r>
          </w:p>
        </w:tc>
        <w:tc>
          <w:tcPr>
            <w:tcW w:w="840" w:type="pct"/>
            <w:tcBorders>
              <w:top w:val="nil"/>
              <w:left w:val="nil"/>
              <w:bottom w:val="single" w:sz="4" w:space="0" w:color="auto"/>
              <w:right w:val="single" w:sz="4" w:space="0" w:color="auto"/>
            </w:tcBorders>
            <w:shd w:val="clear" w:color="000000" w:fill="FFFFFF"/>
            <w:noWrap/>
            <w:vAlign w:val="center"/>
            <w:hideMark/>
          </w:tcPr>
          <w:p w14:paraId="5522560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14BCE0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40F3CE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86F048"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70BCCCA6"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hideMark/>
          </w:tcPr>
          <w:p w14:paraId="1603FBFC"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Múltiples (FAM)</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31E6B9C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7B72E3B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507,298,956.00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019688B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0707DF5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AFAE8C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79F854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DC7D3FF"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261CBF1F" w14:textId="77777777" w:rsidR="00DC35B7" w:rsidRPr="00DC35B7" w:rsidRDefault="00DC35B7" w:rsidP="00B77C25">
            <w:pPr>
              <w:jc w:val="both"/>
              <w:rPr>
                <w:sz w:val="16"/>
                <w:szCs w:val="16"/>
                <w:lang w:val="es-MX" w:eastAsia="es-MX"/>
              </w:rPr>
            </w:pPr>
            <w:r w:rsidRPr="00DC35B7">
              <w:rPr>
                <w:sz w:val="16"/>
                <w:szCs w:val="16"/>
                <w:lang w:val="es-MX" w:eastAsia="es-MX"/>
              </w:rPr>
              <w:t>FAM Asistencia Social</w:t>
            </w:r>
          </w:p>
        </w:tc>
        <w:tc>
          <w:tcPr>
            <w:tcW w:w="789" w:type="pct"/>
            <w:tcBorders>
              <w:top w:val="nil"/>
              <w:left w:val="nil"/>
              <w:bottom w:val="single" w:sz="4" w:space="0" w:color="auto"/>
              <w:right w:val="single" w:sz="4" w:space="0" w:color="auto"/>
            </w:tcBorders>
            <w:shd w:val="clear" w:color="000000" w:fill="FFFFFF"/>
            <w:noWrap/>
            <w:vAlign w:val="center"/>
            <w:hideMark/>
          </w:tcPr>
          <w:p w14:paraId="37DCC7E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219,954,769.00 </w:t>
            </w:r>
          </w:p>
        </w:tc>
        <w:tc>
          <w:tcPr>
            <w:tcW w:w="789" w:type="pct"/>
            <w:tcBorders>
              <w:top w:val="nil"/>
              <w:left w:val="nil"/>
              <w:bottom w:val="single" w:sz="4" w:space="0" w:color="auto"/>
              <w:right w:val="single" w:sz="4" w:space="0" w:color="auto"/>
            </w:tcBorders>
            <w:shd w:val="clear" w:color="000000" w:fill="FFFFFF"/>
            <w:noWrap/>
            <w:vAlign w:val="center"/>
            <w:hideMark/>
          </w:tcPr>
          <w:p w14:paraId="2BECBE6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4507F8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F3A4F2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887901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6C0E5D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013D86BB"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30665474" w14:textId="77777777" w:rsidR="00DC35B7" w:rsidRPr="00DC35B7" w:rsidRDefault="00DC35B7" w:rsidP="00B77C25">
            <w:pPr>
              <w:jc w:val="both"/>
              <w:rPr>
                <w:sz w:val="16"/>
                <w:szCs w:val="16"/>
                <w:lang w:val="es-MX" w:eastAsia="es-MX"/>
              </w:rPr>
            </w:pPr>
            <w:r w:rsidRPr="00DC35B7">
              <w:rPr>
                <w:sz w:val="16"/>
                <w:szCs w:val="16"/>
                <w:lang w:val="es-MX" w:eastAsia="es-MX"/>
              </w:rPr>
              <w:t>FAM Educación Básica</w:t>
            </w:r>
          </w:p>
        </w:tc>
        <w:tc>
          <w:tcPr>
            <w:tcW w:w="789" w:type="pct"/>
            <w:tcBorders>
              <w:top w:val="nil"/>
              <w:left w:val="nil"/>
              <w:bottom w:val="single" w:sz="4" w:space="0" w:color="auto"/>
              <w:right w:val="single" w:sz="4" w:space="0" w:color="auto"/>
            </w:tcBorders>
            <w:shd w:val="clear" w:color="000000" w:fill="FFFFFF"/>
            <w:noWrap/>
            <w:vAlign w:val="center"/>
            <w:hideMark/>
          </w:tcPr>
          <w:p w14:paraId="60C2B98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182,954,572.00 </w:t>
            </w:r>
          </w:p>
        </w:tc>
        <w:tc>
          <w:tcPr>
            <w:tcW w:w="789" w:type="pct"/>
            <w:tcBorders>
              <w:top w:val="nil"/>
              <w:left w:val="nil"/>
              <w:bottom w:val="single" w:sz="4" w:space="0" w:color="auto"/>
              <w:right w:val="single" w:sz="4" w:space="0" w:color="auto"/>
            </w:tcBorders>
            <w:shd w:val="clear" w:color="000000" w:fill="FFFFFF"/>
            <w:noWrap/>
            <w:vAlign w:val="center"/>
            <w:hideMark/>
          </w:tcPr>
          <w:p w14:paraId="2954A87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FD0417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36C305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7C2A19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3AE8577"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942DCE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052260DE" w14:textId="77777777" w:rsidR="00DC35B7" w:rsidRPr="00DC35B7" w:rsidRDefault="00DC35B7" w:rsidP="00B77C25">
            <w:pPr>
              <w:jc w:val="both"/>
              <w:rPr>
                <w:sz w:val="16"/>
                <w:szCs w:val="16"/>
                <w:lang w:val="es-MX" w:eastAsia="es-MX"/>
              </w:rPr>
            </w:pPr>
            <w:r w:rsidRPr="00DC35B7">
              <w:rPr>
                <w:sz w:val="16"/>
                <w:szCs w:val="16"/>
                <w:lang w:val="es-MX" w:eastAsia="es-MX"/>
              </w:rPr>
              <w:t>FAM Educación Superior</w:t>
            </w:r>
          </w:p>
        </w:tc>
        <w:tc>
          <w:tcPr>
            <w:tcW w:w="789" w:type="pct"/>
            <w:tcBorders>
              <w:top w:val="nil"/>
              <w:left w:val="nil"/>
              <w:bottom w:val="single" w:sz="4" w:space="0" w:color="auto"/>
              <w:right w:val="single" w:sz="4" w:space="0" w:color="auto"/>
            </w:tcBorders>
            <w:shd w:val="clear" w:color="000000" w:fill="FFFFFF"/>
            <w:noWrap/>
            <w:vAlign w:val="center"/>
            <w:hideMark/>
          </w:tcPr>
          <w:p w14:paraId="12EAE64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94,518,071.00 </w:t>
            </w:r>
          </w:p>
        </w:tc>
        <w:tc>
          <w:tcPr>
            <w:tcW w:w="789" w:type="pct"/>
            <w:tcBorders>
              <w:top w:val="nil"/>
              <w:left w:val="nil"/>
              <w:bottom w:val="single" w:sz="4" w:space="0" w:color="auto"/>
              <w:right w:val="single" w:sz="4" w:space="0" w:color="auto"/>
            </w:tcBorders>
            <w:shd w:val="clear" w:color="000000" w:fill="FFFFFF"/>
            <w:noWrap/>
            <w:vAlign w:val="center"/>
            <w:hideMark/>
          </w:tcPr>
          <w:p w14:paraId="58915CD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BA40B5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F53AA8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549F4D2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0BCEFF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7B4E008F"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A78727E" w14:textId="77777777" w:rsidR="00DC35B7" w:rsidRPr="00DC35B7" w:rsidRDefault="00DC35B7" w:rsidP="00B77C25">
            <w:pPr>
              <w:jc w:val="both"/>
              <w:rPr>
                <w:sz w:val="16"/>
                <w:szCs w:val="16"/>
                <w:lang w:val="es-MX" w:eastAsia="es-MX"/>
              </w:rPr>
            </w:pPr>
            <w:r w:rsidRPr="00DC35B7">
              <w:rPr>
                <w:sz w:val="16"/>
                <w:szCs w:val="16"/>
                <w:lang w:val="es-MX" w:eastAsia="es-MX"/>
              </w:rPr>
              <w:t>FAM Educación Media Superior</w:t>
            </w:r>
          </w:p>
        </w:tc>
        <w:tc>
          <w:tcPr>
            <w:tcW w:w="789" w:type="pct"/>
            <w:tcBorders>
              <w:top w:val="nil"/>
              <w:left w:val="nil"/>
              <w:bottom w:val="single" w:sz="4" w:space="0" w:color="auto"/>
              <w:right w:val="single" w:sz="4" w:space="0" w:color="auto"/>
            </w:tcBorders>
            <w:shd w:val="clear" w:color="000000" w:fill="FFFFFF"/>
            <w:noWrap/>
            <w:vAlign w:val="center"/>
            <w:hideMark/>
          </w:tcPr>
          <w:p w14:paraId="79CD586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9,871,544.00 </w:t>
            </w:r>
          </w:p>
        </w:tc>
        <w:tc>
          <w:tcPr>
            <w:tcW w:w="789" w:type="pct"/>
            <w:tcBorders>
              <w:top w:val="nil"/>
              <w:left w:val="nil"/>
              <w:bottom w:val="single" w:sz="4" w:space="0" w:color="auto"/>
              <w:right w:val="single" w:sz="4" w:space="0" w:color="auto"/>
            </w:tcBorders>
            <w:shd w:val="clear" w:color="000000" w:fill="FFFFFF"/>
            <w:noWrap/>
            <w:vAlign w:val="center"/>
            <w:hideMark/>
          </w:tcPr>
          <w:p w14:paraId="55C5B21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C4E4FF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35E52E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3219FEF"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5F6D7D"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2DF84794"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000000" w:fill="FFFFFF"/>
            <w:vAlign w:val="center"/>
            <w:hideMark/>
          </w:tcPr>
          <w:p w14:paraId="28DEB349" w14:textId="77777777" w:rsidR="00DC35B7" w:rsidRPr="00DC35B7" w:rsidRDefault="00DC35B7" w:rsidP="00B77C25">
            <w:pPr>
              <w:jc w:val="both"/>
              <w:rPr>
                <w:b/>
                <w:bCs/>
                <w:sz w:val="16"/>
                <w:szCs w:val="16"/>
                <w:lang w:val="es-MX" w:eastAsia="es-MX"/>
              </w:rPr>
            </w:pPr>
            <w:r w:rsidRPr="00DC35B7">
              <w:rPr>
                <w:b/>
                <w:bCs/>
                <w:sz w:val="16"/>
                <w:szCs w:val="16"/>
                <w:lang w:val="es-MX" w:eastAsia="es-MX"/>
              </w:rPr>
              <w:t>Fondo de Aportaciones para el Fortalecimiento de Entidades Federativas  (FAFEF)</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0290CC0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07F0714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xml:space="preserve">896,158,268.00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2E367BE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7B3B0AF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592FECC"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C01540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A01D0A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000000" w:fill="FFFFFF"/>
            <w:vAlign w:val="center"/>
            <w:hideMark/>
          </w:tcPr>
          <w:p w14:paraId="72AEB2BE" w14:textId="77777777" w:rsidR="00DC35B7" w:rsidRPr="00DC35B7" w:rsidRDefault="00DC35B7" w:rsidP="00B77C25">
            <w:pPr>
              <w:jc w:val="both"/>
              <w:rPr>
                <w:sz w:val="16"/>
                <w:szCs w:val="16"/>
                <w:lang w:val="es-MX" w:eastAsia="es-MX"/>
              </w:rPr>
            </w:pPr>
            <w:r w:rsidRPr="00DC35B7">
              <w:rPr>
                <w:sz w:val="16"/>
                <w:szCs w:val="16"/>
                <w:lang w:val="es-MX" w:eastAsia="es-MX"/>
              </w:rPr>
              <w:t>Rendimientos o intereses del Ramo 33</w:t>
            </w:r>
          </w:p>
        </w:tc>
        <w:tc>
          <w:tcPr>
            <w:tcW w:w="789" w:type="pct"/>
            <w:tcBorders>
              <w:top w:val="nil"/>
              <w:left w:val="nil"/>
              <w:bottom w:val="single" w:sz="4" w:space="0" w:color="auto"/>
              <w:right w:val="single" w:sz="4" w:space="0" w:color="auto"/>
            </w:tcBorders>
            <w:shd w:val="clear" w:color="000000" w:fill="FFFFFF"/>
            <w:noWrap/>
            <w:vAlign w:val="center"/>
            <w:hideMark/>
          </w:tcPr>
          <w:p w14:paraId="330C0A9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FFE847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122BB12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136FCF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C1B0AB5"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345B00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737DCC4F"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8.3.</w:t>
            </w:r>
          </w:p>
        </w:tc>
        <w:tc>
          <w:tcPr>
            <w:tcW w:w="1252" w:type="pct"/>
            <w:tcBorders>
              <w:top w:val="nil"/>
              <w:left w:val="nil"/>
              <w:bottom w:val="single" w:sz="4" w:space="0" w:color="auto"/>
              <w:right w:val="single" w:sz="4" w:space="0" w:color="auto"/>
            </w:tcBorders>
            <w:shd w:val="clear" w:color="auto" w:fill="auto"/>
            <w:vAlign w:val="center"/>
            <w:hideMark/>
          </w:tcPr>
          <w:p w14:paraId="3C13EA8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Convenios</w:t>
            </w:r>
          </w:p>
        </w:tc>
        <w:tc>
          <w:tcPr>
            <w:tcW w:w="789" w:type="pct"/>
            <w:tcBorders>
              <w:top w:val="nil"/>
              <w:left w:val="nil"/>
              <w:bottom w:val="single" w:sz="4" w:space="0" w:color="auto"/>
              <w:right w:val="single" w:sz="4" w:space="0" w:color="auto"/>
            </w:tcBorders>
            <w:shd w:val="clear" w:color="000000" w:fill="FFFFFF"/>
            <w:noWrap/>
            <w:vAlign w:val="center"/>
            <w:hideMark/>
          </w:tcPr>
          <w:p w14:paraId="6318682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3A605B5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D9DC54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48A6A52A"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CA793C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7476A26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06417C20" w14:textId="77777777" w:rsidR="00DC35B7" w:rsidRPr="00DC35B7" w:rsidRDefault="00DC35B7" w:rsidP="00B77C25">
            <w:pPr>
              <w:jc w:val="center"/>
              <w:rPr>
                <w:b/>
                <w:color w:val="000000"/>
                <w:sz w:val="16"/>
                <w:szCs w:val="16"/>
                <w:lang w:val="es-MX" w:eastAsia="es-MX"/>
              </w:rPr>
            </w:pPr>
            <w:r w:rsidRPr="00DC35B7">
              <w:rPr>
                <w:b/>
                <w:bCs/>
                <w:color w:val="000000"/>
                <w:sz w:val="16"/>
                <w:szCs w:val="16"/>
                <w:lang w:val="es-MX" w:eastAsia="es-MX"/>
              </w:rPr>
              <w:t>8.4.</w:t>
            </w:r>
          </w:p>
        </w:tc>
        <w:tc>
          <w:tcPr>
            <w:tcW w:w="1252" w:type="pct"/>
            <w:tcBorders>
              <w:top w:val="nil"/>
              <w:left w:val="nil"/>
              <w:bottom w:val="single" w:sz="4" w:space="0" w:color="auto"/>
              <w:right w:val="single" w:sz="4" w:space="0" w:color="auto"/>
            </w:tcBorders>
            <w:shd w:val="clear" w:color="auto" w:fill="auto"/>
            <w:vAlign w:val="center"/>
          </w:tcPr>
          <w:p w14:paraId="19439358" w14:textId="77777777" w:rsidR="00DC35B7" w:rsidRPr="00DC35B7" w:rsidRDefault="00DC35B7" w:rsidP="00B77C25">
            <w:pPr>
              <w:jc w:val="both"/>
              <w:rPr>
                <w:b/>
                <w:color w:val="000000"/>
                <w:sz w:val="16"/>
                <w:szCs w:val="16"/>
                <w:lang w:val="es-MX" w:eastAsia="es-MX"/>
              </w:rPr>
            </w:pPr>
            <w:r w:rsidRPr="00DC35B7">
              <w:rPr>
                <w:b/>
                <w:color w:val="000000"/>
                <w:sz w:val="16"/>
                <w:szCs w:val="16"/>
                <w:lang w:val="es-MX" w:eastAsia="es-MX"/>
              </w:rPr>
              <w:t>Incentivos Derivados de la Colaboración Fiscal</w:t>
            </w:r>
          </w:p>
        </w:tc>
        <w:tc>
          <w:tcPr>
            <w:tcW w:w="789" w:type="pct"/>
            <w:tcBorders>
              <w:top w:val="nil"/>
              <w:left w:val="nil"/>
              <w:bottom w:val="single" w:sz="4" w:space="0" w:color="auto"/>
              <w:right w:val="single" w:sz="4" w:space="0" w:color="auto"/>
            </w:tcBorders>
            <w:shd w:val="clear" w:color="000000" w:fill="FFFFFF"/>
            <w:noWrap/>
            <w:vAlign w:val="center"/>
          </w:tcPr>
          <w:p w14:paraId="507867E4"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6367643"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263B96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114,141,355.00</w:t>
            </w:r>
          </w:p>
        </w:tc>
        <w:tc>
          <w:tcPr>
            <w:tcW w:w="840" w:type="pct"/>
            <w:tcBorders>
              <w:top w:val="nil"/>
              <w:left w:val="nil"/>
              <w:bottom w:val="single" w:sz="4" w:space="0" w:color="auto"/>
              <w:right w:val="single" w:sz="4" w:space="0" w:color="auto"/>
            </w:tcBorders>
            <w:shd w:val="clear" w:color="000000" w:fill="FFFFFF"/>
            <w:noWrap/>
            <w:vAlign w:val="center"/>
          </w:tcPr>
          <w:p w14:paraId="26CCDF84" w14:textId="77777777" w:rsidR="00DC35B7" w:rsidRPr="00DC35B7" w:rsidRDefault="00DC35B7" w:rsidP="00B77C25">
            <w:pPr>
              <w:jc w:val="right"/>
              <w:rPr>
                <w:b/>
                <w:bCs/>
                <w:color w:val="000000"/>
                <w:sz w:val="16"/>
                <w:szCs w:val="16"/>
                <w:lang w:val="es-MX" w:eastAsia="es-MX"/>
              </w:rPr>
            </w:pPr>
          </w:p>
        </w:tc>
      </w:tr>
      <w:tr w:rsidR="00DC35B7" w:rsidRPr="00DC35B7" w14:paraId="2BB7EC1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DD4EC6"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3C23EA15"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48D7ED89"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Tenencia o Uso de Vehículos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1EC08CAB"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5BE1452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6C27AD0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4925018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A9AC08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9E7E3C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6019109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C9E7AE0"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Automóviles Nuevos.</w:t>
            </w:r>
          </w:p>
        </w:tc>
        <w:tc>
          <w:tcPr>
            <w:tcW w:w="789" w:type="pct"/>
            <w:tcBorders>
              <w:top w:val="nil"/>
              <w:left w:val="nil"/>
              <w:bottom w:val="single" w:sz="4" w:space="0" w:color="auto"/>
              <w:right w:val="single" w:sz="4" w:space="0" w:color="auto"/>
            </w:tcBorders>
            <w:shd w:val="clear" w:color="000000" w:fill="FFFFFF"/>
            <w:noWrap/>
            <w:vAlign w:val="center"/>
            <w:hideMark/>
          </w:tcPr>
          <w:p w14:paraId="26DCAD2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AEC945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41,105,958.00 </w:t>
            </w:r>
          </w:p>
        </w:tc>
        <w:tc>
          <w:tcPr>
            <w:tcW w:w="840" w:type="pct"/>
            <w:tcBorders>
              <w:top w:val="nil"/>
              <w:left w:val="nil"/>
              <w:bottom w:val="single" w:sz="4" w:space="0" w:color="auto"/>
              <w:right w:val="single" w:sz="4" w:space="0" w:color="auto"/>
            </w:tcBorders>
            <w:shd w:val="clear" w:color="000000" w:fill="FFFFFF"/>
            <w:noWrap/>
            <w:vAlign w:val="center"/>
            <w:hideMark/>
          </w:tcPr>
          <w:p w14:paraId="6103337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2D9DA5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0684673"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DD800D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2A4E1C5"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5A75F5BE"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Impuestos derivados de Actos de Fiscalización</w:t>
            </w:r>
          </w:p>
        </w:tc>
        <w:tc>
          <w:tcPr>
            <w:tcW w:w="789" w:type="pct"/>
            <w:tcBorders>
              <w:top w:val="nil"/>
              <w:left w:val="nil"/>
              <w:bottom w:val="single" w:sz="4" w:space="0" w:color="auto"/>
              <w:right w:val="single" w:sz="4" w:space="0" w:color="auto"/>
            </w:tcBorders>
            <w:shd w:val="clear" w:color="000000" w:fill="FFFFFF"/>
            <w:noWrap/>
            <w:vAlign w:val="center"/>
            <w:hideMark/>
          </w:tcPr>
          <w:p w14:paraId="7A61562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33432F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0.00 </w:t>
            </w:r>
          </w:p>
        </w:tc>
        <w:tc>
          <w:tcPr>
            <w:tcW w:w="840" w:type="pct"/>
            <w:tcBorders>
              <w:top w:val="nil"/>
              <w:left w:val="nil"/>
              <w:bottom w:val="single" w:sz="4" w:space="0" w:color="auto"/>
              <w:right w:val="single" w:sz="4" w:space="0" w:color="auto"/>
            </w:tcBorders>
            <w:shd w:val="clear" w:color="000000" w:fill="FFFFFF"/>
            <w:noWrap/>
            <w:vAlign w:val="center"/>
            <w:hideMark/>
          </w:tcPr>
          <w:p w14:paraId="0493611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5001D1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053089E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36B3B"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0015702C"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517CE68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la Renta del Régimen Intermedio de las Personas Físicas con Actividades Empresariales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3FA443B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1BC58BC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048F5CA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0AE16D7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D685D0E"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90"/>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273471"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14:paraId="25139E81" w14:textId="77777777" w:rsidR="00DC35B7" w:rsidRPr="00DC35B7" w:rsidRDefault="00DC35B7" w:rsidP="00B77C25">
            <w:pPr>
              <w:jc w:val="center"/>
              <w:rPr>
                <w:color w:val="000000"/>
                <w:sz w:val="16"/>
                <w:szCs w:val="16"/>
                <w:lang w:val="es-MX" w:eastAsia="es-MX"/>
              </w:rPr>
            </w:pPr>
          </w:p>
        </w:tc>
        <w:tc>
          <w:tcPr>
            <w:tcW w:w="1252" w:type="pct"/>
            <w:tcBorders>
              <w:top w:val="single" w:sz="4" w:space="0" w:color="auto"/>
              <w:left w:val="nil"/>
              <w:bottom w:val="single" w:sz="4" w:space="0" w:color="auto"/>
              <w:right w:val="single" w:sz="4" w:space="0" w:color="auto"/>
            </w:tcBorders>
            <w:shd w:val="clear" w:color="auto" w:fill="auto"/>
            <w:vAlign w:val="center"/>
            <w:hideMark/>
          </w:tcPr>
          <w:p w14:paraId="7CB4915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 Sobre la Renta derivado de los Ingresos por la Enajenación de Bienes Inmuebles</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363834E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single" w:sz="4" w:space="0" w:color="auto"/>
              <w:left w:val="nil"/>
              <w:bottom w:val="single" w:sz="4" w:space="0" w:color="auto"/>
              <w:right w:val="single" w:sz="4" w:space="0" w:color="auto"/>
            </w:tcBorders>
            <w:shd w:val="clear" w:color="000000" w:fill="FFFFFF"/>
            <w:noWrap/>
            <w:vAlign w:val="center"/>
            <w:hideMark/>
          </w:tcPr>
          <w:p w14:paraId="2551953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20,322,969.00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45D589D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single" w:sz="4" w:space="0" w:color="auto"/>
              <w:left w:val="nil"/>
              <w:bottom w:val="single" w:sz="4" w:space="0" w:color="auto"/>
              <w:right w:val="single" w:sz="4" w:space="0" w:color="auto"/>
            </w:tcBorders>
            <w:shd w:val="clear" w:color="000000" w:fill="FFFFFF"/>
            <w:noWrap/>
            <w:vAlign w:val="center"/>
            <w:hideMark/>
          </w:tcPr>
          <w:p w14:paraId="2C16AFF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1DBD9C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27C6DE3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1348C99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6A6B64BF"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Impuestos del Régimen de Pequeños Contribuyentes</w:t>
            </w:r>
          </w:p>
        </w:tc>
        <w:tc>
          <w:tcPr>
            <w:tcW w:w="789" w:type="pct"/>
            <w:tcBorders>
              <w:top w:val="nil"/>
              <w:left w:val="nil"/>
              <w:bottom w:val="single" w:sz="4" w:space="0" w:color="auto"/>
              <w:right w:val="single" w:sz="4" w:space="0" w:color="auto"/>
            </w:tcBorders>
            <w:shd w:val="clear" w:color="000000" w:fill="FFFFFF"/>
            <w:noWrap/>
            <w:vAlign w:val="center"/>
            <w:hideMark/>
          </w:tcPr>
          <w:p w14:paraId="3504F5F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1A5DB56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180485F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092FC0B"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55EAC9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0A3EB8CF"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23449270"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18B29B7C"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Incentivos por requerimientos y cumplimiento de obligaciones</w:t>
            </w:r>
          </w:p>
        </w:tc>
        <w:tc>
          <w:tcPr>
            <w:tcW w:w="789" w:type="pct"/>
            <w:tcBorders>
              <w:top w:val="nil"/>
              <w:left w:val="nil"/>
              <w:bottom w:val="single" w:sz="4" w:space="0" w:color="auto"/>
              <w:right w:val="single" w:sz="4" w:space="0" w:color="auto"/>
            </w:tcBorders>
            <w:shd w:val="clear" w:color="000000" w:fill="FFFFFF"/>
            <w:noWrap/>
            <w:vAlign w:val="center"/>
            <w:hideMark/>
          </w:tcPr>
          <w:p w14:paraId="17039624"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FA393B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31,178,722.00 </w:t>
            </w:r>
          </w:p>
        </w:tc>
        <w:tc>
          <w:tcPr>
            <w:tcW w:w="840" w:type="pct"/>
            <w:tcBorders>
              <w:top w:val="nil"/>
              <w:left w:val="nil"/>
              <w:bottom w:val="single" w:sz="4" w:space="0" w:color="auto"/>
              <w:right w:val="single" w:sz="4" w:space="0" w:color="auto"/>
            </w:tcBorders>
            <w:shd w:val="clear" w:color="000000" w:fill="FFFFFF"/>
            <w:noWrap/>
            <w:vAlign w:val="center"/>
            <w:hideMark/>
          </w:tcPr>
          <w:p w14:paraId="4167CC1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60E1594"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CAED546"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C0F6D2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36DA49C7"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6F4D395F"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Multas fiscales</w:t>
            </w:r>
          </w:p>
        </w:tc>
        <w:tc>
          <w:tcPr>
            <w:tcW w:w="789" w:type="pct"/>
            <w:tcBorders>
              <w:top w:val="nil"/>
              <w:left w:val="nil"/>
              <w:bottom w:val="single" w:sz="4" w:space="0" w:color="auto"/>
              <w:right w:val="single" w:sz="4" w:space="0" w:color="auto"/>
            </w:tcBorders>
            <w:shd w:val="clear" w:color="000000" w:fill="FFFFFF"/>
            <w:noWrap/>
            <w:vAlign w:val="center"/>
            <w:hideMark/>
          </w:tcPr>
          <w:p w14:paraId="009EE8C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B55BA8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15,942,882.00 </w:t>
            </w:r>
          </w:p>
        </w:tc>
        <w:tc>
          <w:tcPr>
            <w:tcW w:w="840" w:type="pct"/>
            <w:tcBorders>
              <w:top w:val="nil"/>
              <w:left w:val="nil"/>
              <w:bottom w:val="single" w:sz="4" w:space="0" w:color="auto"/>
              <w:right w:val="single" w:sz="4" w:space="0" w:color="auto"/>
            </w:tcBorders>
            <w:shd w:val="clear" w:color="000000" w:fill="FFFFFF"/>
            <w:noWrap/>
            <w:vAlign w:val="center"/>
            <w:hideMark/>
          </w:tcPr>
          <w:p w14:paraId="52E2379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B7AAF9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352A39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1A38B8B9"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hideMark/>
          </w:tcPr>
          <w:p w14:paraId="0D133FF7"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689A765"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Multas federales no fiscales</w:t>
            </w:r>
          </w:p>
        </w:tc>
        <w:tc>
          <w:tcPr>
            <w:tcW w:w="789" w:type="pct"/>
            <w:tcBorders>
              <w:top w:val="nil"/>
              <w:left w:val="nil"/>
              <w:bottom w:val="single" w:sz="4" w:space="0" w:color="auto"/>
              <w:right w:val="single" w:sz="4" w:space="0" w:color="auto"/>
            </w:tcBorders>
            <w:shd w:val="clear" w:color="000000" w:fill="FFFFFF"/>
            <w:noWrap/>
            <w:vAlign w:val="center"/>
            <w:hideMark/>
          </w:tcPr>
          <w:p w14:paraId="59E79E2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5AB8E3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xml:space="preserve">2,029,020.00 </w:t>
            </w:r>
          </w:p>
        </w:tc>
        <w:tc>
          <w:tcPr>
            <w:tcW w:w="840" w:type="pct"/>
            <w:tcBorders>
              <w:top w:val="nil"/>
              <w:left w:val="nil"/>
              <w:bottom w:val="single" w:sz="4" w:space="0" w:color="auto"/>
              <w:right w:val="single" w:sz="4" w:space="0" w:color="auto"/>
            </w:tcBorders>
            <w:shd w:val="clear" w:color="000000" w:fill="FFFFFF"/>
            <w:noWrap/>
            <w:vAlign w:val="center"/>
            <w:hideMark/>
          </w:tcPr>
          <w:p w14:paraId="417CCA5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B6A97E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F65293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45B42C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7C1CD108"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788C27D3"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Recargos</w:t>
            </w:r>
          </w:p>
        </w:tc>
        <w:tc>
          <w:tcPr>
            <w:tcW w:w="789" w:type="pct"/>
            <w:tcBorders>
              <w:top w:val="nil"/>
              <w:left w:val="nil"/>
              <w:bottom w:val="single" w:sz="4" w:space="0" w:color="auto"/>
              <w:right w:val="single" w:sz="4" w:space="0" w:color="auto"/>
            </w:tcBorders>
            <w:shd w:val="clear" w:color="000000" w:fill="FFFFFF"/>
            <w:noWrap/>
            <w:vAlign w:val="center"/>
            <w:hideMark/>
          </w:tcPr>
          <w:p w14:paraId="33E0B6A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4ECCC96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1,998,582.00</w:t>
            </w:r>
          </w:p>
        </w:tc>
        <w:tc>
          <w:tcPr>
            <w:tcW w:w="840" w:type="pct"/>
            <w:tcBorders>
              <w:top w:val="nil"/>
              <w:left w:val="nil"/>
              <w:bottom w:val="single" w:sz="4" w:space="0" w:color="auto"/>
              <w:right w:val="single" w:sz="4" w:space="0" w:color="auto"/>
            </w:tcBorders>
            <w:shd w:val="clear" w:color="000000" w:fill="FFFFFF"/>
            <w:noWrap/>
            <w:vAlign w:val="center"/>
            <w:hideMark/>
          </w:tcPr>
          <w:p w14:paraId="2157B4B0"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CBB7AD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6971C03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6EB981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7735CA12"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6596051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Actualizaciones</w:t>
            </w:r>
          </w:p>
        </w:tc>
        <w:tc>
          <w:tcPr>
            <w:tcW w:w="789" w:type="pct"/>
            <w:tcBorders>
              <w:top w:val="nil"/>
              <w:left w:val="nil"/>
              <w:bottom w:val="single" w:sz="4" w:space="0" w:color="auto"/>
              <w:right w:val="single" w:sz="4" w:space="0" w:color="auto"/>
            </w:tcBorders>
            <w:shd w:val="clear" w:color="000000" w:fill="FFFFFF"/>
            <w:noWrap/>
            <w:vAlign w:val="center"/>
            <w:hideMark/>
          </w:tcPr>
          <w:p w14:paraId="474DC9E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E4668A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446,622.00</w:t>
            </w:r>
          </w:p>
        </w:tc>
        <w:tc>
          <w:tcPr>
            <w:tcW w:w="840" w:type="pct"/>
            <w:tcBorders>
              <w:top w:val="nil"/>
              <w:left w:val="nil"/>
              <w:bottom w:val="single" w:sz="4" w:space="0" w:color="auto"/>
              <w:right w:val="single" w:sz="4" w:space="0" w:color="auto"/>
            </w:tcBorders>
            <w:shd w:val="clear" w:color="000000" w:fill="FFFFFF"/>
            <w:noWrap/>
            <w:vAlign w:val="center"/>
            <w:hideMark/>
          </w:tcPr>
          <w:p w14:paraId="3E296CB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63C7C1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FCD5B42"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BE7145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7B03D65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5D43DE0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Gastos de Ejecución</w:t>
            </w:r>
          </w:p>
        </w:tc>
        <w:tc>
          <w:tcPr>
            <w:tcW w:w="789" w:type="pct"/>
            <w:tcBorders>
              <w:top w:val="nil"/>
              <w:left w:val="nil"/>
              <w:bottom w:val="single" w:sz="4" w:space="0" w:color="auto"/>
              <w:right w:val="single" w:sz="4" w:space="0" w:color="auto"/>
            </w:tcBorders>
            <w:shd w:val="clear" w:color="000000" w:fill="FFFFFF"/>
            <w:noWrap/>
            <w:vAlign w:val="center"/>
            <w:hideMark/>
          </w:tcPr>
          <w:p w14:paraId="0FA921B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67E156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336,169.00</w:t>
            </w:r>
          </w:p>
        </w:tc>
        <w:tc>
          <w:tcPr>
            <w:tcW w:w="840" w:type="pct"/>
            <w:tcBorders>
              <w:top w:val="nil"/>
              <w:left w:val="nil"/>
              <w:bottom w:val="single" w:sz="4" w:space="0" w:color="auto"/>
              <w:right w:val="single" w:sz="4" w:space="0" w:color="auto"/>
            </w:tcBorders>
            <w:shd w:val="clear" w:color="000000" w:fill="FFFFFF"/>
            <w:noWrap/>
            <w:vAlign w:val="center"/>
            <w:hideMark/>
          </w:tcPr>
          <w:p w14:paraId="0E091B8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0E7168C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744225B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7432B8F5"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58EE81D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tcPr>
          <w:p w14:paraId="50F90D05"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Honorarios por Notificación</w:t>
            </w:r>
          </w:p>
        </w:tc>
        <w:tc>
          <w:tcPr>
            <w:tcW w:w="789" w:type="pct"/>
            <w:tcBorders>
              <w:top w:val="nil"/>
              <w:left w:val="nil"/>
              <w:bottom w:val="single" w:sz="4" w:space="0" w:color="auto"/>
              <w:right w:val="single" w:sz="4" w:space="0" w:color="auto"/>
            </w:tcBorders>
            <w:shd w:val="clear" w:color="000000" w:fill="FFFFFF"/>
            <w:noWrap/>
            <w:vAlign w:val="center"/>
          </w:tcPr>
          <w:p w14:paraId="7D755DD1"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1A9D1570"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780,431.00</w:t>
            </w:r>
          </w:p>
        </w:tc>
        <w:tc>
          <w:tcPr>
            <w:tcW w:w="840" w:type="pct"/>
            <w:tcBorders>
              <w:top w:val="nil"/>
              <w:left w:val="nil"/>
              <w:bottom w:val="single" w:sz="4" w:space="0" w:color="auto"/>
              <w:right w:val="single" w:sz="4" w:space="0" w:color="auto"/>
            </w:tcBorders>
            <w:shd w:val="clear" w:color="000000" w:fill="FFFFFF"/>
            <w:noWrap/>
            <w:vAlign w:val="center"/>
          </w:tcPr>
          <w:p w14:paraId="174C1C91"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DF0A6F6" w14:textId="77777777" w:rsidR="00DC35B7" w:rsidRPr="00DC35B7" w:rsidRDefault="00DC35B7" w:rsidP="00B77C25">
            <w:pPr>
              <w:jc w:val="right"/>
              <w:rPr>
                <w:b/>
                <w:bCs/>
                <w:color w:val="000000"/>
                <w:sz w:val="16"/>
                <w:szCs w:val="16"/>
                <w:lang w:val="es-MX" w:eastAsia="es-MX"/>
              </w:rPr>
            </w:pPr>
          </w:p>
        </w:tc>
      </w:tr>
      <w:tr w:rsidR="00DC35B7" w:rsidRPr="00DC35B7" w14:paraId="47DF5704"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28AE1BC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3A6D4909"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tcPr>
          <w:p w14:paraId="0D97B5A4"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Indemnizaciones</w:t>
            </w:r>
          </w:p>
        </w:tc>
        <w:tc>
          <w:tcPr>
            <w:tcW w:w="789" w:type="pct"/>
            <w:tcBorders>
              <w:top w:val="nil"/>
              <w:left w:val="nil"/>
              <w:bottom w:val="single" w:sz="4" w:space="0" w:color="auto"/>
              <w:right w:val="single" w:sz="4" w:space="0" w:color="auto"/>
            </w:tcBorders>
            <w:shd w:val="clear" w:color="000000" w:fill="FFFFFF"/>
            <w:noWrap/>
            <w:vAlign w:val="center"/>
          </w:tcPr>
          <w:p w14:paraId="1020001D"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6B12078"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44375D75"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1B091E62" w14:textId="77777777" w:rsidR="00DC35B7" w:rsidRPr="00DC35B7" w:rsidRDefault="00DC35B7" w:rsidP="00B77C25">
            <w:pPr>
              <w:jc w:val="right"/>
              <w:rPr>
                <w:b/>
                <w:bCs/>
                <w:color w:val="000000"/>
                <w:sz w:val="16"/>
                <w:szCs w:val="16"/>
                <w:lang w:val="es-MX" w:eastAsia="es-MX"/>
              </w:rPr>
            </w:pPr>
          </w:p>
        </w:tc>
      </w:tr>
      <w:tr w:rsidR="00DC35B7" w:rsidRPr="00DC35B7" w14:paraId="104B5CB1"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5E19FDE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262DA13E" w14:textId="77777777" w:rsidR="00DC35B7" w:rsidRPr="00DC35B7" w:rsidRDefault="00DC35B7" w:rsidP="00B77C25">
            <w:pPr>
              <w:jc w:val="center"/>
              <w:rPr>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tcPr>
          <w:p w14:paraId="3F8F8EB5" w14:textId="77777777" w:rsidR="00DC35B7" w:rsidRPr="00DC35B7" w:rsidRDefault="00DC35B7" w:rsidP="00B77C25">
            <w:pPr>
              <w:jc w:val="both"/>
              <w:rPr>
                <w:color w:val="000000"/>
                <w:sz w:val="16"/>
                <w:szCs w:val="16"/>
                <w:lang w:val="es-MX" w:eastAsia="es-MX"/>
              </w:rPr>
            </w:pPr>
            <w:r w:rsidRPr="00DC35B7">
              <w:rPr>
                <w:color w:val="000000"/>
                <w:sz w:val="16"/>
                <w:szCs w:val="16"/>
                <w:lang w:val="es-MX" w:eastAsia="es-MX"/>
              </w:rPr>
              <w:t>Reintegros</w:t>
            </w:r>
          </w:p>
        </w:tc>
        <w:tc>
          <w:tcPr>
            <w:tcW w:w="789" w:type="pct"/>
            <w:tcBorders>
              <w:top w:val="nil"/>
              <w:left w:val="nil"/>
              <w:bottom w:val="single" w:sz="4" w:space="0" w:color="auto"/>
              <w:right w:val="single" w:sz="4" w:space="0" w:color="auto"/>
            </w:tcBorders>
            <w:shd w:val="clear" w:color="000000" w:fill="FFFFFF"/>
            <w:noWrap/>
            <w:vAlign w:val="center"/>
          </w:tcPr>
          <w:p w14:paraId="01627EAA"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3AA1E91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707907ED"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E320735" w14:textId="77777777" w:rsidR="00DC35B7" w:rsidRPr="00DC35B7" w:rsidRDefault="00DC35B7" w:rsidP="00B77C25">
            <w:pPr>
              <w:jc w:val="right"/>
              <w:rPr>
                <w:b/>
                <w:bCs/>
                <w:color w:val="000000"/>
                <w:sz w:val="16"/>
                <w:szCs w:val="16"/>
                <w:lang w:val="es-MX" w:eastAsia="es-MX"/>
              </w:rPr>
            </w:pPr>
          </w:p>
        </w:tc>
      </w:tr>
      <w:tr w:rsidR="00DC35B7" w:rsidRPr="00DC35B7" w14:paraId="3F66D4B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362F9D16"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noWrap/>
            <w:vAlign w:val="center"/>
          </w:tcPr>
          <w:p w14:paraId="5BAA23F7" w14:textId="77777777" w:rsidR="00DC35B7" w:rsidRPr="00DC35B7" w:rsidRDefault="00DC35B7" w:rsidP="00B77C25">
            <w:pPr>
              <w:jc w:val="center"/>
              <w:rPr>
                <w:b/>
                <w:color w:val="000000"/>
                <w:sz w:val="16"/>
                <w:szCs w:val="16"/>
                <w:lang w:val="es-MX" w:eastAsia="es-MX"/>
              </w:rPr>
            </w:pPr>
            <w:r w:rsidRPr="00DC35B7">
              <w:rPr>
                <w:b/>
                <w:color w:val="000000"/>
                <w:sz w:val="16"/>
                <w:szCs w:val="16"/>
                <w:lang w:val="es-MX" w:eastAsia="es-MX"/>
              </w:rPr>
              <w:t>8.5</w:t>
            </w:r>
          </w:p>
        </w:tc>
        <w:tc>
          <w:tcPr>
            <w:tcW w:w="1252" w:type="pct"/>
            <w:tcBorders>
              <w:top w:val="nil"/>
              <w:left w:val="nil"/>
              <w:bottom w:val="single" w:sz="4" w:space="0" w:color="auto"/>
              <w:right w:val="single" w:sz="4" w:space="0" w:color="auto"/>
            </w:tcBorders>
            <w:shd w:val="clear" w:color="auto" w:fill="auto"/>
            <w:vAlign w:val="center"/>
          </w:tcPr>
          <w:p w14:paraId="2932A5CE" w14:textId="77777777" w:rsidR="00DC35B7" w:rsidRPr="00DC35B7" w:rsidRDefault="00DC35B7" w:rsidP="00B77C25">
            <w:pPr>
              <w:jc w:val="both"/>
              <w:rPr>
                <w:b/>
                <w:color w:val="000000"/>
                <w:sz w:val="16"/>
                <w:szCs w:val="16"/>
                <w:lang w:val="es-MX" w:eastAsia="es-MX"/>
              </w:rPr>
            </w:pPr>
            <w:r w:rsidRPr="00DC35B7">
              <w:rPr>
                <w:b/>
                <w:color w:val="000000"/>
                <w:sz w:val="16"/>
                <w:szCs w:val="16"/>
                <w:lang w:val="es-MX" w:eastAsia="es-MX"/>
              </w:rPr>
              <w:t>Fondos Distintos de Aportaciones</w:t>
            </w:r>
          </w:p>
        </w:tc>
        <w:tc>
          <w:tcPr>
            <w:tcW w:w="789" w:type="pct"/>
            <w:tcBorders>
              <w:top w:val="nil"/>
              <w:left w:val="nil"/>
              <w:bottom w:val="single" w:sz="4" w:space="0" w:color="auto"/>
              <w:right w:val="single" w:sz="4" w:space="0" w:color="auto"/>
            </w:tcBorders>
            <w:shd w:val="clear" w:color="000000" w:fill="FFFFFF"/>
            <w:noWrap/>
            <w:vAlign w:val="center"/>
          </w:tcPr>
          <w:p w14:paraId="170F98F8"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4C6C205C"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6B22411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1C27D6C4" w14:textId="77777777" w:rsidR="00DC35B7" w:rsidRPr="00DC35B7" w:rsidRDefault="00DC35B7" w:rsidP="00B77C25">
            <w:pPr>
              <w:jc w:val="right"/>
              <w:rPr>
                <w:b/>
                <w:bCs/>
                <w:color w:val="000000"/>
                <w:sz w:val="16"/>
                <w:szCs w:val="16"/>
                <w:lang w:val="es-MX" w:eastAsia="es-MX"/>
              </w:rPr>
            </w:pPr>
          </w:p>
        </w:tc>
      </w:tr>
      <w:tr w:rsidR="00DC35B7" w:rsidRPr="00DC35B7" w14:paraId="4FDD4B16"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66FBADE6"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w:t>
            </w:r>
          </w:p>
        </w:tc>
        <w:tc>
          <w:tcPr>
            <w:tcW w:w="301" w:type="pct"/>
            <w:tcBorders>
              <w:top w:val="nil"/>
              <w:left w:val="nil"/>
              <w:bottom w:val="single" w:sz="4" w:space="0" w:color="auto"/>
              <w:right w:val="single" w:sz="4" w:space="0" w:color="auto"/>
            </w:tcBorders>
            <w:shd w:val="clear" w:color="auto" w:fill="auto"/>
            <w:vAlign w:val="center"/>
            <w:hideMark/>
          </w:tcPr>
          <w:p w14:paraId="604B3196"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3FBA29F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Transferencias, Asignaciones, Subsidios y Subvenciones, y Pensiones y Jubilaciones</w:t>
            </w:r>
          </w:p>
        </w:tc>
        <w:tc>
          <w:tcPr>
            <w:tcW w:w="789" w:type="pct"/>
            <w:tcBorders>
              <w:top w:val="nil"/>
              <w:left w:val="nil"/>
              <w:bottom w:val="single" w:sz="4" w:space="0" w:color="auto"/>
              <w:right w:val="single" w:sz="4" w:space="0" w:color="auto"/>
            </w:tcBorders>
            <w:shd w:val="clear" w:color="000000" w:fill="FFFFFF"/>
            <w:noWrap/>
            <w:vAlign w:val="center"/>
            <w:hideMark/>
          </w:tcPr>
          <w:p w14:paraId="63E81CA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AA10B0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F3151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52137787"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r>
      <w:tr w:rsidR="00DC35B7" w:rsidRPr="00DC35B7" w14:paraId="385F816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77966B0C"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6095A65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9.1</w:t>
            </w:r>
          </w:p>
        </w:tc>
        <w:tc>
          <w:tcPr>
            <w:tcW w:w="1252" w:type="pct"/>
            <w:tcBorders>
              <w:top w:val="nil"/>
              <w:left w:val="nil"/>
              <w:bottom w:val="single" w:sz="4" w:space="0" w:color="auto"/>
              <w:right w:val="single" w:sz="4" w:space="0" w:color="auto"/>
            </w:tcBorders>
            <w:shd w:val="clear" w:color="auto" w:fill="auto"/>
            <w:vAlign w:val="center"/>
            <w:hideMark/>
          </w:tcPr>
          <w:p w14:paraId="681A4E1C"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Transferencias y Asignaciones</w:t>
            </w:r>
          </w:p>
        </w:tc>
        <w:tc>
          <w:tcPr>
            <w:tcW w:w="789" w:type="pct"/>
            <w:tcBorders>
              <w:top w:val="nil"/>
              <w:left w:val="nil"/>
              <w:bottom w:val="single" w:sz="4" w:space="0" w:color="auto"/>
              <w:right w:val="single" w:sz="4" w:space="0" w:color="auto"/>
            </w:tcBorders>
            <w:shd w:val="clear" w:color="000000" w:fill="FFFFFF"/>
            <w:noWrap/>
            <w:vAlign w:val="center"/>
            <w:hideMark/>
          </w:tcPr>
          <w:p w14:paraId="54337C7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563A911C"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FDDBBA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1874153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3FFF314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42F427C1"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BA60110"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9.2</w:t>
            </w:r>
          </w:p>
        </w:tc>
        <w:tc>
          <w:tcPr>
            <w:tcW w:w="1252" w:type="pct"/>
            <w:tcBorders>
              <w:top w:val="nil"/>
              <w:left w:val="nil"/>
              <w:bottom w:val="single" w:sz="4" w:space="0" w:color="auto"/>
              <w:right w:val="single" w:sz="4" w:space="0" w:color="auto"/>
            </w:tcBorders>
            <w:shd w:val="clear" w:color="auto" w:fill="auto"/>
            <w:vAlign w:val="center"/>
            <w:hideMark/>
          </w:tcPr>
          <w:p w14:paraId="1A839683"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Transferencias al Resto del Sector Público (Derogado)</w:t>
            </w:r>
          </w:p>
        </w:tc>
        <w:tc>
          <w:tcPr>
            <w:tcW w:w="789" w:type="pct"/>
            <w:tcBorders>
              <w:top w:val="nil"/>
              <w:left w:val="nil"/>
              <w:bottom w:val="single" w:sz="4" w:space="0" w:color="auto"/>
              <w:right w:val="single" w:sz="4" w:space="0" w:color="auto"/>
            </w:tcBorders>
            <w:shd w:val="clear" w:color="000000" w:fill="FFFFFF"/>
            <w:noWrap/>
            <w:vAlign w:val="center"/>
            <w:hideMark/>
          </w:tcPr>
          <w:p w14:paraId="4531CEF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2DCEBF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055123D"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2AA967C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87455E8"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3C1277E4"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B8E2C6A"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9.3</w:t>
            </w:r>
          </w:p>
        </w:tc>
        <w:tc>
          <w:tcPr>
            <w:tcW w:w="1252" w:type="pct"/>
            <w:tcBorders>
              <w:top w:val="nil"/>
              <w:left w:val="nil"/>
              <w:bottom w:val="single" w:sz="4" w:space="0" w:color="auto"/>
              <w:right w:val="single" w:sz="4" w:space="0" w:color="auto"/>
            </w:tcBorders>
            <w:shd w:val="clear" w:color="auto" w:fill="auto"/>
            <w:vAlign w:val="center"/>
            <w:hideMark/>
          </w:tcPr>
          <w:p w14:paraId="084A960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Subsidios y Subvenciones</w:t>
            </w:r>
          </w:p>
        </w:tc>
        <w:tc>
          <w:tcPr>
            <w:tcW w:w="789" w:type="pct"/>
            <w:tcBorders>
              <w:top w:val="nil"/>
              <w:left w:val="nil"/>
              <w:bottom w:val="single" w:sz="4" w:space="0" w:color="auto"/>
              <w:right w:val="single" w:sz="4" w:space="0" w:color="auto"/>
            </w:tcBorders>
            <w:shd w:val="clear" w:color="000000" w:fill="FFFFFF"/>
            <w:noWrap/>
            <w:vAlign w:val="center"/>
            <w:hideMark/>
          </w:tcPr>
          <w:p w14:paraId="306A7B3D"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0068DD5"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167BE079"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295F4F5C"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1BCB5DCB"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single" w:sz="4" w:space="0" w:color="auto"/>
              <w:left w:val="single" w:sz="4" w:space="0" w:color="auto"/>
              <w:bottom w:val="single" w:sz="4" w:space="0" w:color="auto"/>
              <w:right w:val="single" w:sz="4" w:space="0" w:color="auto"/>
            </w:tcBorders>
            <w:shd w:val="clear" w:color="auto" w:fill="auto"/>
            <w:vAlign w:val="center"/>
          </w:tcPr>
          <w:p w14:paraId="3210729C" w14:textId="77777777" w:rsidR="00DC35B7" w:rsidRPr="00DC35B7" w:rsidRDefault="00DC35B7" w:rsidP="00B77C25">
            <w:pPr>
              <w:jc w:val="center"/>
              <w:rPr>
                <w:b/>
                <w:bCs/>
                <w:color w:val="000000"/>
                <w:sz w:val="16"/>
                <w:szCs w:val="16"/>
                <w:lang w:val="es-MX" w:eastAsia="es-MX"/>
              </w:rPr>
            </w:pPr>
          </w:p>
        </w:tc>
        <w:tc>
          <w:tcPr>
            <w:tcW w:w="301" w:type="pct"/>
            <w:tcBorders>
              <w:top w:val="single" w:sz="4" w:space="0" w:color="auto"/>
              <w:left w:val="nil"/>
              <w:bottom w:val="single" w:sz="4" w:space="0" w:color="auto"/>
              <w:right w:val="single" w:sz="4" w:space="0" w:color="auto"/>
            </w:tcBorders>
            <w:shd w:val="clear" w:color="auto" w:fill="auto"/>
            <w:vAlign w:val="center"/>
          </w:tcPr>
          <w:p w14:paraId="3C098F88"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9.4</w:t>
            </w:r>
          </w:p>
        </w:tc>
        <w:tc>
          <w:tcPr>
            <w:tcW w:w="1252" w:type="pct"/>
            <w:tcBorders>
              <w:top w:val="single" w:sz="4" w:space="0" w:color="auto"/>
              <w:left w:val="nil"/>
              <w:bottom w:val="single" w:sz="4" w:space="0" w:color="auto"/>
              <w:right w:val="single" w:sz="4" w:space="0" w:color="auto"/>
            </w:tcBorders>
            <w:shd w:val="clear" w:color="auto" w:fill="auto"/>
            <w:vAlign w:val="center"/>
          </w:tcPr>
          <w:p w14:paraId="55D42B79"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Ayudas Sociales (Derogado)</w:t>
            </w: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47949D58" w14:textId="77777777" w:rsidR="00DC35B7" w:rsidRPr="00DC35B7" w:rsidRDefault="00DC35B7" w:rsidP="00B77C25">
            <w:pPr>
              <w:jc w:val="right"/>
              <w:rPr>
                <w:color w:val="000000"/>
                <w:sz w:val="16"/>
                <w:szCs w:val="16"/>
                <w:lang w:val="es-MX" w:eastAsia="es-MX"/>
              </w:rPr>
            </w:pPr>
          </w:p>
        </w:tc>
        <w:tc>
          <w:tcPr>
            <w:tcW w:w="789" w:type="pct"/>
            <w:tcBorders>
              <w:top w:val="single" w:sz="4" w:space="0" w:color="auto"/>
              <w:left w:val="nil"/>
              <w:bottom w:val="single" w:sz="4" w:space="0" w:color="auto"/>
              <w:right w:val="single" w:sz="4" w:space="0" w:color="auto"/>
            </w:tcBorders>
            <w:shd w:val="clear" w:color="000000" w:fill="FFFFFF"/>
            <w:noWrap/>
            <w:vAlign w:val="center"/>
          </w:tcPr>
          <w:p w14:paraId="2B651163" w14:textId="77777777" w:rsidR="00DC35B7" w:rsidRPr="00DC35B7" w:rsidRDefault="00DC35B7" w:rsidP="00B77C25">
            <w:pPr>
              <w:jc w:val="right"/>
              <w:rPr>
                <w:color w:val="000000"/>
                <w:sz w:val="16"/>
                <w:szCs w:val="16"/>
                <w:lang w:val="es-MX" w:eastAsia="es-MX"/>
              </w:rPr>
            </w:pP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5F58C354" w14:textId="77777777" w:rsidR="00DC35B7" w:rsidRPr="00DC35B7" w:rsidRDefault="00DC35B7" w:rsidP="00B77C25">
            <w:pPr>
              <w:jc w:val="right"/>
              <w:rPr>
                <w:b/>
                <w:bCs/>
                <w:color w:val="000000"/>
                <w:sz w:val="16"/>
                <w:szCs w:val="16"/>
                <w:lang w:val="es-MX" w:eastAsia="es-MX"/>
              </w:rPr>
            </w:pPr>
          </w:p>
        </w:tc>
        <w:tc>
          <w:tcPr>
            <w:tcW w:w="840" w:type="pct"/>
            <w:tcBorders>
              <w:top w:val="single" w:sz="4" w:space="0" w:color="auto"/>
              <w:left w:val="nil"/>
              <w:bottom w:val="single" w:sz="4" w:space="0" w:color="auto"/>
              <w:right w:val="single" w:sz="4" w:space="0" w:color="auto"/>
            </w:tcBorders>
            <w:shd w:val="clear" w:color="000000" w:fill="FFFFFF"/>
            <w:noWrap/>
            <w:vAlign w:val="center"/>
          </w:tcPr>
          <w:p w14:paraId="6B4A487A" w14:textId="77777777" w:rsidR="00DC35B7" w:rsidRPr="00DC35B7" w:rsidRDefault="00DC35B7" w:rsidP="00B77C25">
            <w:pPr>
              <w:jc w:val="right"/>
              <w:rPr>
                <w:b/>
                <w:bCs/>
                <w:color w:val="000000"/>
                <w:sz w:val="16"/>
                <w:szCs w:val="16"/>
                <w:lang w:val="es-MX" w:eastAsia="es-MX"/>
              </w:rPr>
            </w:pPr>
          </w:p>
        </w:tc>
      </w:tr>
      <w:tr w:rsidR="00DC35B7" w:rsidRPr="00DC35B7" w14:paraId="68DADC2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63D9F6C2"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3BDC4B4A"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9.5</w:t>
            </w:r>
          </w:p>
        </w:tc>
        <w:tc>
          <w:tcPr>
            <w:tcW w:w="1252" w:type="pct"/>
            <w:tcBorders>
              <w:top w:val="nil"/>
              <w:left w:val="nil"/>
              <w:bottom w:val="single" w:sz="4" w:space="0" w:color="auto"/>
              <w:right w:val="single" w:sz="4" w:space="0" w:color="auto"/>
            </w:tcBorders>
            <w:shd w:val="clear" w:color="auto" w:fill="auto"/>
            <w:vAlign w:val="center"/>
          </w:tcPr>
          <w:p w14:paraId="0D41356B"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Pensiones y Jubilaciones</w:t>
            </w:r>
          </w:p>
        </w:tc>
        <w:tc>
          <w:tcPr>
            <w:tcW w:w="789" w:type="pct"/>
            <w:tcBorders>
              <w:top w:val="nil"/>
              <w:left w:val="nil"/>
              <w:bottom w:val="single" w:sz="4" w:space="0" w:color="auto"/>
              <w:right w:val="single" w:sz="4" w:space="0" w:color="auto"/>
            </w:tcBorders>
            <w:shd w:val="clear" w:color="000000" w:fill="FFFFFF"/>
            <w:noWrap/>
            <w:vAlign w:val="center"/>
          </w:tcPr>
          <w:p w14:paraId="19AB140E"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532D09D1"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01DE81A1"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501FA3C7" w14:textId="77777777" w:rsidR="00DC35B7" w:rsidRPr="00DC35B7" w:rsidRDefault="00DC35B7" w:rsidP="00B77C25">
            <w:pPr>
              <w:jc w:val="right"/>
              <w:rPr>
                <w:b/>
                <w:bCs/>
                <w:color w:val="000000"/>
                <w:sz w:val="16"/>
                <w:szCs w:val="16"/>
                <w:lang w:val="es-MX" w:eastAsia="es-MX"/>
              </w:rPr>
            </w:pPr>
          </w:p>
        </w:tc>
      </w:tr>
      <w:tr w:rsidR="00DC35B7" w:rsidRPr="00DC35B7" w14:paraId="4E373127"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2F3D240E"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579CFD09"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9.6</w:t>
            </w:r>
          </w:p>
        </w:tc>
        <w:tc>
          <w:tcPr>
            <w:tcW w:w="1252" w:type="pct"/>
            <w:tcBorders>
              <w:top w:val="nil"/>
              <w:left w:val="nil"/>
              <w:bottom w:val="single" w:sz="4" w:space="0" w:color="auto"/>
              <w:right w:val="single" w:sz="4" w:space="0" w:color="auto"/>
            </w:tcBorders>
            <w:shd w:val="clear" w:color="auto" w:fill="auto"/>
            <w:vAlign w:val="center"/>
          </w:tcPr>
          <w:p w14:paraId="3CA414D7"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Transferencias a Fideicomisos, Mandatos y Análogos (Derogado)</w:t>
            </w:r>
          </w:p>
        </w:tc>
        <w:tc>
          <w:tcPr>
            <w:tcW w:w="789" w:type="pct"/>
            <w:tcBorders>
              <w:top w:val="nil"/>
              <w:left w:val="nil"/>
              <w:bottom w:val="single" w:sz="4" w:space="0" w:color="auto"/>
              <w:right w:val="single" w:sz="4" w:space="0" w:color="auto"/>
            </w:tcBorders>
            <w:shd w:val="clear" w:color="000000" w:fill="FFFFFF"/>
            <w:noWrap/>
            <w:vAlign w:val="center"/>
          </w:tcPr>
          <w:p w14:paraId="7DC05C63"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57A52B76"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7681447A" w14:textId="77777777" w:rsidR="00DC35B7" w:rsidRPr="00DC35B7" w:rsidRDefault="00DC35B7" w:rsidP="00B77C25">
            <w:pPr>
              <w:jc w:val="right"/>
              <w:rPr>
                <w:b/>
                <w:bCs/>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582CEAC3" w14:textId="77777777" w:rsidR="00DC35B7" w:rsidRPr="00DC35B7" w:rsidRDefault="00DC35B7" w:rsidP="00B77C25">
            <w:pPr>
              <w:jc w:val="right"/>
              <w:rPr>
                <w:b/>
                <w:bCs/>
                <w:color w:val="000000"/>
                <w:sz w:val="16"/>
                <w:szCs w:val="16"/>
                <w:lang w:val="es-MX" w:eastAsia="es-MX"/>
              </w:rPr>
            </w:pPr>
          </w:p>
        </w:tc>
      </w:tr>
      <w:tr w:rsidR="00DC35B7" w:rsidRPr="00DC35B7" w14:paraId="07D6C0F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tcPr>
          <w:p w14:paraId="366577BD"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6DAF6DF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9.7</w:t>
            </w:r>
          </w:p>
        </w:tc>
        <w:tc>
          <w:tcPr>
            <w:tcW w:w="1252" w:type="pct"/>
            <w:tcBorders>
              <w:top w:val="nil"/>
              <w:left w:val="nil"/>
              <w:bottom w:val="single" w:sz="4" w:space="0" w:color="auto"/>
              <w:right w:val="single" w:sz="4" w:space="0" w:color="auto"/>
            </w:tcBorders>
            <w:shd w:val="clear" w:color="auto" w:fill="auto"/>
            <w:vAlign w:val="center"/>
          </w:tcPr>
          <w:p w14:paraId="7E19A00C"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Transferencias del Fondo Mexicano del Petróleo para la Estabilización y el Desarrollo</w:t>
            </w:r>
          </w:p>
        </w:tc>
        <w:tc>
          <w:tcPr>
            <w:tcW w:w="789" w:type="pct"/>
            <w:tcBorders>
              <w:top w:val="nil"/>
              <w:left w:val="nil"/>
              <w:bottom w:val="single" w:sz="4" w:space="0" w:color="auto"/>
              <w:right w:val="single" w:sz="4" w:space="0" w:color="auto"/>
            </w:tcBorders>
            <w:shd w:val="clear" w:color="000000" w:fill="FFFFFF"/>
            <w:noWrap/>
            <w:vAlign w:val="center"/>
          </w:tcPr>
          <w:p w14:paraId="381DE2F9"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6D99329C"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293787C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5261AA80" w14:textId="77777777" w:rsidR="00DC35B7" w:rsidRPr="00DC35B7" w:rsidRDefault="00DC35B7" w:rsidP="00B77C25">
            <w:pPr>
              <w:jc w:val="right"/>
              <w:rPr>
                <w:b/>
                <w:bCs/>
                <w:color w:val="000000"/>
                <w:sz w:val="16"/>
                <w:szCs w:val="16"/>
                <w:lang w:val="es-MX" w:eastAsia="es-MX"/>
              </w:rPr>
            </w:pPr>
          </w:p>
        </w:tc>
      </w:tr>
      <w:tr w:rsidR="00DC35B7" w:rsidRPr="00DC35B7" w14:paraId="12BC386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5"/>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4B5ED7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0</w:t>
            </w:r>
          </w:p>
        </w:tc>
        <w:tc>
          <w:tcPr>
            <w:tcW w:w="301" w:type="pct"/>
            <w:tcBorders>
              <w:top w:val="nil"/>
              <w:left w:val="nil"/>
              <w:bottom w:val="single" w:sz="4" w:space="0" w:color="auto"/>
              <w:right w:val="single" w:sz="4" w:space="0" w:color="auto"/>
            </w:tcBorders>
            <w:shd w:val="clear" w:color="auto" w:fill="auto"/>
            <w:vAlign w:val="center"/>
            <w:hideMark/>
          </w:tcPr>
          <w:p w14:paraId="6262F1D9" w14:textId="77777777" w:rsidR="00DC35B7" w:rsidRPr="00DC35B7" w:rsidRDefault="00DC35B7" w:rsidP="00B77C25">
            <w:pPr>
              <w:jc w:val="center"/>
              <w:rPr>
                <w:b/>
                <w:bCs/>
                <w:color w:val="000000"/>
                <w:sz w:val="16"/>
                <w:szCs w:val="16"/>
                <w:lang w:val="es-MX" w:eastAsia="es-MX"/>
              </w:rPr>
            </w:pPr>
          </w:p>
        </w:tc>
        <w:tc>
          <w:tcPr>
            <w:tcW w:w="1252" w:type="pct"/>
            <w:tcBorders>
              <w:top w:val="nil"/>
              <w:left w:val="nil"/>
              <w:bottom w:val="single" w:sz="4" w:space="0" w:color="auto"/>
              <w:right w:val="single" w:sz="4" w:space="0" w:color="auto"/>
            </w:tcBorders>
            <w:shd w:val="clear" w:color="auto" w:fill="auto"/>
            <w:vAlign w:val="center"/>
            <w:hideMark/>
          </w:tcPr>
          <w:p w14:paraId="08E4FDF5"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Ingresos Derivados de Financiamientos</w:t>
            </w:r>
          </w:p>
        </w:tc>
        <w:tc>
          <w:tcPr>
            <w:tcW w:w="789" w:type="pct"/>
            <w:tcBorders>
              <w:top w:val="nil"/>
              <w:left w:val="nil"/>
              <w:bottom w:val="single" w:sz="4" w:space="0" w:color="auto"/>
              <w:right w:val="single" w:sz="4" w:space="0" w:color="auto"/>
            </w:tcBorders>
            <w:shd w:val="clear" w:color="000000" w:fill="FFFFFF"/>
            <w:noWrap/>
            <w:vAlign w:val="center"/>
            <w:hideMark/>
          </w:tcPr>
          <w:p w14:paraId="53EF579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2000803F"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4E44A76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3AD83028"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r>
      <w:tr w:rsidR="00DC35B7" w:rsidRPr="00DC35B7" w14:paraId="78403D3B"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9CCF1BB"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266267C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0.1</w:t>
            </w:r>
          </w:p>
        </w:tc>
        <w:tc>
          <w:tcPr>
            <w:tcW w:w="1252" w:type="pct"/>
            <w:tcBorders>
              <w:top w:val="nil"/>
              <w:left w:val="nil"/>
              <w:bottom w:val="single" w:sz="4" w:space="0" w:color="auto"/>
              <w:right w:val="single" w:sz="4" w:space="0" w:color="auto"/>
            </w:tcBorders>
            <w:shd w:val="clear" w:color="auto" w:fill="auto"/>
            <w:vAlign w:val="center"/>
            <w:hideMark/>
          </w:tcPr>
          <w:p w14:paraId="28332245"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Endeudamiento Interno</w:t>
            </w:r>
          </w:p>
        </w:tc>
        <w:tc>
          <w:tcPr>
            <w:tcW w:w="789" w:type="pct"/>
            <w:tcBorders>
              <w:top w:val="nil"/>
              <w:left w:val="nil"/>
              <w:bottom w:val="single" w:sz="4" w:space="0" w:color="auto"/>
              <w:right w:val="single" w:sz="4" w:space="0" w:color="auto"/>
            </w:tcBorders>
            <w:shd w:val="clear" w:color="000000" w:fill="FFFFFF"/>
            <w:noWrap/>
            <w:vAlign w:val="center"/>
            <w:hideMark/>
          </w:tcPr>
          <w:p w14:paraId="4CB66BA9"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0D4D0DE3"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01A689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702C8D93"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48BBC2E0"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hideMark/>
          </w:tcPr>
          <w:p w14:paraId="5379F1F3"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hideMark/>
          </w:tcPr>
          <w:p w14:paraId="0843D850"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0.2</w:t>
            </w:r>
          </w:p>
        </w:tc>
        <w:tc>
          <w:tcPr>
            <w:tcW w:w="1252" w:type="pct"/>
            <w:tcBorders>
              <w:top w:val="nil"/>
              <w:left w:val="nil"/>
              <w:bottom w:val="single" w:sz="4" w:space="0" w:color="auto"/>
              <w:right w:val="single" w:sz="4" w:space="0" w:color="auto"/>
            </w:tcBorders>
            <w:shd w:val="clear" w:color="auto" w:fill="auto"/>
            <w:vAlign w:val="center"/>
            <w:hideMark/>
          </w:tcPr>
          <w:p w14:paraId="2DCE3128"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Endeudamiento Externo</w:t>
            </w:r>
          </w:p>
        </w:tc>
        <w:tc>
          <w:tcPr>
            <w:tcW w:w="789" w:type="pct"/>
            <w:tcBorders>
              <w:top w:val="nil"/>
              <w:left w:val="nil"/>
              <w:bottom w:val="single" w:sz="4" w:space="0" w:color="auto"/>
              <w:right w:val="single" w:sz="4" w:space="0" w:color="auto"/>
            </w:tcBorders>
            <w:shd w:val="clear" w:color="000000" w:fill="FFFFFF"/>
            <w:noWrap/>
            <w:vAlign w:val="center"/>
            <w:hideMark/>
          </w:tcPr>
          <w:p w14:paraId="5A4098EE"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7B37D4A6"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27E5DD9E"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hideMark/>
          </w:tcPr>
          <w:p w14:paraId="3873ACDF"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r>
      <w:tr w:rsidR="00DC35B7" w:rsidRPr="00DC35B7" w14:paraId="2105DA7A"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88" w:type="pct"/>
            <w:tcBorders>
              <w:top w:val="nil"/>
              <w:left w:val="single" w:sz="4" w:space="0" w:color="auto"/>
              <w:bottom w:val="single" w:sz="4" w:space="0" w:color="auto"/>
              <w:right w:val="single" w:sz="4" w:space="0" w:color="auto"/>
            </w:tcBorders>
            <w:shd w:val="clear" w:color="auto" w:fill="auto"/>
            <w:vAlign w:val="center"/>
          </w:tcPr>
          <w:p w14:paraId="662FD960" w14:textId="77777777" w:rsidR="00DC35B7" w:rsidRPr="00DC35B7" w:rsidRDefault="00DC35B7" w:rsidP="00B77C25">
            <w:pPr>
              <w:jc w:val="center"/>
              <w:rPr>
                <w:b/>
                <w:bCs/>
                <w:color w:val="000000"/>
                <w:sz w:val="16"/>
                <w:szCs w:val="16"/>
                <w:lang w:val="es-MX" w:eastAsia="es-MX"/>
              </w:rPr>
            </w:pPr>
          </w:p>
        </w:tc>
        <w:tc>
          <w:tcPr>
            <w:tcW w:w="301" w:type="pct"/>
            <w:tcBorders>
              <w:top w:val="nil"/>
              <w:left w:val="nil"/>
              <w:bottom w:val="single" w:sz="4" w:space="0" w:color="auto"/>
              <w:right w:val="single" w:sz="4" w:space="0" w:color="auto"/>
            </w:tcBorders>
            <w:shd w:val="clear" w:color="auto" w:fill="auto"/>
            <w:vAlign w:val="center"/>
          </w:tcPr>
          <w:p w14:paraId="54B31516"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0.3</w:t>
            </w:r>
          </w:p>
        </w:tc>
        <w:tc>
          <w:tcPr>
            <w:tcW w:w="1252" w:type="pct"/>
            <w:tcBorders>
              <w:top w:val="nil"/>
              <w:left w:val="nil"/>
              <w:bottom w:val="single" w:sz="4" w:space="0" w:color="auto"/>
              <w:right w:val="single" w:sz="4" w:space="0" w:color="auto"/>
            </w:tcBorders>
            <w:shd w:val="clear" w:color="auto" w:fill="auto"/>
            <w:vAlign w:val="center"/>
          </w:tcPr>
          <w:p w14:paraId="753CC554" w14:textId="77777777" w:rsidR="00DC35B7" w:rsidRPr="00DC35B7" w:rsidRDefault="00DC35B7" w:rsidP="00B77C25">
            <w:pPr>
              <w:jc w:val="both"/>
              <w:rPr>
                <w:b/>
                <w:bCs/>
                <w:color w:val="000000"/>
                <w:sz w:val="16"/>
                <w:szCs w:val="16"/>
                <w:lang w:val="es-MX" w:eastAsia="es-MX"/>
              </w:rPr>
            </w:pPr>
            <w:r w:rsidRPr="00DC35B7">
              <w:rPr>
                <w:b/>
                <w:bCs/>
                <w:color w:val="000000"/>
                <w:sz w:val="16"/>
                <w:szCs w:val="16"/>
                <w:lang w:val="es-MX" w:eastAsia="es-MX"/>
              </w:rPr>
              <w:t>Financiamiento Interno</w:t>
            </w:r>
          </w:p>
        </w:tc>
        <w:tc>
          <w:tcPr>
            <w:tcW w:w="789" w:type="pct"/>
            <w:tcBorders>
              <w:top w:val="nil"/>
              <w:left w:val="nil"/>
              <w:bottom w:val="single" w:sz="4" w:space="0" w:color="auto"/>
              <w:right w:val="single" w:sz="4" w:space="0" w:color="auto"/>
            </w:tcBorders>
            <w:shd w:val="clear" w:color="000000" w:fill="FFFFFF"/>
            <w:noWrap/>
            <w:vAlign w:val="center"/>
          </w:tcPr>
          <w:p w14:paraId="376B2DA3" w14:textId="77777777" w:rsidR="00DC35B7" w:rsidRPr="00DC35B7" w:rsidRDefault="00DC35B7" w:rsidP="00B77C25">
            <w:pPr>
              <w:jc w:val="right"/>
              <w:rPr>
                <w:color w:val="000000"/>
                <w:sz w:val="16"/>
                <w:szCs w:val="16"/>
                <w:lang w:val="es-MX" w:eastAsia="es-MX"/>
              </w:rPr>
            </w:pPr>
          </w:p>
        </w:tc>
        <w:tc>
          <w:tcPr>
            <w:tcW w:w="789" w:type="pct"/>
            <w:tcBorders>
              <w:top w:val="nil"/>
              <w:left w:val="nil"/>
              <w:bottom w:val="single" w:sz="4" w:space="0" w:color="auto"/>
              <w:right w:val="single" w:sz="4" w:space="0" w:color="auto"/>
            </w:tcBorders>
            <w:shd w:val="clear" w:color="000000" w:fill="FFFFFF"/>
            <w:noWrap/>
            <w:vAlign w:val="center"/>
          </w:tcPr>
          <w:p w14:paraId="25C2A573" w14:textId="77777777" w:rsidR="00DC35B7" w:rsidRPr="00DC35B7" w:rsidRDefault="00DC35B7" w:rsidP="00B77C25">
            <w:pPr>
              <w:jc w:val="right"/>
              <w:rPr>
                <w:color w:val="000000"/>
                <w:sz w:val="16"/>
                <w:szCs w:val="16"/>
                <w:lang w:val="es-MX" w:eastAsia="es-MX"/>
              </w:rPr>
            </w:pPr>
          </w:p>
        </w:tc>
        <w:tc>
          <w:tcPr>
            <w:tcW w:w="840" w:type="pct"/>
            <w:tcBorders>
              <w:top w:val="nil"/>
              <w:left w:val="nil"/>
              <w:bottom w:val="single" w:sz="4" w:space="0" w:color="auto"/>
              <w:right w:val="single" w:sz="4" w:space="0" w:color="auto"/>
            </w:tcBorders>
            <w:shd w:val="clear" w:color="000000" w:fill="FFFFFF"/>
            <w:noWrap/>
            <w:vAlign w:val="center"/>
          </w:tcPr>
          <w:p w14:paraId="37520172"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0.00</w:t>
            </w:r>
          </w:p>
        </w:tc>
        <w:tc>
          <w:tcPr>
            <w:tcW w:w="840" w:type="pct"/>
            <w:tcBorders>
              <w:top w:val="nil"/>
              <w:left w:val="nil"/>
              <w:bottom w:val="single" w:sz="4" w:space="0" w:color="auto"/>
              <w:right w:val="single" w:sz="4" w:space="0" w:color="auto"/>
            </w:tcBorders>
            <w:shd w:val="clear" w:color="000000" w:fill="FFFFFF"/>
            <w:noWrap/>
            <w:vAlign w:val="center"/>
          </w:tcPr>
          <w:p w14:paraId="600E55FE" w14:textId="77777777" w:rsidR="00DC35B7" w:rsidRPr="00DC35B7" w:rsidRDefault="00DC35B7" w:rsidP="00B77C25">
            <w:pPr>
              <w:jc w:val="right"/>
              <w:rPr>
                <w:b/>
                <w:bCs/>
                <w:color w:val="000000"/>
                <w:sz w:val="16"/>
                <w:szCs w:val="16"/>
                <w:lang w:val="es-MX" w:eastAsia="es-MX"/>
              </w:rPr>
            </w:pPr>
          </w:p>
        </w:tc>
      </w:tr>
      <w:tr w:rsidR="00DC35B7" w:rsidRPr="00DC35B7" w14:paraId="40FC37E9" w14:textId="77777777" w:rsidTr="00DC35B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1741" w:type="pct"/>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9B2EB1" w14:textId="77777777" w:rsidR="00DC35B7" w:rsidRPr="00DC35B7" w:rsidRDefault="00DC35B7" w:rsidP="00B77C25">
            <w:pPr>
              <w:jc w:val="center"/>
              <w:rPr>
                <w:b/>
                <w:bCs/>
                <w:color w:val="000000"/>
                <w:sz w:val="16"/>
                <w:szCs w:val="16"/>
                <w:lang w:val="es-MX" w:eastAsia="es-MX"/>
              </w:rPr>
            </w:pPr>
            <w:r w:rsidRPr="00DC35B7">
              <w:rPr>
                <w:b/>
                <w:bCs/>
                <w:color w:val="000000"/>
                <w:sz w:val="16"/>
                <w:szCs w:val="16"/>
                <w:lang w:val="es-MX" w:eastAsia="es-MX"/>
              </w:rPr>
              <w:t>Total Ley de Ingresos</w:t>
            </w:r>
          </w:p>
        </w:tc>
        <w:tc>
          <w:tcPr>
            <w:tcW w:w="789" w:type="pct"/>
            <w:tcBorders>
              <w:top w:val="nil"/>
              <w:left w:val="nil"/>
              <w:bottom w:val="single" w:sz="4" w:space="0" w:color="auto"/>
              <w:right w:val="single" w:sz="4" w:space="0" w:color="auto"/>
            </w:tcBorders>
            <w:shd w:val="clear" w:color="000000" w:fill="FFFFFF"/>
            <w:noWrap/>
            <w:vAlign w:val="center"/>
            <w:hideMark/>
          </w:tcPr>
          <w:p w14:paraId="745B3B3A"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789" w:type="pct"/>
            <w:tcBorders>
              <w:top w:val="nil"/>
              <w:left w:val="nil"/>
              <w:bottom w:val="single" w:sz="4" w:space="0" w:color="auto"/>
              <w:right w:val="single" w:sz="4" w:space="0" w:color="auto"/>
            </w:tcBorders>
            <w:shd w:val="clear" w:color="000000" w:fill="FFFFFF"/>
            <w:noWrap/>
            <w:vAlign w:val="center"/>
            <w:hideMark/>
          </w:tcPr>
          <w:p w14:paraId="6AFC14E2" w14:textId="77777777" w:rsidR="00DC35B7" w:rsidRPr="00DC35B7" w:rsidRDefault="00DC35B7" w:rsidP="00B77C25">
            <w:pPr>
              <w:jc w:val="right"/>
              <w:rPr>
                <w:color w:val="000000"/>
                <w:sz w:val="16"/>
                <w:szCs w:val="16"/>
                <w:lang w:val="es-MX" w:eastAsia="es-MX"/>
              </w:rPr>
            </w:pPr>
            <w:r w:rsidRPr="00DC35B7">
              <w:rPr>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63BA02D5"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 </w:t>
            </w:r>
          </w:p>
        </w:tc>
        <w:tc>
          <w:tcPr>
            <w:tcW w:w="840" w:type="pct"/>
            <w:tcBorders>
              <w:top w:val="nil"/>
              <w:left w:val="nil"/>
              <w:bottom w:val="single" w:sz="4" w:space="0" w:color="auto"/>
              <w:right w:val="single" w:sz="4" w:space="0" w:color="auto"/>
            </w:tcBorders>
            <w:shd w:val="clear" w:color="000000" w:fill="FFFFFF"/>
            <w:noWrap/>
            <w:vAlign w:val="center"/>
            <w:hideMark/>
          </w:tcPr>
          <w:p w14:paraId="720B9266" w14:textId="77777777" w:rsidR="00DC35B7" w:rsidRPr="00DC35B7" w:rsidRDefault="00DC35B7" w:rsidP="00B77C25">
            <w:pPr>
              <w:jc w:val="right"/>
              <w:rPr>
                <w:b/>
                <w:bCs/>
                <w:color w:val="000000"/>
                <w:sz w:val="16"/>
                <w:szCs w:val="16"/>
                <w:lang w:val="es-MX" w:eastAsia="es-MX"/>
              </w:rPr>
            </w:pPr>
            <w:r w:rsidRPr="00DC35B7">
              <w:rPr>
                <w:b/>
                <w:bCs/>
                <w:color w:val="000000"/>
                <w:sz w:val="16"/>
                <w:szCs w:val="16"/>
                <w:lang w:val="es-MX" w:eastAsia="es-MX"/>
              </w:rPr>
              <w:t>25,571,563,376.00</w:t>
            </w:r>
          </w:p>
        </w:tc>
      </w:tr>
      <w:bookmarkEnd w:id="3"/>
    </w:tbl>
    <w:p w14:paraId="26F9AC01" w14:textId="77777777" w:rsidR="00DC35B7" w:rsidRPr="00DC35B7" w:rsidRDefault="00DC35B7" w:rsidP="00DC35B7">
      <w:pPr>
        <w:spacing w:line="360" w:lineRule="auto"/>
        <w:jc w:val="both"/>
        <w:rPr>
          <w:sz w:val="20"/>
          <w:szCs w:val="20"/>
        </w:rPr>
      </w:pPr>
    </w:p>
    <w:p w14:paraId="53486B58" w14:textId="77777777" w:rsidR="00DC35B7" w:rsidRPr="00DC35B7" w:rsidRDefault="00DC35B7" w:rsidP="00DC35B7">
      <w:pPr>
        <w:spacing w:line="360" w:lineRule="auto"/>
        <w:jc w:val="both"/>
        <w:rPr>
          <w:sz w:val="20"/>
          <w:szCs w:val="20"/>
        </w:rPr>
      </w:pPr>
      <w:r w:rsidRPr="00DC35B7">
        <w:rPr>
          <w:sz w:val="20"/>
          <w:szCs w:val="20"/>
        </w:rPr>
        <w:t xml:space="preserve">Los ingresos adicionales que perciba el Estado en el ejercicio fiscal 2023, por concepto de mayor recaudación proveniente de fuentes locales, participaciones e incentivos económicos, fondos de aportaciones federales, ingresos por convenios suscritos con el Gobierno Federal e ingresos extraordinarios, se incorporarán de manera automática a esta Ley. </w:t>
      </w:r>
    </w:p>
    <w:p w14:paraId="1C4AE5AA" w14:textId="77777777" w:rsidR="00DC35B7" w:rsidRPr="00DC35B7" w:rsidRDefault="00DC35B7" w:rsidP="00DC35B7">
      <w:pPr>
        <w:spacing w:line="360" w:lineRule="auto"/>
        <w:jc w:val="both"/>
        <w:rPr>
          <w:sz w:val="20"/>
          <w:szCs w:val="20"/>
        </w:rPr>
      </w:pPr>
    </w:p>
    <w:p w14:paraId="0059644F" w14:textId="77777777" w:rsidR="00DC35B7" w:rsidRPr="00DC35B7" w:rsidRDefault="00DC35B7" w:rsidP="00DC35B7">
      <w:pPr>
        <w:spacing w:line="360" w:lineRule="auto"/>
        <w:jc w:val="both"/>
        <w:rPr>
          <w:bCs/>
          <w:sz w:val="20"/>
          <w:szCs w:val="20"/>
        </w:rPr>
      </w:pPr>
      <w:r w:rsidRPr="00DC35B7">
        <w:rPr>
          <w:b/>
          <w:bCs/>
          <w:sz w:val="20"/>
          <w:szCs w:val="20"/>
        </w:rPr>
        <w:t>ARTÍCULO 3.</w:t>
      </w:r>
      <w:r w:rsidRPr="00DC35B7">
        <w:rPr>
          <w:bCs/>
          <w:sz w:val="20"/>
          <w:szCs w:val="20"/>
        </w:rPr>
        <w:t xml:space="preserve"> De conformidad con lo establecido en el artículo 14 de la Ley de Disciplina Financiera de las Entidades Federativas y los Municipios y 299 del Código Financiero para el Estado de Tlaxcala </w:t>
      </w:r>
      <w:r w:rsidRPr="00DC35B7">
        <w:rPr>
          <w:bCs/>
          <w:sz w:val="20"/>
          <w:szCs w:val="20"/>
        </w:rPr>
        <w:lastRenderedPageBreak/>
        <w:t>y sus Municipios, los ingresos excedentes derivados de ingresos de libre disposición que perciba el Estado y los Poderes respectivamente, deberán ser destinados a los conceptos siguientes:</w:t>
      </w:r>
    </w:p>
    <w:p w14:paraId="0069CAFF" w14:textId="77777777" w:rsidR="00DC35B7" w:rsidRPr="00DC35B7" w:rsidRDefault="00DC35B7" w:rsidP="00DC35B7">
      <w:pPr>
        <w:spacing w:line="360" w:lineRule="auto"/>
        <w:jc w:val="both"/>
        <w:rPr>
          <w:bCs/>
          <w:sz w:val="20"/>
          <w:szCs w:val="20"/>
        </w:rPr>
      </w:pPr>
    </w:p>
    <w:p w14:paraId="759D5720" w14:textId="77777777" w:rsidR="00DC35B7" w:rsidRPr="00DC35B7" w:rsidRDefault="00DC35B7" w:rsidP="00DC35B7">
      <w:pPr>
        <w:spacing w:line="360" w:lineRule="auto"/>
        <w:ind w:left="426" w:hanging="426"/>
        <w:jc w:val="both"/>
        <w:rPr>
          <w:bCs/>
          <w:sz w:val="20"/>
          <w:szCs w:val="20"/>
        </w:rPr>
      </w:pPr>
      <w:r w:rsidRPr="00DC35B7">
        <w:rPr>
          <w:bCs/>
          <w:sz w:val="20"/>
          <w:szCs w:val="20"/>
        </w:rPr>
        <w:t xml:space="preserve">I. </w:t>
      </w:r>
      <w:r w:rsidRPr="00DC35B7">
        <w:rPr>
          <w:bCs/>
          <w:sz w:val="20"/>
          <w:szCs w:val="20"/>
        </w:rPr>
        <w:tab/>
        <w:t>Para la amortización anticipada de la Deuda Pública, el pago de adeudos de ejercicios fiscales anteriores, pasivos circulantes y otras obligaciones, en cuyos contratos se haya pactado el pago anticipado sin incurrir en penalidades y representen una disminución del saldo registrado en la cuenta pública del cierre del ejercicio inmediato anterior, así como el pago de sentencias definitivas emitidas por la autoridad competente, la aportación al Fondo para Desastres Naturales y de Pensiones, conforme a lo siguiente:</w:t>
      </w:r>
    </w:p>
    <w:p w14:paraId="30246192" w14:textId="77777777" w:rsidR="00DC35B7" w:rsidRPr="00DC35B7" w:rsidRDefault="00DC35B7" w:rsidP="00DC35B7">
      <w:pPr>
        <w:spacing w:line="360" w:lineRule="auto"/>
        <w:jc w:val="both"/>
        <w:rPr>
          <w:bCs/>
          <w:sz w:val="20"/>
          <w:szCs w:val="20"/>
        </w:rPr>
      </w:pPr>
    </w:p>
    <w:p w14:paraId="7EBFF507" w14:textId="77777777" w:rsidR="00DC35B7" w:rsidRPr="00DC35B7" w:rsidRDefault="00DC35B7" w:rsidP="00DC35B7">
      <w:pPr>
        <w:spacing w:line="360" w:lineRule="auto"/>
        <w:ind w:left="851" w:hanging="425"/>
        <w:jc w:val="both"/>
        <w:rPr>
          <w:bCs/>
          <w:sz w:val="20"/>
          <w:szCs w:val="20"/>
        </w:rPr>
      </w:pPr>
      <w:r w:rsidRPr="00DC35B7">
        <w:rPr>
          <w:bCs/>
          <w:sz w:val="20"/>
          <w:szCs w:val="20"/>
        </w:rPr>
        <w:t xml:space="preserve">a) </w:t>
      </w:r>
      <w:r w:rsidRPr="00DC35B7">
        <w:rPr>
          <w:bCs/>
          <w:sz w:val="20"/>
          <w:szCs w:val="20"/>
        </w:rPr>
        <w:tab/>
        <w:t>Cuando la Entidad se clasifique en un nivel de endeudamiento elevado, de acuerdo al Sistema de Alertas, cuando menos el 50 por ciento;</w:t>
      </w:r>
    </w:p>
    <w:p w14:paraId="25280954" w14:textId="77777777" w:rsidR="00DC35B7" w:rsidRPr="00DC35B7" w:rsidRDefault="00DC35B7" w:rsidP="00DC35B7">
      <w:pPr>
        <w:spacing w:line="360" w:lineRule="auto"/>
        <w:ind w:left="851" w:hanging="425"/>
        <w:jc w:val="both"/>
        <w:rPr>
          <w:bCs/>
          <w:sz w:val="20"/>
          <w:szCs w:val="20"/>
        </w:rPr>
      </w:pPr>
    </w:p>
    <w:p w14:paraId="0BFA91B1" w14:textId="77777777" w:rsidR="00DC35B7" w:rsidRPr="00DC35B7" w:rsidRDefault="00DC35B7" w:rsidP="00DC35B7">
      <w:pPr>
        <w:spacing w:line="360" w:lineRule="auto"/>
        <w:ind w:left="851" w:hanging="425"/>
        <w:jc w:val="both"/>
        <w:rPr>
          <w:bCs/>
          <w:sz w:val="20"/>
          <w:szCs w:val="20"/>
        </w:rPr>
      </w:pPr>
      <w:r w:rsidRPr="00DC35B7">
        <w:rPr>
          <w:bCs/>
          <w:sz w:val="20"/>
          <w:szCs w:val="20"/>
        </w:rPr>
        <w:t xml:space="preserve">b) </w:t>
      </w:r>
      <w:r w:rsidRPr="00DC35B7">
        <w:rPr>
          <w:bCs/>
          <w:sz w:val="20"/>
          <w:szCs w:val="20"/>
        </w:rPr>
        <w:tab/>
        <w:t>Cuando la Entidad se clasifique en un nivel de endeudamiento en observación, de acuerdo al Sistema de Alertas, cuando menos el 30 por ciento, y</w:t>
      </w:r>
    </w:p>
    <w:p w14:paraId="26B3F34B" w14:textId="77777777" w:rsidR="00DC35B7" w:rsidRPr="00DC35B7" w:rsidRDefault="00DC35B7" w:rsidP="00DC35B7">
      <w:pPr>
        <w:spacing w:line="360" w:lineRule="auto"/>
        <w:jc w:val="both"/>
        <w:rPr>
          <w:bCs/>
          <w:sz w:val="20"/>
          <w:szCs w:val="20"/>
        </w:rPr>
      </w:pPr>
    </w:p>
    <w:p w14:paraId="60893C5E" w14:textId="77777777" w:rsidR="00DC35B7" w:rsidRPr="00DC35B7" w:rsidRDefault="00DC35B7" w:rsidP="00DC35B7">
      <w:pPr>
        <w:spacing w:line="360" w:lineRule="auto"/>
        <w:ind w:left="426" w:hanging="426"/>
        <w:jc w:val="both"/>
        <w:rPr>
          <w:bCs/>
          <w:sz w:val="20"/>
          <w:szCs w:val="20"/>
        </w:rPr>
      </w:pPr>
      <w:r w:rsidRPr="00DC35B7">
        <w:rPr>
          <w:bCs/>
          <w:sz w:val="20"/>
          <w:szCs w:val="20"/>
        </w:rPr>
        <w:t xml:space="preserve">II. </w:t>
      </w:r>
      <w:r w:rsidRPr="00DC35B7">
        <w:rPr>
          <w:bCs/>
          <w:sz w:val="20"/>
          <w:szCs w:val="20"/>
        </w:rPr>
        <w:tab/>
        <w:t>En su caso, el remanente para:</w:t>
      </w:r>
    </w:p>
    <w:p w14:paraId="0BDDBDDD" w14:textId="77777777" w:rsidR="00DC35B7" w:rsidRPr="00DC35B7" w:rsidRDefault="00DC35B7" w:rsidP="00DC35B7">
      <w:pPr>
        <w:spacing w:line="360" w:lineRule="auto"/>
        <w:jc w:val="both"/>
        <w:rPr>
          <w:bCs/>
          <w:sz w:val="20"/>
          <w:szCs w:val="20"/>
        </w:rPr>
      </w:pPr>
    </w:p>
    <w:p w14:paraId="54C98759" w14:textId="77777777" w:rsidR="00DC35B7" w:rsidRPr="00DC35B7" w:rsidRDefault="00DC35B7" w:rsidP="00DC35B7">
      <w:pPr>
        <w:spacing w:line="360" w:lineRule="auto"/>
        <w:ind w:left="851" w:hanging="425"/>
        <w:jc w:val="both"/>
        <w:rPr>
          <w:bCs/>
          <w:sz w:val="20"/>
          <w:szCs w:val="20"/>
        </w:rPr>
      </w:pPr>
      <w:r w:rsidRPr="00DC35B7">
        <w:rPr>
          <w:bCs/>
          <w:sz w:val="20"/>
          <w:szCs w:val="20"/>
        </w:rPr>
        <w:t xml:space="preserve">a) </w:t>
      </w:r>
      <w:r w:rsidRPr="00DC35B7">
        <w:rPr>
          <w:bCs/>
          <w:sz w:val="20"/>
          <w:szCs w:val="20"/>
        </w:rPr>
        <w:tab/>
        <w:t>El Fondo de Inversión pública productiva; para tal efecto, los recursos correspondientes se deberán ejercer a más tardar en el ejercicio inmediato siguiente, y</w:t>
      </w:r>
    </w:p>
    <w:p w14:paraId="525A46C9" w14:textId="77777777" w:rsidR="00DC35B7" w:rsidRPr="00DC35B7" w:rsidRDefault="00DC35B7" w:rsidP="00DC35B7">
      <w:pPr>
        <w:spacing w:line="360" w:lineRule="auto"/>
        <w:ind w:left="851" w:hanging="425"/>
        <w:jc w:val="both"/>
        <w:rPr>
          <w:bCs/>
          <w:sz w:val="20"/>
          <w:szCs w:val="20"/>
        </w:rPr>
      </w:pPr>
    </w:p>
    <w:p w14:paraId="6C5A649C" w14:textId="77777777" w:rsidR="00DC35B7" w:rsidRPr="00DC35B7" w:rsidRDefault="00DC35B7" w:rsidP="00DC35B7">
      <w:pPr>
        <w:spacing w:line="360" w:lineRule="auto"/>
        <w:ind w:left="851" w:hanging="425"/>
        <w:jc w:val="both"/>
        <w:rPr>
          <w:bCs/>
          <w:sz w:val="20"/>
          <w:szCs w:val="20"/>
        </w:rPr>
      </w:pPr>
      <w:r w:rsidRPr="00DC35B7">
        <w:rPr>
          <w:bCs/>
          <w:sz w:val="20"/>
          <w:szCs w:val="20"/>
        </w:rPr>
        <w:t xml:space="preserve">b) </w:t>
      </w:r>
      <w:r w:rsidRPr="00DC35B7">
        <w:rPr>
          <w:bCs/>
          <w:sz w:val="20"/>
          <w:szCs w:val="20"/>
        </w:rPr>
        <w:tab/>
        <w:t>El Fondo para compensar la caída de ingresos de libre disposición de ejercicios subsecuentes.</w:t>
      </w:r>
    </w:p>
    <w:p w14:paraId="62D29B79" w14:textId="77777777" w:rsidR="00DC35B7" w:rsidRPr="00DC35B7" w:rsidRDefault="00DC35B7" w:rsidP="00DC35B7">
      <w:pPr>
        <w:spacing w:line="360" w:lineRule="auto"/>
        <w:jc w:val="both"/>
        <w:rPr>
          <w:bCs/>
          <w:sz w:val="20"/>
          <w:szCs w:val="20"/>
        </w:rPr>
      </w:pPr>
    </w:p>
    <w:p w14:paraId="44A352E3" w14:textId="77777777" w:rsidR="00DC35B7" w:rsidRPr="00DC35B7" w:rsidRDefault="00DC35B7" w:rsidP="00DC35B7">
      <w:pPr>
        <w:spacing w:line="360" w:lineRule="auto"/>
        <w:jc w:val="both"/>
        <w:rPr>
          <w:bCs/>
          <w:sz w:val="20"/>
          <w:szCs w:val="20"/>
        </w:rPr>
      </w:pPr>
      <w:r w:rsidRPr="00DC35B7">
        <w:rPr>
          <w:bCs/>
          <w:sz w:val="20"/>
          <w:szCs w:val="20"/>
        </w:rPr>
        <w:t>Los Ingresos excedentes derivados de Ingresos de libre disposición podrán destinarse a los rubros mencionados en el presente artículo, sin limitación alguna, siempre y cuando la Entidad Federativa se clasifique en un nivel de endeudamiento sostenible de acuerdo al Sistema de Alertas.</w:t>
      </w:r>
    </w:p>
    <w:p w14:paraId="48AFB7D0" w14:textId="77777777" w:rsidR="00DC35B7" w:rsidRPr="00DC35B7" w:rsidRDefault="00DC35B7" w:rsidP="00DC35B7">
      <w:pPr>
        <w:spacing w:line="360" w:lineRule="auto"/>
        <w:jc w:val="both"/>
        <w:rPr>
          <w:bCs/>
          <w:sz w:val="20"/>
          <w:szCs w:val="20"/>
        </w:rPr>
      </w:pPr>
    </w:p>
    <w:p w14:paraId="182B8F3D" w14:textId="77777777" w:rsidR="00DC35B7" w:rsidRPr="00DC35B7" w:rsidRDefault="00DC35B7" w:rsidP="00DC35B7">
      <w:pPr>
        <w:spacing w:line="360" w:lineRule="auto"/>
        <w:jc w:val="both"/>
        <w:rPr>
          <w:bCs/>
          <w:sz w:val="20"/>
          <w:szCs w:val="20"/>
        </w:rPr>
      </w:pPr>
      <w:r w:rsidRPr="00DC35B7">
        <w:rPr>
          <w:bCs/>
          <w:sz w:val="20"/>
          <w:szCs w:val="20"/>
        </w:rPr>
        <w:t>Cuando la Entidad Federativa se clasifique en un nivel de endeudamiento sostenible de acuerdo al Sistema de Alertas, podrá utilizar hasta un 5 por ciento de los recursos a los que se refiere el presente artículo para cubrir Gasto corriente.</w:t>
      </w:r>
    </w:p>
    <w:p w14:paraId="5A22E77B" w14:textId="77777777" w:rsidR="00DC35B7" w:rsidRPr="00DC35B7" w:rsidRDefault="00DC35B7" w:rsidP="00DC35B7">
      <w:pPr>
        <w:spacing w:line="360" w:lineRule="auto"/>
        <w:jc w:val="both"/>
        <w:rPr>
          <w:bCs/>
          <w:sz w:val="20"/>
          <w:szCs w:val="20"/>
        </w:rPr>
      </w:pPr>
    </w:p>
    <w:p w14:paraId="08174F1A" w14:textId="77777777" w:rsidR="00DC35B7" w:rsidRPr="00DC35B7" w:rsidRDefault="00DC35B7" w:rsidP="00DC35B7">
      <w:pPr>
        <w:spacing w:line="360" w:lineRule="auto"/>
        <w:jc w:val="both"/>
        <w:rPr>
          <w:bCs/>
          <w:sz w:val="20"/>
          <w:szCs w:val="20"/>
        </w:rPr>
      </w:pPr>
      <w:r w:rsidRPr="00DC35B7">
        <w:rPr>
          <w:bCs/>
          <w:sz w:val="20"/>
          <w:szCs w:val="20"/>
        </w:rPr>
        <w:lastRenderedPageBreak/>
        <w:t>Tratándose de Ingresos de libre disposición que se encuentren destinados a un fin específico en términos de las disposiciones legales, no resultarán aplicables las disposiciones establecidas en el presente artículo.</w:t>
      </w:r>
    </w:p>
    <w:p w14:paraId="01423DC4" w14:textId="77777777" w:rsidR="00DC35B7" w:rsidRPr="00DC35B7" w:rsidRDefault="00DC35B7" w:rsidP="00DC35B7">
      <w:pPr>
        <w:spacing w:line="360" w:lineRule="auto"/>
        <w:jc w:val="both"/>
        <w:rPr>
          <w:sz w:val="20"/>
          <w:szCs w:val="20"/>
        </w:rPr>
      </w:pPr>
    </w:p>
    <w:p w14:paraId="654826D9" w14:textId="77777777" w:rsidR="00DC35B7" w:rsidRPr="00DC35B7" w:rsidRDefault="00DC35B7" w:rsidP="00DC35B7">
      <w:pPr>
        <w:spacing w:line="360" w:lineRule="auto"/>
        <w:jc w:val="both"/>
        <w:rPr>
          <w:sz w:val="20"/>
          <w:szCs w:val="20"/>
        </w:rPr>
      </w:pPr>
      <w:r w:rsidRPr="00DC35B7">
        <w:rPr>
          <w:b/>
          <w:bCs/>
          <w:sz w:val="20"/>
          <w:szCs w:val="20"/>
        </w:rPr>
        <w:t xml:space="preserve">ARTÍCULO 4. </w:t>
      </w:r>
      <w:r w:rsidRPr="00DC35B7">
        <w:rPr>
          <w:sz w:val="20"/>
          <w:szCs w:val="20"/>
        </w:rPr>
        <w:t>Los ingresos provenientes de participaciones e incentivos económicos, convenios, fondos de aportaciones federales, así como de otras transferencias federales que le correspondan al Estado, se percibirán de conformidad con los ordenamientos legales que los establezcan y los convenios que en su caso se celebren.</w:t>
      </w:r>
    </w:p>
    <w:p w14:paraId="1C0737D7" w14:textId="77777777" w:rsidR="00DC35B7" w:rsidRPr="00DC35B7" w:rsidRDefault="00DC35B7" w:rsidP="00DC35B7">
      <w:pPr>
        <w:spacing w:line="360" w:lineRule="auto"/>
        <w:jc w:val="both"/>
        <w:rPr>
          <w:sz w:val="20"/>
          <w:szCs w:val="20"/>
        </w:rPr>
      </w:pPr>
    </w:p>
    <w:p w14:paraId="5BF5EC59" w14:textId="77777777" w:rsidR="00DC35B7" w:rsidRPr="00DC35B7" w:rsidRDefault="00DC35B7" w:rsidP="00DC35B7">
      <w:pPr>
        <w:spacing w:line="360" w:lineRule="auto"/>
        <w:jc w:val="both"/>
        <w:rPr>
          <w:sz w:val="20"/>
          <w:szCs w:val="20"/>
        </w:rPr>
      </w:pPr>
      <w:r w:rsidRPr="00DC35B7">
        <w:rPr>
          <w:b/>
          <w:bCs/>
          <w:sz w:val="20"/>
          <w:szCs w:val="20"/>
        </w:rPr>
        <w:t>ARTÍCULO 5.</w:t>
      </w:r>
      <w:r w:rsidRPr="00DC35B7">
        <w:rPr>
          <w:bCs/>
          <w:sz w:val="20"/>
          <w:szCs w:val="20"/>
        </w:rPr>
        <w:t xml:space="preserve"> </w:t>
      </w:r>
      <w:r w:rsidRPr="00DC35B7">
        <w:rPr>
          <w:sz w:val="20"/>
          <w:szCs w:val="20"/>
        </w:rPr>
        <w:t>Las contribuciones establecidas en esta Ley podrán modificarse e incorporarse de manera automática, cuando el Ejecutivo del Estado así lo convenga con el Gobierno Federal, en el marco del Sistema Nacional de Coordinación Fiscal o derivado del otorgamiento de facultades que las disposiciones legales federales establezcan, con el propósito de que el Estado obtenga mayores participaciones, aportaciones u otros ingresos de origen federal.</w:t>
      </w:r>
    </w:p>
    <w:p w14:paraId="047909D9" w14:textId="77777777" w:rsidR="00DC35B7" w:rsidRPr="00DC35B7" w:rsidRDefault="00DC35B7" w:rsidP="00DC35B7">
      <w:pPr>
        <w:spacing w:line="360" w:lineRule="auto"/>
        <w:jc w:val="both"/>
        <w:rPr>
          <w:sz w:val="20"/>
          <w:szCs w:val="20"/>
        </w:rPr>
      </w:pPr>
    </w:p>
    <w:p w14:paraId="327B7272" w14:textId="77777777" w:rsidR="00DC35B7" w:rsidRPr="00DC35B7" w:rsidRDefault="00DC35B7" w:rsidP="00DC35B7">
      <w:pPr>
        <w:spacing w:line="360" w:lineRule="auto"/>
        <w:jc w:val="both"/>
        <w:rPr>
          <w:sz w:val="20"/>
          <w:szCs w:val="20"/>
        </w:rPr>
      </w:pPr>
      <w:r w:rsidRPr="00DC35B7">
        <w:rPr>
          <w:b/>
          <w:sz w:val="20"/>
          <w:szCs w:val="20"/>
        </w:rPr>
        <w:t>ARTÍCULO 6.</w:t>
      </w:r>
      <w:r w:rsidRPr="00DC35B7">
        <w:rPr>
          <w:sz w:val="20"/>
          <w:szCs w:val="20"/>
        </w:rPr>
        <w:t xml:space="preserve"> Todos los ingresos que tenga derecho a percibir el Estado, aun cuando se les denomine como cuotas o donativos en favor de las Dependencias, Órganos Desconcentrados y Entidades del Gobierno del Estado, serán recaudados y administrados por la Secretaría de Finanzas, quien en el ámbito de su competencia destinará los mismos a los fines previstos en el Presupuesto de Egresos del Estado de Tlaxcala para el Ejercicio Fiscal 2023, a los convenios suscritos por estos y a la normatividad aplicable, hasta por el monto mensual autorizado por la Secretaría de Finanzas.</w:t>
      </w:r>
    </w:p>
    <w:p w14:paraId="44E24420" w14:textId="77777777" w:rsidR="00DC35B7" w:rsidRPr="00DC35B7" w:rsidRDefault="00DC35B7" w:rsidP="00DC35B7">
      <w:pPr>
        <w:spacing w:line="360" w:lineRule="auto"/>
        <w:jc w:val="both"/>
        <w:rPr>
          <w:sz w:val="20"/>
          <w:szCs w:val="20"/>
        </w:rPr>
      </w:pPr>
    </w:p>
    <w:p w14:paraId="375C48C2" w14:textId="77777777" w:rsidR="00DC35B7" w:rsidRPr="00DC35B7" w:rsidRDefault="00DC35B7" w:rsidP="00DC35B7">
      <w:pPr>
        <w:spacing w:line="360" w:lineRule="auto"/>
        <w:jc w:val="both"/>
        <w:rPr>
          <w:sz w:val="20"/>
          <w:szCs w:val="20"/>
        </w:rPr>
      </w:pPr>
      <w:r w:rsidRPr="00DC35B7">
        <w:rPr>
          <w:sz w:val="20"/>
          <w:szCs w:val="20"/>
        </w:rPr>
        <w:t>La aplicación de estos recursos deberá ser informada al Congreso del Estado, a través de la Cuenta Pública del Ente Público correspondiente.</w:t>
      </w:r>
    </w:p>
    <w:p w14:paraId="6A5FF8BD" w14:textId="77777777" w:rsidR="00DC35B7" w:rsidRPr="00DC35B7" w:rsidRDefault="00DC35B7" w:rsidP="00DC35B7">
      <w:pPr>
        <w:spacing w:line="360" w:lineRule="auto"/>
        <w:jc w:val="both"/>
        <w:rPr>
          <w:sz w:val="20"/>
          <w:szCs w:val="20"/>
        </w:rPr>
      </w:pPr>
    </w:p>
    <w:p w14:paraId="7ED668B0" w14:textId="77777777" w:rsidR="00DC35B7" w:rsidRPr="00DC35B7" w:rsidRDefault="00DC35B7" w:rsidP="00DC35B7">
      <w:pPr>
        <w:spacing w:line="360" w:lineRule="auto"/>
        <w:jc w:val="both"/>
        <w:rPr>
          <w:sz w:val="20"/>
          <w:szCs w:val="20"/>
        </w:rPr>
      </w:pPr>
      <w:r w:rsidRPr="00DC35B7">
        <w:rPr>
          <w:sz w:val="20"/>
          <w:szCs w:val="20"/>
        </w:rPr>
        <w:t>Asimismo, los catálogos de conceptos y costos de las cuotas o donativos que generen las Entidades del Gobierno del Estado, una vez aprobados por su órgano de gobierno en el ejercicio 2023, utilizando preferentemente como unidad de cuenta, índice, base, medida o referencia, la Unidad de Medida y Actualización (UMA) deberán publicarse en el Periódico Oficial del Gobierno del Estado, a más tardar el último día hábil del mes de enero de 2023. De igual manera deberán entregar en el mismo plazo dichos catálogos de conceptos a la Dirección de Ingresos y Fiscalización para su inclusión en el Sistema Integral de Ingresos de la Secretaría de Finanzas.</w:t>
      </w:r>
    </w:p>
    <w:p w14:paraId="027B15B6" w14:textId="77777777" w:rsidR="00DC35B7" w:rsidRPr="00DC35B7" w:rsidRDefault="00DC35B7" w:rsidP="00DC35B7">
      <w:pPr>
        <w:spacing w:line="360" w:lineRule="auto"/>
        <w:jc w:val="both"/>
        <w:rPr>
          <w:sz w:val="20"/>
          <w:szCs w:val="20"/>
        </w:rPr>
      </w:pPr>
    </w:p>
    <w:p w14:paraId="46FC9EA4" w14:textId="77777777" w:rsidR="00DC35B7" w:rsidRPr="00DC35B7" w:rsidRDefault="00DC35B7" w:rsidP="00DC35B7">
      <w:pPr>
        <w:spacing w:line="360" w:lineRule="auto"/>
        <w:jc w:val="both"/>
        <w:rPr>
          <w:sz w:val="20"/>
          <w:szCs w:val="20"/>
        </w:rPr>
      </w:pPr>
      <w:r w:rsidRPr="00DC35B7">
        <w:rPr>
          <w:sz w:val="20"/>
          <w:szCs w:val="20"/>
        </w:rPr>
        <w:t xml:space="preserve">Los ingresos percibidos, independientemente de la denominación que reciban, deberán concentrarse y registrarse en cuentas bancarias productivas y específicas de la Secretaría de Finanzas, en las que se depositarán los recursos estatales, así como los asignados, transferidos y/o subsidiados por la Federación; para tal efecto, ésta deberá de expedir el Comprobante Fiscal Digital por Internet (CFDI o Factura Electrónica) por los ingresos percibidos durante el ejercicio fiscal de 2023. </w:t>
      </w:r>
    </w:p>
    <w:p w14:paraId="645EC3E8" w14:textId="77777777" w:rsidR="00DC35B7" w:rsidRPr="00DC35B7" w:rsidRDefault="00DC35B7" w:rsidP="00DC35B7">
      <w:pPr>
        <w:spacing w:line="360" w:lineRule="auto"/>
        <w:jc w:val="both"/>
        <w:rPr>
          <w:sz w:val="20"/>
          <w:szCs w:val="20"/>
        </w:rPr>
      </w:pPr>
    </w:p>
    <w:p w14:paraId="228E9352" w14:textId="77777777" w:rsidR="00DC35B7" w:rsidRPr="00DC35B7" w:rsidRDefault="00DC35B7" w:rsidP="00DC35B7">
      <w:pPr>
        <w:spacing w:line="360" w:lineRule="auto"/>
        <w:jc w:val="both"/>
        <w:rPr>
          <w:sz w:val="20"/>
          <w:szCs w:val="20"/>
        </w:rPr>
      </w:pPr>
      <w:r w:rsidRPr="00DC35B7">
        <w:rPr>
          <w:sz w:val="20"/>
          <w:szCs w:val="20"/>
        </w:rPr>
        <w:t>Los recursos federales que tenga derecho a percibir el Estado, y que ingresen a la hacienda pública estatal, así como los rendimientos financieros que se deriven de éstos, se manejarán en cuentas bancarias productivas específicas y no podrán incorporarse recursos estatales a los mismos.</w:t>
      </w:r>
    </w:p>
    <w:p w14:paraId="52B663D0" w14:textId="77777777" w:rsidR="00DC35B7" w:rsidRPr="00DC35B7" w:rsidRDefault="00DC35B7" w:rsidP="00DC35B7">
      <w:pPr>
        <w:spacing w:line="360" w:lineRule="auto"/>
        <w:jc w:val="both"/>
        <w:rPr>
          <w:b/>
          <w:bCs/>
          <w:sz w:val="20"/>
          <w:szCs w:val="20"/>
        </w:rPr>
      </w:pPr>
    </w:p>
    <w:p w14:paraId="3A201727" w14:textId="77777777" w:rsidR="00DC35B7" w:rsidRPr="00DC35B7" w:rsidRDefault="00DC35B7" w:rsidP="00DC35B7">
      <w:pPr>
        <w:spacing w:line="360" w:lineRule="auto"/>
        <w:jc w:val="both"/>
        <w:rPr>
          <w:sz w:val="20"/>
          <w:szCs w:val="20"/>
        </w:rPr>
      </w:pPr>
      <w:r w:rsidRPr="00DC35B7">
        <w:rPr>
          <w:b/>
          <w:bCs/>
          <w:sz w:val="20"/>
          <w:szCs w:val="20"/>
        </w:rPr>
        <w:t>ARTÍCULO 7</w:t>
      </w:r>
      <w:r w:rsidRPr="00DC35B7">
        <w:rPr>
          <w:b/>
          <w:sz w:val="20"/>
          <w:szCs w:val="20"/>
        </w:rPr>
        <w:t>.</w:t>
      </w:r>
      <w:r w:rsidRPr="00DC35B7">
        <w:rPr>
          <w:sz w:val="20"/>
          <w:szCs w:val="20"/>
        </w:rPr>
        <w:t xml:space="preserve"> Los ingresos derivados de los contribuyentes que tributan conforme a lo establecido en los artículos 126 y 127 de la Ley del Impuesto sobre la Renta, relativos a las operaciones de enajenación de bienes inmuebles; del Impuesto Especial Sobre Producción y Servicios a la Venta Final de Gasolinas y Diésel; de la Ley del Impuesto Sobre Automóviles Nuevos establecido en los artículos 4, 12 y 14; así como de los actos de fiscalización por impuestos federales coordinados y de acciones en materia de comercio exterior, se determinarán, recaudarán y administrarán de conformidad con lo establecido en el Convenio de Colaboración Administrativa en Materia Fiscal Federal y sus Anexos 5, 8 y 13 así como en los ordenamientos legales que emita con posterioridad la Secretaría de Hacienda y Crédito Público.</w:t>
      </w:r>
    </w:p>
    <w:p w14:paraId="7C24FEEB" w14:textId="77777777" w:rsidR="00DC35B7" w:rsidRPr="00DC35B7" w:rsidRDefault="00DC35B7" w:rsidP="00DC35B7">
      <w:pPr>
        <w:spacing w:line="360" w:lineRule="auto"/>
        <w:jc w:val="both"/>
        <w:rPr>
          <w:sz w:val="20"/>
          <w:szCs w:val="20"/>
        </w:rPr>
      </w:pPr>
    </w:p>
    <w:p w14:paraId="32546FB6" w14:textId="77777777" w:rsidR="00DC35B7" w:rsidRPr="00DC35B7" w:rsidRDefault="00DC35B7" w:rsidP="00DC35B7">
      <w:pPr>
        <w:spacing w:line="360" w:lineRule="auto"/>
        <w:jc w:val="both"/>
        <w:rPr>
          <w:sz w:val="20"/>
          <w:szCs w:val="20"/>
        </w:rPr>
      </w:pPr>
      <w:r w:rsidRPr="00DC35B7">
        <w:rPr>
          <w:b/>
          <w:bCs/>
          <w:sz w:val="20"/>
          <w:szCs w:val="20"/>
        </w:rPr>
        <w:t>ARTÍCULO 8.</w:t>
      </w:r>
      <w:r w:rsidRPr="00DC35B7">
        <w:rPr>
          <w:sz w:val="20"/>
          <w:szCs w:val="20"/>
        </w:rPr>
        <w:t xml:space="preserve"> El pago extemporáneo de contribuciones dará lugar al cobro de recargos, a razón del 1.13 </w:t>
      </w:r>
      <w:r w:rsidRPr="00DC35B7">
        <w:rPr>
          <w:bCs/>
          <w:sz w:val="20"/>
          <w:szCs w:val="20"/>
        </w:rPr>
        <w:t>por ciento</w:t>
      </w:r>
      <w:r w:rsidRPr="00DC35B7">
        <w:rPr>
          <w:sz w:val="20"/>
          <w:szCs w:val="20"/>
        </w:rPr>
        <w:t xml:space="preserve"> mensual sobre el monto total de las mismas actualizadas, por cada mes o fracción que transcurra sin que se efectúe el pago.</w:t>
      </w:r>
    </w:p>
    <w:p w14:paraId="6C4E7A26" w14:textId="77777777" w:rsidR="00DC35B7" w:rsidRPr="00DC35B7" w:rsidRDefault="00DC35B7" w:rsidP="00DC35B7">
      <w:pPr>
        <w:spacing w:line="360" w:lineRule="auto"/>
        <w:jc w:val="both"/>
        <w:rPr>
          <w:sz w:val="20"/>
          <w:szCs w:val="20"/>
        </w:rPr>
      </w:pPr>
      <w:r w:rsidRPr="00DC35B7">
        <w:rPr>
          <w:b/>
          <w:bCs/>
          <w:sz w:val="20"/>
          <w:szCs w:val="20"/>
        </w:rPr>
        <w:t>ARTÍCULO 9.</w:t>
      </w:r>
      <w:r w:rsidRPr="00DC35B7">
        <w:rPr>
          <w:sz w:val="20"/>
          <w:szCs w:val="20"/>
        </w:rPr>
        <w:t xml:space="preserve"> Cuando se concedan pagos en parcialidades o diferidos para el pago de créditos fiscales conforme a lo dispuesto en el Código Financiero para el Estado de Tlaxcala y sus Municipios, se causarán recargos sobre saldos insolutos a razón del 1.0 </w:t>
      </w:r>
      <w:r w:rsidRPr="00DC35B7">
        <w:rPr>
          <w:bCs/>
          <w:sz w:val="20"/>
          <w:szCs w:val="20"/>
        </w:rPr>
        <w:t>por ciento</w:t>
      </w:r>
      <w:r w:rsidRPr="00DC35B7">
        <w:rPr>
          <w:sz w:val="20"/>
          <w:szCs w:val="20"/>
        </w:rPr>
        <w:t xml:space="preserve"> mensual.</w:t>
      </w:r>
    </w:p>
    <w:p w14:paraId="19B0E643" w14:textId="77777777" w:rsidR="00DC35B7" w:rsidRPr="00DC35B7" w:rsidRDefault="00DC35B7" w:rsidP="00DC35B7">
      <w:pPr>
        <w:spacing w:line="360" w:lineRule="auto"/>
        <w:jc w:val="both"/>
        <w:rPr>
          <w:sz w:val="20"/>
          <w:szCs w:val="20"/>
        </w:rPr>
      </w:pPr>
    </w:p>
    <w:p w14:paraId="327E65E4" w14:textId="77777777" w:rsidR="00DC35B7" w:rsidRPr="00DC35B7" w:rsidRDefault="00DC35B7" w:rsidP="00DC35B7">
      <w:pPr>
        <w:spacing w:line="360" w:lineRule="auto"/>
        <w:jc w:val="both"/>
        <w:rPr>
          <w:sz w:val="20"/>
          <w:szCs w:val="20"/>
        </w:rPr>
      </w:pPr>
      <w:r w:rsidRPr="00DC35B7">
        <w:rPr>
          <w:b/>
          <w:bCs/>
          <w:sz w:val="20"/>
          <w:szCs w:val="20"/>
        </w:rPr>
        <w:t>ARTÍCULO 10.</w:t>
      </w:r>
      <w:r w:rsidRPr="00DC35B7">
        <w:rPr>
          <w:sz w:val="20"/>
          <w:szCs w:val="20"/>
        </w:rPr>
        <w:t xml:space="preserve"> El factor de actualización para las contribuciones estatales para el ejercicio fiscal 2023, será el que se determine de conformidad con lo establecido en el artículo 26-A del Código Financiero para el Estado de Tlaxcala y sus Municipios.</w:t>
      </w:r>
    </w:p>
    <w:p w14:paraId="3617B598" w14:textId="77777777" w:rsidR="00DC35B7" w:rsidRPr="00DC35B7" w:rsidRDefault="00DC35B7" w:rsidP="00DC35B7">
      <w:pPr>
        <w:spacing w:line="360" w:lineRule="auto"/>
        <w:jc w:val="both"/>
        <w:rPr>
          <w:sz w:val="20"/>
          <w:szCs w:val="20"/>
        </w:rPr>
      </w:pPr>
    </w:p>
    <w:p w14:paraId="469E52EC" w14:textId="77777777" w:rsidR="00DC35B7" w:rsidRPr="00DC35B7" w:rsidRDefault="00DC35B7" w:rsidP="00DC35B7">
      <w:pPr>
        <w:spacing w:line="360" w:lineRule="auto"/>
        <w:jc w:val="both"/>
        <w:rPr>
          <w:sz w:val="20"/>
          <w:szCs w:val="20"/>
        </w:rPr>
      </w:pPr>
      <w:r w:rsidRPr="00DC35B7">
        <w:rPr>
          <w:b/>
          <w:bCs/>
          <w:sz w:val="20"/>
          <w:szCs w:val="20"/>
        </w:rPr>
        <w:lastRenderedPageBreak/>
        <w:t>ARTÍCULO 11.</w:t>
      </w:r>
      <w:r w:rsidRPr="00DC35B7">
        <w:rPr>
          <w:sz w:val="20"/>
          <w:szCs w:val="20"/>
        </w:rPr>
        <w:t xml:space="preserve"> La Secretaría de Finanzas, a través de sus oficinas recaudadoras, instituciones autorizadas y de medios electrónicos, recaudarán los ingresos generados por facultades delegadas a través del Convenio de Colaboración Administrativa en Materia Fiscal Federal y sus Anexos.</w:t>
      </w:r>
    </w:p>
    <w:p w14:paraId="42E0053F" w14:textId="77777777" w:rsidR="00DC35B7" w:rsidRPr="00DC35B7" w:rsidRDefault="00DC35B7" w:rsidP="00DC35B7">
      <w:pPr>
        <w:spacing w:line="360" w:lineRule="auto"/>
        <w:jc w:val="both"/>
        <w:rPr>
          <w:sz w:val="20"/>
          <w:szCs w:val="20"/>
        </w:rPr>
      </w:pPr>
    </w:p>
    <w:p w14:paraId="27360FBD" w14:textId="77777777" w:rsidR="00DC35B7" w:rsidRPr="00DC35B7" w:rsidRDefault="00DC35B7" w:rsidP="00DC35B7">
      <w:pPr>
        <w:spacing w:line="360" w:lineRule="auto"/>
        <w:jc w:val="both"/>
        <w:rPr>
          <w:sz w:val="20"/>
          <w:szCs w:val="20"/>
        </w:rPr>
      </w:pPr>
      <w:r w:rsidRPr="00DC35B7">
        <w:rPr>
          <w:b/>
          <w:bCs/>
          <w:sz w:val="20"/>
          <w:szCs w:val="20"/>
        </w:rPr>
        <w:t>ARTÍCULO 12.</w:t>
      </w:r>
      <w:r w:rsidRPr="00DC35B7">
        <w:rPr>
          <w:sz w:val="20"/>
          <w:szCs w:val="20"/>
        </w:rPr>
        <w:t xml:space="preserve"> Las multas impuestas como sanción económica, así como, lo correspondiente a la conmutación de las penas de prisión otorgadas por el Ejecutivo Estatal o por la autoridad judicial, se recaudarán a través de la Secretaría de Finanzas, de acuerdo con las disposiciones y ordenamientos legales en la materia. </w:t>
      </w:r>
    </w:p>
    <w:p w14:paraId="600694EF" w14:textId="77777777" w:rsidR="00DC35B7" w:rsidRPr="00DC35B7" w:rsidRDefault="00DC35B7" w:rsidP="00DC35B7">
      <w:pPr>
        <w:spacing w:line="360" w:lineRule="auto"/>
        <w:jc w:val="both"/>
        <w:rPr>
          <w:sz w:val="20"/>
          <w:szCs w:val="20"/>
        </w:rPr>
      </w:pPr>
    </w:p>
    <w:p w14:paraId="778C7567" w14:textId="77777777" w:rsidR="00DC35B7" w:rsidRPr="00DC35B7" w:rsidRDefault="00DC35B7" w:rsidP="00DC35B7">
      <w:pPr>
        <w:spacing w:line="360" w:lineRule="auto"/>
        <w:jc w:val="both"/>
        <w:rPr>
          <w:sz w:val="20"/>
          <w:szCs w:val="20"/>
        </w:rPr>
      </w:pPr>
      <w:r w:rsidRPr="00DC35B7">
        <w:rPr>
          <w:sz w:val="20"/>
          <w:szCs w:val="20"/>
        </w:rPr>
        <w:t>Asimismo, las fianzas y garantías derivadas de la aplicación de las leyes por el Poder Judicial del Estado, serán depositadas ante dicha Secretaría de Finanzas. La inobservancia a esta disposición será motivo de responsabilidad penal y/o administrativa, por los daños que pudiesen causarse a la Hacienda Pública Estatal.</w:t>
      </w:r>
    </w:p>
    <w:p w14:paraId="6280F5CA" w14:textId="77777777" w:rsidR="00DC35B7" w:rsidRPr="00DC35B7" w:rsidRDefault="00DC35B7" w:rsidP="00DC35B7">
      <w:pPr>
        <w:spacing w:line="360" w:lineRule="auto"/>
        <w:jc w:val="both"/>
        <w:rPr>
          <w:sz w:val="20"/>
          <w:szCs w:val="20"/>
        </w:rPr>
      </w:pPr>
    </w:p>
    <w:p w14:paraId="08622C84" w14:textId="77777777" w:rsidR="00DC35B7" w:rsidRPr="00DC35B7" w:rsidRDefault="00DC35B7" w:rsidP="00DC35B7">
      <w:pPr>
        <w:spacing w:line="360" w:lineRule="auto"/>
        <w:jc w:val="both"/>
        <w:rPr>
          <w:sz w:val="20"/>
          <w:szCs w:val="20"/>
        </w:rPr>
      </w:pPr>
      <w:r w:rsidRPr="00DC35B7">
        <w:rPr>
          <w:b/>
          <w:bCs/>
          <w:sz w:val="20"/>
          <w:szCs w:val="20"/>
        </w:rPr>
        <w:t>ARTÍCULO 13.</w:t>
      </w:r>
      <w:r w:rsidRPr="00DC35B7">
        <w:rPr>
          <w:sz w:val="20"/>
          <w:szCs w:val="20"/>
        </w:rPr>
        <w:t xml:space="preserve"> Los poderes del Estado, Municipios y los Organismos Públicos Descentralizados y Autónomos, son sujetos del Impuesto Sobre Nóminas, de conformidad con las disposiciones establecidas en el Código Financiero para el Estado de Tlaxcala y sus Municipios.</w:t>
      </w:r>
    </w:p>
    <w:p w14:paraId="3952672C" w14:textId="77777777" w:rsidR="00DC35B7" w:rsidRPr="00DC35B7" w:rsidRDefault="00DC35B7" w:rsidP="00DC35B7">
      <w:pPr>
        <w:spacing w:line="360" w:lineRule="auto"/>
        <w:jc w:val="both"/>
        <w:rPr>
          <w:sz w:val="20"/>
          <w:szCs w:val="20"/>
        </w:rPr>
      </w:pPr>
    </w:p>
    <w:p w14:paraId="294CC4B3" w14:textId="77777777" w:rsidR="00DC35B7" w:rsidRPr="00DC35B7" w:rsidRDefault="00DC35B7" w:rsidP="00DC35B7">
      <w:pPr>
        <w:spacing w:line="360" w:lineRule="auto"/>
        <w:jc w:val="both"/>
        <w:rPr>
          <w:sz w:val="20"/>
          <w:szCs w:val="20"/>
        </w:rPr>
      </w:pPr>
      <w:r w:rsidRPr="00DC35B7">
        <w:rPr>
          <w:b/>
          <w:bCs/>
          <w:sz w:val="20"/>
          <w:szCs w:val="20"/>
        </w:rPr>
        <w:t xml:space="preserve">ARTÍCULO 14. </w:t>
      </w:r>
      <w:r w:rsidRPr="00DC35B7">
        <w:rPr>
          <w:sz w:val="20"/>
          <w:szCs w:val="20"/>
        </w:rPr>
        <w:t xml:space="preserve">El Ejecutivo del Estado podrá celebrar convenios de colaboración administrativa con los Municipios, en materia del Impuesto Predial; derechos del Registro del Estado Civil de las Personas y expedición de Licencias o refrendo para el funcionamiento de establecimientos o locales cuyos giros sean la enajenación de bebidas alcohólicas, o la prestación de servicios que incluyan el expendio de dichas bebidas; señalados de conformidad con el Código Financiero para el Estado de Tlaxcala y sus Municipios, el incumplimiento a los convenios celebrados será sancionado con multas que van desde 30 hasta 100 Unidades de Medida y Actualización por cada mes incumplido, así como de la cancelación de los convenios celebrados. </w:t>
      </w:r>
    </w:p>
    <w:p w14:paraId="0122C5F9" w14:textId="77777777" w:rsidR="00DC35B7" w:rsidRPr="00DC35B7" w:rsidRDefault="00DC35B7" w:rsidP="00DC35B7">
      <w:pPr>
        <w:spacing w:line="360" w:lineRule="auto"/>
        <w:jc w:val="center"/>
        <w:rPr>
          <w:b/>
          <w:sz w:val="20"/>
          <w:szCs w:val="20"/>
        </w:rPr>
      </w:pPr>
    </w:p>
    <w:p w14:paraId="2E1184C0" w14:textId="77777777" w:rsidR="00DC35B7" w:rsidRPr="00DC35B7" w:rsidRDefault="00DC35B7" w:rsidP="00DC35B7">
      <w:pPr>
        <w:spacing w:line="360" w:lineRule="auto"/>
        <w:jc w:val="center"/>
        <w:rPr>
          <w:b/>
          <w:sz w:val="20"/>
          <w:szCs w:val="20"/>
        </w:rPr>
      </w:pPr>
      <w:r w:rsidRPr="00DC35B7">
        <w:rPr>
          <w:b/>
          <w:sz w:val="20"/>
          <w:szCs w:val="20"/>
        </w:rPr>
        <w:t>CAPÍTULO II</w:t>
      </w:r>
    </w:p>
    <w:p w14:paraId="711E826E" w14:textId="77777777" w:rsidR="00DC35B7" w:rsidRPr="00DC35B7" w:rsidRDefault="00DC35B7" w:rsidP="00DC35B7">
      <w:pPr>
        <w:spacing w:line="360" w:lineRule="auto"/>
        <w:jc w:val="center"/>
        <w:rPr>
          <w:b/>
          <w:sz w:val="20"/>
          <w:szCs w:val="20"/>
        </w:rPr>
      </w:pPr>
      <w:r w:rsidRPr="00DC35B7">
        <w:rPr>
          <w:b/>
          <w:sz w:val="20"/>
          <w:szCs w:val="20"/>
        </w:rPr>
        <w:t>DE LOS BENEFICIOS FISCALES</w:t>
      </w:r>
    </w:p>
    <w:p w14:paraId="3A7EA2A5" w14:textId="77777777" w:rsidR="00DC35B7" w:rsidRPr="00DC35B7" w:rsidRDefault="00DC35B7" w:rsidP="00DC35B7">
      <w:pPr>
        <w:spacing w:line="360" w:lineRule="auto"/>
        <w:jc w:val="center"/>
        <w:rPr>
          <w:b/>
          <w:sz w:val="20"/>
          <w:szCs w:val="20"/>
        </w:rPr>
      </w:pPr>
    </w:p>
    <w:p w14:paraId="27326CBC" w14:textId="77777777" w:rsidR="00DC35B7" w:rsidRPr="00DC35B7" w:rsidRDefault="00DC35B7" w:rsidP="00DC35B7">
      <w:pPr>
        <w:spacing w:line="360" w:lineRule="auto"/>
        <w:jc w:val="center"/>
        <w:rPr>
          <w:b/>
          <w:sz w:val="20"/>
          <w:szCs w:val="20"/>
        </w:rPr>
      </w:pPr>
      <w:r w:rsidRPr="00DC35B7">
        <w:rPr>
          <w:b/>
          <w:sz w:val="20"/>
          <w:szCs w:val="20"/>
        </w:rPr>
        <w:t>Sección I</w:t>
      </w:r>
    </w:p>
    <w:p w14:paraId="54822523" w14:textId="77777777" w:rsidR="00DC35B7" w:rsidRPr="00DC35B7" w:rsidRDefault="00DC35B7" w:rsidP="00DC35B7">
      <w:pPr>
        <w:spacing w:line="360" w:lineRule="auto"/>
        <w:jc w:val="center"/>
        <w:rPr>
          <w:b/>
          <w:sz w:val="20"/>
          <w:szCs w:val="20"/>
        </w:rPr>
      </w:pPr>
      <w:r w:rsidRPr="00DC35B7">
        <w:rPr>
          <w:b/>
          <w:sz w:val="20"/>
          <w:szCs w:val="20"/>
        </w:rPr>
        <w:t>Certificados de Promoción Fiscal</w:t>
      </w:r>
    </w:p>
    <w:p w14:paraId="1FD79C70" w14:textId="77777777" w:rsidR="00DC35B7" w:rsidRPr="00DC35B7" w:rsidRDefault="00DC35B7" w:rsidP="00DC35B7">
      <w:pPr>
        <w:spacing w:line="360" w:lineRule="auto"/>
        <w:jc w:val="both"/>
        <w:rPr>
          <w:b/>
          <w:sz w:val="20"/>
          <w:szCs w:val="20"/>
        </w:rPr>
      </w:pPr>
    </w:p>
    <w:p w14:paraId="2D993DAB" w14:textId="77777777" w:rsidR="00DC35B7" w:rsidRPr="00DC35B7" w:rsidRDefault="00DC35B7" w:rsidP="00DC35B7">
      <w:pPr>
        <w:spacing w:line="360" w:lineRule="auto"/>
        <w:jc w:val="both"/>
        <w:rPr>
          <w:sz w:val="20"/>
          <w:szCs w:val="20"/>
        </w:rPr>
      </w:pPr>
      <w:r w:rsidRPr="00DC35B7">
        <w:rPr>
          <w:b/>
          <w:sz w:val="20"/>
          <w:szCs w:val="20"/>
        </w:rPr>
        <w:t>ARTÍCULO 15.</w:t>
      </w:r>
      <w:r w:rsidRPr="00DC35B7">
        <w:rPr>
          <w:sz w:val="20"/>
          <w:szCs w:val="20"/>
        </w:rPr>
        <w:t xml:space="preserve"> La presente Sección tiene como objeto otorgar exenciones e incentivos fiscales para coadyuvar en el desarrollo económico del Estado, mediante la expedición de Certificados de Promoción Fiscal a los que se refiere el artículo 33 de la Ley de Fomento Económico del Estado de Tlaxcala, a los contribuyentes del sector privado, sujetos del Impuesto Sobre Nóminas establecido en el Título IV, Capítulo VII, del Código Financiero para el Estado de Tlaxcala y sus Municipios, que tengan su domicilio de manera permanente en el Estado y que cumplan en tiempo y forma con sus obligaciones fiscales.</w:t>
      </w:r>
    </w:p>
    <w:p w14:paraId="6ADF9FD0" w14:textId="77777777" w:rsidR="00DC35B7" w:rsidRPr="00DC35B7" w:rsidRDefault="00DC35B7" w:rsidP="00DC35B7">
      <w:pPr>
        <w:spacing w:line="360" w:lineRule="auto"/>
        <w:jc w:val="both"/>
        <w:rPr>
          <w:sz w:val="20"/>
          <w:szCs w:val="20"/>
        </w:rPr>
      </w:pPr>
    </w:p>
    <w:p w14:paraId="2002CE79" w14:textId="77777777" w:rsidR="00DC35B7" w:rsidRPr="00DC35B7" w:rsidRDefault="00DC35B7" w:rsidP="00DC35B7">
      <w:pPr>
        <w:spacing w:line="360" w:lineRule="auto"/>
        <w:jc w:val="both"/>
        <w:rPr>
          <w:sz w:val="20"/>
          <w:szCs w:val="20"/>
        </w:rPr>
      </w:pPr>
      <w:r w:rsidRPr="00DC35B7">
        <w:rPr>
          <w:b/>
          <w:sz w:val="20"/>
          <w:szCs w:val="20"/>
        </w:rPr>
        <w:t>ARTÍCULO 16.</w:t>
      </w:r>
      <w:r w:rsidRPr="00DC35B7">
        <w:rPr>
          <w:sz w:val="20"/>
          <w:szCs w:val="20"/>
        </w:rPr>
        <w:t xml:space="preserve"> Los contribuyentes a que se refiere el artículo 15 de esta Ley que realicen inversiones en la Entidad que generen nuevos empleos, se les otorgará una exención fiscal, mediante la obtención de Certificados de Promoción Fiscal por el equivalente al Impuesto Sobre Nóminas que les corresponda pagar por la generación directa de nuevos empleos en la Entidad, conforme a las disposiciones establecidas en los artículos 17 y 18 de esta Ley. </w:t>
      </w:r>
    </w:p>
    <w:p w14:paraId="26B7BE9E" w14:textId="77777777" w:rsidR="00DC35B7" w:rsidRPr="00DC35B7" w:rsidRDefault="00DC35B7" w:rsidP="00DC35B7">
      <w:pPr>
        <w:spacing w:line="360" w:lineRule="auto"/>
        <w:jc w:val="both"/>
        <w:rPr>
          <w:sz w:val="20"/>
          <w:szCs w:val="20"/>
        </w:rPr>
      </w:pPr>
    </w:p>
    <w:p w14:paraId="721871E3" w14:textId="77777777" w:rsidR="00DC35B7" w:rsidRPr="00DC35B7" w:rsidRDefault="00DC35B7" w:rsidP="00DC35B7">
      <w:pPr>
        <w:spacing w:line="360" w:lineRule="auto"/>
        <w:jc w:val="both"/>
        <w:rPr>
          <w:sz w:val="20"/>
          <w:szCs w:val="20"/>
        </w:rPr>
      </w:pPr>
      <w:r w:rsidRPr="00DC35B7">
        <w:rPr>
          <w:b/>
          <w:sz w:val="20"/>
          <w:szCs w:val="20"/>
        </w:rPr>
        <w:t>ARTÍCULO 17.</w:t>
      </w:r>
      <w:r w:rsidRPr="00DC35B7">
        <w:rPr>
          <w:sz w:val="20"/>
          <w:szCs w:val="20"/>
        </w:rPr>
        <w:t xml:space="preserve"> Los contribuyentes que generen o adicionen trabajadores a su plantilla laboral, durante el ejercicio fiscal 2023, tendrán derecho a una exención fiscal del 100 por ciento del Impuesto Sobre Nóminas derivado de las remuneraciones económicas de los empleos generados o adicionales, de conformidad con lo siguiente: </w:t>
      </w:r>
    </w:p>
    <w:p w14:paraId="2ED5FE0A" w14:textId="77777777" w:rsidR="00DC35B7" w:rsidRPr="00DC35B7" w:rsidRDefault="00DC35B7" w:rsidP="00DC35B7">
      <w:pPr>
        <w:spacing w:line="360" w:lineRule="auto"/>
        <w:jc w:val="both"/>
        <w:rPr>
          <w:sz w:val="20"/>
          <w:szCs w:val="20"/>
        </w:rPr>
      </w:pPr>
    </w:p>
    <w:p w14:paraId="627F80C0" w14:textId="77777777" w:rsidR="00DC35B7" w:rsidRPr="00DC35B7" w:rsidRDefault="00DC35B7" w:rsidP="00DC35B7">
      <w:pPr>
        <w:spacing w:line="360" w:lineRule="auto"/>
        <w:jc w:val="both"/>
        <w:rPr>
          <w:sz w:val="20"/>
          <w:szCs w:val="20"/>
        </w:rPr>
      </w:pPr>
      <w:r w:rsidRPr="00DC35B7">
        <w:rPr>
          <w:b/>
          <w:sz w:val="20"/>
          <w:szCs w:val="20"/>
        </w:rPr>
        <w:t>I.</w:t>
      </w:r>
      <w:r w:rsidRPr="00DC35B7">
        <w:rPr>
          <w:sz w:val="20"/>
          <w:szCs w:val="20"/>
        </w:rPr>
        <w:t xml:space="preserve"> A los contribuyentes que inicien actividades en la Entidad a partir del 1 de enero y hasta el 31 de diciembre de 2023, se les otorgará una exención fiscal del 100 por ciento del Impuesto Sobre Nóminas, causado por las remuneraciones económicas de los empleos que generen y conserven durante el ejercicio fiscal 2023, el cual deberán tramitar ante la Secretaría de Desarrollo Económico.</w:t>
      </w:r>
    </w:p>
    <w:p w14:paraId="507B2BA7" w14:textId="77777777" w:rsidR="00DC35B7" w:rsidRPr="00DC35B7" w:rsidRDefault="00DC35B7" w:rsidP="00DC35B7">
      <w:pPr>
        <w:spacing w:line="360" w:lineRule="auto"/>
        <w:jc w:val="both"/>
        <w:rPr>
          <w:sz w:val="20"/>
          <w:szCs w:val="20"/>
        </w:rPr>
      </w:pPr>
    </w:p>
    <w:p w14:paraId="204680B5" w14:textId="77777777" w:rsidR="00DC35B7" w:rsidRPr="00DC35B7" w:rsidRDefault="00DC35B7" w:rsidP="00DC35B7">
      <w:pPr>
        <w:spacing w:line="360" w:lineRule="auto"/>
        <w:jc w:val="both"/>
        <w:rPr>
          <w:sz w:val="20"/>
          <w:szCs w:val="20"/>
        </w:rPr>
      </w:pPr>
      <w:r w:rsidRPr="00DC35B7">
        <w:rPr>
          <w:sz w:val="20"/>
          <w:szCs w:val="20"/>
        </w:rPr>
        <w:t>Lo anterior, no los exime de las obligaciones establecidas en el Artículo 59 del Código Financiero para el Estado de Tlaxcala y sus Municipios.</w:t>
      </w:r>
    </w:p>
    <w:p w14:paraId="4BC46DD4" w14:textId="77777777" w:rsidR="00DC35B7" w:rsidRPr="00DC35B7" w:rsidRDefault="00DC35B7" w:rsidP="00DC35B7">
      <w:pPr>
        <w:spacing w:line="360" w:lineRule="auto"/>
        <w:jc w:val="both"/>
        <w:rPr>
          <w:sz w:val="20"/>
          <w:szCs w:val="20"/>
        </w:rPr>
      </w:pPr>
    </w:p>
    <w:p w14:paraId="49B64232" w14:textId="77777777" w:rsidR="00DC35B7" w:rsidRPr="00DC35B7" w:rsidRDefault="00DC35B7" w:rsidP="00DC35B7">
      <w:pPr>
        <w:spacing w:line="360" w:lineRule="auto"/>
        <w:jc w:val="both"/>
        <w:rPr>
          <w:sz w:val="20"/>
          <w:szCs w:val="20"/>
        </w:rPr>
      </w:pPr>
      <w:r w:rsidRPr="00DC35B7">
        <w:rPr>
          <w:sz w:val="20"/>
          <w:szCs w:val="20"/>
        </w:rPr>
        <w:t>Los contribuyentes podrán solicitar la exención fiscal, siempre que cumplan con los requisitos siguientes:</w:t>
      </w:r>
    </w:p>
    <w:p w14:paraId="70164C61" w14:textId="77777777" w:rsidR="00DC35B7" w:rsidRPr="00DC35B7" w:rsidRDefault="00DC35B7" w:rsidP="00DC35B7">
      <w:pPr>
        <w:spacing w:line="360" w:lineRule="auto"/>
        <w:jc w:val="both"/>
        <w:rPr>
          <w:sz w:val="20"/>
          <w:szCs w:val="20"/>
        </w:rPr>
      </w:pPr>
    </w:p>
    <w:p w14:paraId="227D2BBD" w14:textId="77777777" w:rsidR="00DC35B7" w:rsidRPr="00DC35B7" w:rsidRDefault="00DC35B7" w:rsidP="00DC35B7">
      <w:pPr>
        <w:numPr>
          <w:ilvl w:val="0"/>
          <w:numId w:val="5"/>
        </w:numPr>
        <w:spacing w:line="360" w:lineRule="auto"/>
        <w:jc w:val="both"/>
        <w:rPr>
          <w:sz w:val="20"/>
          <w:szCs w:val="20"/>
        </w:rPr>
      </w:pPr>
      <w:r w:rsidRPr="00DC35B7">
        <w:rPr>
          <w:sz w:val="20"/>
          <w:szCs w:val="20"/>
        </w:rPr>
        <w:lastRenderedPageBreak/>
        <w:t xml:space="preserve">Llenar el formato de solicitud de Certificado de Promoción Fiscal (CPF-S1), que será proporcionado por la Secretaría de Desarrollo Económico, y anexar la documentación siguiente: </w:t>
      </w:r>
    </w:p>
    <w:p w14:paraId="3703A6EF" w14:textId="77777777" w:rsidR="00DC35B7" w:rsidRPr="00DC35B7" w:rsidRDefault="00DC35B7" w:rsidP="00DC35B7">
      <w:pPr>
        <w:spacing w:line="360" w:lineRule="auto"/>
        <w:jc w:val="both"/>
        <w:rPr>
          <w:sz w:val="20"/>
          <w:szCs w:val="20"/>
        </w:rPr>
      </w:pPr>
    </w:p>
    <w:p w14:paraId="2227FE49" w14:textId="77777777" w:rsidR="00DC35B7" w:rsidRPr="00DC35B7" w:rsidRDefault="00DC35B7" w:rsidP="00DC35B7">
      <w:pPr>
        <w:numPr>
          <w:ilvl w:val="0"/>
          <w:numId w:val="3"/>
        </w:numPr>
        <w:spacing w:line="360" w:lineRule="auto"/>
        <w:ind w:left="1134"/>
        <w:jc w:val="both"/>
        <w:rPr>
          <w:sz w:val="20"/>
          <w:szCs w:val="20"/>
        </w:rPr>
      </w:pPr>
      <w:r w:rsidRPr="00DC35B7">
        <w:rPr>
          <w:sz w:val="20"/>
          <w:szCs w:val="20"/>
        </w:rPr>
        <w:t xml:space="preserve">La relación del personal que labore en su empresa, misma que deberá incluir el nombre completo, el número de seguridad social, las remuneraciones económicas pagadas por cada trabajador y el monto total de las remuneraciones a considerar para el cálculo del subsidio fiscal a que sea acreedor. </w:t>
      </w:r>
    </w:p>
    <w:p w14:paraId="7352F9BA" w14:textId="77777777" w:rsidR="00DC35B7" w:rsidRPr="00DC35B7" w:rsidRDefault="00DC35B7" w:rsidP="00DC35B7">
      <w:pPr>
        <w:spacing w:line="360" w:lineRule="auto"/>
        <w:ind w:left="1134"/>
        <w:jc w:val="both"/>
        <w:rPr>
          <w:sz w:val="20"/>
          <w:szCs w:val="20"/>
        </w:rPr>
      </w:pPr>
    </w:p>
    <w:p w14:paraId="51435226" w14:textId="77777777" w:rsidR="00DC35B7" w:rsidRPr="00DC35B7" w:rsidRDefault="00DC35B7" w:rsidP="00DC35B7">
      <w:pPr>
        <w:numPr>
          <w:ilvl w:val="0"/>
          <w:numId w:val="3"/>
        </w:numPr>
        <w:spacing w:line="360" w:lineRule="auto"/>
        <w:ind w:left="1134"/>
        <w:jc w:val="both"/>
        <w:rPr>
          <w:sz w:val="20"/>
          <w:szCs w:val="20"/>
        </w:rPr>
      </w:pPr>
      <w:r w:rsidRPr="00DC35B7">
        <w:rPr>
          <w:sz w:val="20"/>
          <w:szCs w:val="20"/>
        </w:rPr>
        <w:t xml:space="preserve">Copia simple del aviso de inscripción al Registro Estatal de Contribuyentes (SF-1). </w:t>
      </w:r>
    </w:p>
    <w:p w14:paraId="1EB36621" w14:textId="77777777" w:rsidR="00DC35B7" w:rsidRPr="00DC35B7" w:rsidRDefault="00DC35B7" w:rsidP="00DC35B7">
      <w:pPr>
        <w:spacing w:line="360" w:lineRule="auto"/>
        <w:ind w:left="1134"/>
        <w:jc w:val="both"/>
        <w:rPr>
          <w:sz w:val="20"/>
          <w:szCs w:val="20"/>
        </w:rPr>
      </w:pPr>
    </w:p>
    <w:p w14:paraId="6361D029" w14:textId="77777777" w:rsidR="00DC35B7" w:rsidRPr="00DC35B7" w:rsidRDefault="00DC35B7" w:rsidP="00DC35B7">
      <w:pPr>
        <w:numPr>
          <w:ilvl w:val="0"/>
          <w:numId w:val="3"/>
        </w:numPr>
        <w:spacing w:line="360" w:lineRule="auto"/>
        <w:ind w:left="1134"/>
        <w:jc w:val="both"/>
        <w:rPr>
          <w:sz w:val="20"/>
          <w:szCs w:val="20"/>
        </w:rPr>
      </w:pPr>
      <w:r w:rsidRPr="00DC35B7">
        <w:rPr>
          <w:sz w:val="20"/>
          <w:szCs w:val="20"/>
        </w:rPr>
        <w:t xml:space="preserve">Copia simple de los movimientos afiliatorios ante el Instituto Mexicano del Seguro Social de los trabajadores a que se refiere el numeral 1 de este inciso. </w:t>
      </w:r>
    </w:p>
    <w:p w14:paraId="3A7B9C5F" w14:textId="77777777" w:rsidR="00DC35B7" w:rsidRPr="00DC35B7" w:rsidRDefault="00DC35B7" w:rsidP="00DC35B7">
      <w:pPr>
        <w:spacing w:line="360" w:lineRule="auto"/>
        <w:ind w:left="1134"/>
        <w:jc w:val="both"/>
        <w:rPr>
          <w:sz w:val="20"/>
          <w:szCs w:val="20"/>
        </w:rPr>
      </w:pPr>
    </w:p>
    <w:p w14:paraId="332ABC6F" w14:textId="77777777" w:rsidR="00DC35B7" w:rsidRPr="00DC35B7" w:rsidRDefault="00DC35B7" w:rsidP="00DC35B7">
      <w:pPr>
        <w:numPr>
          <w:ilvl w:val="0"/>
          <w:numId w:val="3"/>
        </w:numPr>
        <w:spacing w:line="360" w:lineRule="auto"/>
        <w:ind w:left="1134"/>
        <w:jc w:val="both"/>
        <w:rPr>
          <w:sz w:val="20"/>
          <w:szCs w:val="20"/>
        </w:rPr>
      </w:pPr>
      <w:r w:rsidRPr="00DC35B7">
        <w:rPr>
          <w:sz w:val="20"/>
          <w:szCs w:val="20"/>
        </w:rPr>
        <w:t xml:space="preserve">Copia simple del aviso de baja ante el Instituto Mexicano del Seguro Social, en su caso. </w:t>
      </w:r>
    </w:p>
    <w:p w14:paraId="098BB296" w14:textId="77777777" w:rsidR="00DC35B7" w:rsidRPr="00DC35B7" w:rsidRDefault="00DC35B7" w:rsidP="00DC35B7">
      <w:pPr>
        <w:spacing w:line="360" w:lineRule="auto"/>
        <w:jc w:val="both"/>
        <w:rPr>
          <w:sz w:val="20"/>
          <w:szCs w:val="20"/>
        </w:rPr>
      </w:pPr>
    </w:p>
    <w:p w14:paraId="4F4EEA2D" w14:textId="77777777" w:rsidR="00DC35B7" w:rsidRPr="00DC35B7" w:rsidRDefault="00DC35B7" w:rsidP="00DC35B7">
      <w:pPr>
        <w:spacing w:line="360" w:lineRule="auto"/>
        <w:jc w:val="both"/>
        <w:rPr>
          <w:sz w:val="20"/>
          <w:szCs w:val="20"/>
        </w:rPr>
      </w:pPr>
      <w:r w:rsidRPr="00DC35B7">
        <w:rPr>
          <w:sz w:val="20"/>
          <w:szCs w:val="20"/>
        </w:rPr>
        <w:t xml:space="preserve">Estos requisitos se deberán presentar cada vez que el contribuyente solicite el Certificado de Promoción Fiscal, excepto el contenido en el numeral 2 de este inciso, el cual se presentará sólo en la primera ocasión que solicite el Certificado. En el caso del requisito contenido en el numeral 3 de este inciso, se presentará en el primer mes que solicite el Certificado y tratándose de los meses posteriores, sólo cuando genere empleos adicionales a los inicialmente manifestados. </w:t>
      </w:r>
    </w:p>
    <w:p w14:paraId="217A9757" w14:textId="77777777" w:rsidR="00DC35B7" w:rsidRPr="00DC35B7" w:rsidRDefault="00DC35B7" w:rsidP="00DC35B7">
      <w:pPr>
        <w:spacing w:line="360" w:lineRule="auto"/>
        <w:jc w:val="both"/>
        <w:rPr>
          <w:sz w:val="20"/>
          <w:szCs w:val="20"/>
        </w:rPr>
      </w:pPr>
    </w:p>
    <w:p w14:paraId="770CBA05" w14:textId="77777777" w:rsidR="00DC35B7" w:rsidRPr="00DC35B7" w:rsidRDefault="00DC35B7" w:rsidP="00DC35B7">
      <w:pPr>
        <w:spacing w:line="360" w:lineRule="auto"/>
        <w:jc w:val="both"/>
        <w:rPr>
          <w:sz w:val="20"/>
          <w:szCs w:val="20"/>
        </w:rPr>
      </w:pPr>
      <w:r w:rsidRPr="00DC35B7">
        <w:rPr>
          <w:b/>
          <w:sz w:val="20"/>
          <w:szCs w:val="20"/>
        </w:rPr>
        <w:t>II.</w:t>
      </w:r>
      <w:r w:rsidRPr="00DC35B7">
        <w:rPr>
          <w:sz w:val="20"/>
          <w:szCs w:val="20"/>
        </w:rPr>
        <w:t xml:space="preserve"> A los contribuyentes que hayan iniciado actividades antes del 1 de enero de 2023, se les otorga una exención fiscal del 100 por ciento del Impuesto Sobre Nóminas causado por las remuneraciones económicas de los empleos adicionales generados durante el ejercicio 2023. </w:t>
      </w:r>
    </w:p>
    <w:p w14:paraId="3E4954B7" w14:textId="77777777" w:rsidR="00DC35B7" w:rsidRPr="00DC35B7" w:rsidRDefault="00DC35B7" w:rsidP="00DC35B7">
      <w:pPr>
        <w:spacing w:line="360" w:lineRule="auto"/>
        <w:jc w:val="both"/>
        <w:rPr>
          <w:sz w:val="20"/>
          <w:szCs w:val="20"/>
        </w:rPr>
      </w:pPr>
    </w:p>
    <w:p w14:paraId="1E43D6E9" w14:textId="77777777" w:rsidR="00DC35B7" w:rsidRPr="00DC35B7" w:rsidRDefault="00DC35B7" w:rsidP="00DC35B7">
      <w:pPr>
        <w:spacing w:line="360" w:lineRule="auto"/>
        <w:jc w:val="both"/>
        <w:rPr>
          <w:sz w:val="20"/>
          <w:szCs w:val="20"/>
        </w:rPr>
      </w:pPr>
      <w:r w:rsidRPr="00DC35B7">
        <w:rPr>
          <w:sz w:val="20"/>
          <w:szCs w:val="20"/>
        </w:rPr>
        <w:t>Para determinar los empleos adicionales, los contribuyentes a que se refiere el párrafo anterior, compararán el número de trabajadores manifestados en la declaración del mes de diciembre de 2022, contra el número de trabajadores que se declaren en el mes de enero de 2023. Para cada uno de los meses subsecuentes, tomará el número de trabajadores registrados en el mes inmediato anterior contra el número de trabajadores registrados en el mes que declare, hasta el mes de diciembre de 2023, la diferencia que resulte será el número de trabajadores por los que se concederá la exención fiscal.</w:t>
      </w:r>
    </w:p>
    <w:p w14:paraId="2B9867BC" w14:textId="77777777" w:rsidR="00DC35B7" w:rsidRPr="00DC35B7" w:rsidRDefault="00DC35B7" w:rsidP="00DC35B7">
      <w:pPr>
        <w:spacing w:line="360" w:lineRule="auto"/>
        <w:jc w:val="both"/>
        <w:rPr>
          <w:sz w:val="20"/>
          <w:szCs w:val="20"/>
        </w:rPr>
      </w:pPr>
    </w:p>
    <w:p w14:paraId="10D06EE4" w14:textId="77777777" w:rsidR="00DC35B7" w:rsidRPr="00DC35B7" w:rsidRDefault="00DC35B7" w:rsidP="00DC35B7">
      <w:pPr>
        <w:spacing w:line="360" w:lineRule="auto"/>
        <w:jc w:val="both"/>
        <w:rPr>
          <w:sz w:val="20"/>
          <w:szCs w:val="20"/>
        </w:rPr>
      </w:pPr>
      <w:r w:rsidRPr="00DC35B7">
        <w:rPr>
          <w:sz w:val="20"/>
          <w:szCs w:val="20"/>
        </w:rPr>
        <w:t>Los contribuyentes podrán aplicar la exención fiscal, siempre que cumplan con los requisitos siguientes:</w:t>
      </w:r>
    </w:p>
    <w:p w14:paraId="273AE145" w14:textId="77777777" w:rsidR="00DC35B7" w:rsidRPr="00DC35B7" w:rsidRDefault="00DC35B7" w:rsidP="00DC35B7">
      <w:pPr>
        <w:spacing w:line="360" w:lineRule="auto"/>
        <w:jc w:val="both"/>
        <w:rPr>
          <w:sz w:val="20"/>
          <w:szCs w:val="20"/>
        </w:rPr>
      </w:pPr>
    </w:p>
    <w:p w14:paraId="18E0CFA3" w14:textId="77777777" w:rsidR="00DC35B7" w:rsidRPr="00DC35B7" w:rsidRDefault="00DC35B7" w:rsidP="00DC35B7">
      <w:pPr>
        <w:numPr>
          <w:ilvl w:val="0"/>
          <w:numId w:val="6"/>
        </w:numPr>
        <w:spacing w:line="360" w:lineRule="auto"/>
        <w:jc w:val="both"/>
        <w:rPr>
          <w:sz w:val="20"/>
          <w:szCs w:val="20"/>
        </w:rPr>
      </w:pPr>
      <w:r w:rsidRPr="00DC35B7">
        <w:rPr>
          <w:sz w:val="20"/>
          <w:szCs w:val="20"/>
        </w:rPr>
        <w:t xml:space="preserve">Llenar el formato de solicitud de Certificado de Promoción Fiscal (CPF-S1), que será proporcionado por la Secretaría de Desarrollo Económico, y anexar la documentación siguiente: </w:t>
      </w:r>
    </w:p>
    <w:p w14:paraId="038A6334" w14:textId="77777777" w:rsidR="00DC35B7" w:rsidRPr="00DC35B7" w:rsidRDefault="00DC35B7" w:rsidP="00DC35B7">
      <w:pPr>
        <w:spacing w:line="360" w:lineRule="auto"/>
        <w:jc w:val="both"/>
        <w:rPr>
          <w:sz w:val="20"/>
          <w:szCs w:val="20"/>
        </w:rPr>
      </w:pPr>
    </w:p>
    <w:p w14:paraId="6F0C8433"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 xml:space="preserve">La relación del personal de nuevo ingreso que labore en su empresa, misma que deberá incluir el nombre completo, el número de seguridad social, las remuneraciones económicas pagadas por cada trabajador adicional y el monto total de las remuneraciones a considerar para el cálculo de la exención fiscal a que sea acreedor. </w:t>
      </w:r>
    </w:p>
    <w:p w14:paraId="4E388F37" w14:textId="77777777" w:rsidR="00DC35B7" w:rsidRPr="00DC35B7" w:rsidRDefault="00DC35B7" w:rsidP="00DC35B7">
      <w:pPr>
        <w:spacing w:line="360" w:lineRule="auto"/>
        <w:ind w:left="1134"/>
        <w:jc w:val="both"/>
        <w:rPr>
          <w:sz w:val="20"/>
          <w:szCs w:val="20"/>
        </w:rPr>
      </w:pPr>
    </w:p>
    <w:p w14:paraId="6ADB0007"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 xml:space="preserve">Copia simple del aviso de inscripción al Registro Estatal de Contribuyentes (SF-1). </w:t>
      </w:r>
    </w:p>
    <w:p w14:paraId="6E9CFE95" w14:textId="77777777" w:rsidR="00DC35B7" w:rsidRPr="00DC35B7" w:rsidRDefault="00DC35B7" w:rsidP="00DC35B7">
      <w:pPr>
        <w:spacing w:line="360" w:lineRule="auto"/>
        <w:ind w:left="1134"/>
        <w:jc w:val="both"/>
        <w:rPr>
          <w:sz w:val="20"/>
          <w:szCs w:val="20"/>
        </w:rPr>
      </w:pPr>
    </w:p>
    <w:p w14:paraId="17DF85A7"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Copia simple de la declaración correspondiente al mes inmediato anterior al que solicita el beneficio.</w:t>
      </w:r>
    </w:p>
    <w:p w14:paraId="75172451" w14:textId="77777777" w:rsidR="00DC35B7" w:rsidRPr="00DC35B7" w:rsidRDefault="00DC35B7" w:rsidP="00DC35B7">
      <w:pPr>
        <w:pStyle w:val="Prrafodelista"/>
        <w:rPr>
          <w:sz w:val="20"/>
          <w:szCs w:val="20"/>
        </w:rPr>
      </w:pPr>
    </w:p>
    <w:p w14:paraId="13D930AA"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Copia simple de la declaración correspondiente al mes de diciembre de 2022.</w:t>
      </w:r>
    </w:p>
    <w:p w14:paraId="0E2C9957" w14:textId="77777777" w:rsidR="00DC35B7" w:rsidRPr="00DC35B7" w:rsidRDefault="00DC35B7" w:rsidP="00DC35B7">
      <w:pPr>
        <w:spacing w:line="360" w:lineRule="auto"/>
        <w:ind w:left="1134"/>
        <w:jc w:val="both"/>
        <w:rPr>
          <w:sz w:val="20"/>
          <w:szCs w:val="20"/>
        </w:rPr>
      </w:pPr>
    </w:p>
    <w:p w14:paraId="60035F31"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 xml:space="preserve">Copia simple de los movimientos afiliatorios ante el Instituto Mexicano del Seguro Social de los trabajadores a que se refiere el numeral 1 de este inciso. </w:t>
      </w:r>
    </w:p>
    <w:p w14:paraId="7C67CAAA" w14:textId="77777777" w:rsidR="00DC35B7" w:rsidRPr="00DC35B7" w:rsidRDefault="00DC35B7" w:rsidP="00DC35B7">
      <w:pPr>
        <w:spacing w:line="360" w:lineRule="auto"/>
        <w:ind w:left="1134"/>
        <w:jc w:val="both"/>
        <w:rPr>
          <w:sz w:val="20"/>
          <w:szCs w:val="20"/>
        </w:rPr>
      </w:pPr>
    </w:p>
    <w:p w14:paraId="34D6E33B" w14:textId="77777777" w:rsidR="00DC35B7" w:rsidRPr="00DC35B7" w:rsidRDefault="00DC35B7" w:rsidP="00DC35B7">
      <w:pPr>
        <w:numPr>
          <w:ilvl w:val="0"/>
          <w:numId w:val="4"/>
        </w:numPr>
        <w:spacing w:line="360" w:lineRule="auto"/>
        <w:ind w:left="1134"/>
        <w:jc w:val="both"/>
        <w:rPr>
          <w:sz w:val="20"/>
          <w:szCs w:val="20"/>
        </w:rPr>
      </w:pPr>
      <w:r w:rsidRPr="00DC35B7">
        <w:rPr>
          <w:sz w:val="20"/>
          <w:szCs w:val="20"/>
        </w:rPr>
        <w:t xml:space="preserve">Copia simple del aviso de baja ante el Instituto Mexicano del Seguro Social, en su caso. </w:t>
      </w:r>
    </w:p>
    <w:p w14:paraId="32D8117F" w14:textId="77777777" w:rsidR="00DC35B7" w:rsidRPr="00DC35B7" w:rsidRDefault="00DC35B7" w:rsidP="00DC35B7">
      <w:pPr>
        <w:spacing w:line="360" w:lineRule="auto"/>
        <w:ind w:left="1134"/>
        <w:jc w:val="both"/>
        <w:rPr>
          <w:sz w:val="20"/>
          <w:szCs w:val="20"/>
        </w:rPr>
      </w:pPr>
    </w:p>
    <w:p w14:paraId="2623FE6B" w14:textId="77777777" w:rsidR="00DC35B7" w:rsidRPr="00DC35B7" w:rsidRDefault="00DC35B7" w:rsidP="00DC35B7">
      <w:pPr>
        <w:numPr>
          <w:ilvl w:val="0"/>
          <w:numId w:val="6"/>
        </w:numPr>
        <w:spacing w:line="360" w:lineRule="auto"/>
        <w:jc w:val="both"/>
        <w:rPr>
          <w:sz w:val="20"/>
          <w:szCs w:val="20"/>
        </w:rPr>
      </w:pPr>
      <w:r w:rsidRPr="00DC35B7">
        <w:rPr>
          <w:sz w:val="20"/>
          <w:szCs w:val="20"/>
        </w:rPr>
        <w:t>No tener adeudos por concepto del Impuesto Sobre Nóminas, de ejercicios anteriores al 1 de enero de 2023, para lo cual deberá presentar una carta de no adeudos, emitida por la Dirección de Ingresos y Fiscalización de la Secretaría de Finanzas, certificando que se encuentra al corriente en la presentación de sus declaraciones.</w:t>
      </w:r>
    </w:p>
    <w:p w14:paraId="4DE41B13" w14:textId="77777777" w:rsidR="00DC35B7" w:rsidRPr="00DC35B7" w:rsidRDefault="00DC35B7" w:rsidP="00DC35B7">
      <w:pPr>
        <w:spacing w:line="360" w:lineRule="auto"/>
        <w:ind w:left="720"/>
        <w:jc w:val="both"/>
        <w:rPr>
          <w:sz w:val="20"/>
          <w:szCs w:val="20"/>
        </w:rPr>
      </w:pPr>
    </w:p>
    <w:p w14:paraId="42EF7754" w14:textId="77777777" w:rsidR="00DC35B7" w:rsidRPr="00DC35B7" w:rsidRDefault="00DC35B7" w:rsidP="00DC35B7">
      <w:pPr>
        <w:spacing w:line="360" w:lineRule="auto"/>
        <w:jc w:val="both"/>
        <w:rPr>
          <w:sz w:val="20"/>
          <w:szCs w:val="20"/>
        </w:rPr>
      </w:pPr>
      <w:r w:rsidRPr="00DC35B7">
        <w:rPr>
          <w:sz w:val="20"/>
          <w:szCs w:val="20"/>
        </w:rPr>
        <w:t xml:space="preserve">Estos requisitos se deberán presentar cada vez que el contribuyente solicite el Certificado de Promoción Fiscal, excepto el contenido en los numerales 2 y 4 del inciso a) y el contenido en el inciso </w:t>
      </w:r>
      <w:r w:rsidRPr="00DC35B7">
        <w:rPr>
          <w:sz w:val="20"/>
          <w:szCs w:val="20"/>
        </w:rPr>
        <w:lastRenderedPageBreak/>
        <w:t xml:space="preserve">b), los cuales se presentarán sólo en la primera ocasión que solicite el Certificado. En el caso del requisito contenido en el numeral 5 del inciso a), se presentará en el primer mes que solicite el Certificado y tratándose de los meses posteriores, sólo cuando genere empleos adicionales a los inicialmente manifestados. </w:t>
      </w:r>
    </w:p>
    <w:p w14:paraId="77C199AB" w14:textId="77777777" w:rsidR="00DC35B7" w:rsidRPr="00DC35B7" w:rsidRDefault="00DC35B7" w:rsidP="00DC35B7">
      <w:pPr>
        <w:spacing w:line="360" w:lineRule="auto"/>
        <w:jc w:val="both"/>
        <w:rPr>
          <w:sz w:val="20"/>
          <w:szCs w:val="20"/>
        </w:rPr>
      </w:pPr>
    </w:p>
    <w:p w14:paraId="59313240" w14:textId="77777777" w:rsidR="00DC35B7" w:rsidRPr="00DC35B7" w:rsidRDefault="00DC35B7" w:rsidP="00DC35B7">
      <w:pPr>
        <w:spacing w:line="360" w:lineRule="auto"/>
        <w:jc w:val="both"/>
        <w:rPr>
          <w:sz w:val="20"/>
          <w:szCs w:val="20"/>
        </w:rPr>
      </w:pPr>
      <w:r w:rsidRPr="00DC35B7">
        <w:rPr>
          <w:b/>
          <w:sz w:val="20"/>
          <w:szCs w:val="20"/>
        </w:rPr>
        <w:t>III.</w:t>
      </w:r>
      <w:r w:rsidRPr="00DC35B7">
        <w:rPr>
          <w:sz w:val="20"/>
          <w:szCs w:val="20"/>
        </w:rPr>
        <w:t xml:space="preserve"> A los contribuyentes establecidos en la Entidad, que durante el ejercicio fiscal 2023 contraten a personas con alguna discapacidad se les otorga una exención fiscal del 100 por ciento del Impuesto Sobre Nóminas causado por las remuneraciones económicas que perciban dichas personas.</w:t>
      </w:r>
    </w:p>
    <w:p w14:paraId="4F61A847" w14:textId="77777777" w:rsidR="00DC35B7" w:rsidRPr="00DC35B7" w:rsidRDefault="00DC35B7" w:rsidP="00DC35B7">
      <w:pPr>
        <w:spacing w:line="360" w:lineRule="auto"/>
        <w:jc w:val="both"/>
        <w:rPr>
          <w:sz w:val="20"/>
          <w:szCs w:val="20"/>
        </w:rPr>
      </w:pPr>
    </w:p>
    <w:p w14:paraId="70817C43" w14:textId="77777777" w:rsidR="00DC35B7" w:rsidRPr="00DC35B7" w:rsidRDefault="00DC35B7" w:rsidP="00DC35B7">
      <w:pPr>
        <w:spacing w:line="360" w:lineRule="auto"/>
        <w:jc w:val="both"/>
        <w:rPr>
          <w:sz w:val="20"/>
          <w:szCs w:val="20"/>
        </w:rPr>
      </w:pPr>
      <w:r w:rsidRPr="00DC35B7">
        <w:rPr>
          <w:sz w:val="20"/>
          <w:szCs w:val="20"/>
        </w:rPr>
        <w:t xml:space="preserve">Los contribuyentes podrán aplicar la exención fiscal, siempre que cumplan con los requisitos señalados en la fracción anterior y además deberán anexar copia del documento que acredite la discapacidad, expedido por autoridad competente, por cada trabajador. </w:t>
      </w:r>
    </w:p>
    <w:p w14:paraId="328919B1" w14:textId="77777777" w:rsidR="00DC35B7" w:rsidRPr="00DC35B7" w:rsidRDefault="00DC35B7" w:rsidP="00DC35B7">
      <w:pPr>
        <w:spacing w:line="360" w:lineRule="auto"/>
        <w:jc w:val="both"/>
        <w:rPr>
          <w:sz w:val="20"/>
          <w:szCs w:val="20"/>
        </w:rPr>
      </w:pPr>
    </w:p>
    <w:p w14:paraId="50AB5ECF" w14:textId="77777777" w:rsidR="00DC35B7" w:rsidRPr="00DC35B7" w:rsidRDefault="00DC35B7" w:rsidP="00DC35B7">
      <w:pPr>
        <w:spacing w:line="360" w:lineRule="auto"/>
        <w:jc w:val="both"/>
        <w:rPr>
          <w:sz w:val="20"/>
          <w:szCs w:val="20"/>
        </w:rPr>
      </w:pPr>
      <w:r w:rsidRPr="00DC35B7">
        <w:rPr>
          <w:b/>
          <w:sz w:val="20"/>
          <w:szCs w:val="20"/>
        </w:rPr>
        <w:t>IV.</w:t>
      </w:r>
      <w:r w:rsidRPr="00DC35B7">
        <w:rPr>
          <w:sz w:val="20"/>
          <w:szCs w:val="20"/>
        </w:rPr>
        <w:t xml:space="preserve"> A los contribuyentes establecidos en la Entidad, que durante el ejercicio fiscal 2023 contraten a personas con edad de 60 años en adelante, se les otorga una exención fiscal del 100 por ciento del Impuesto Sobre Nóminas causado por las remuneraciones económicas pagadas a dichas personas. </w:t>
      </w:r>
    </w:p>
    <w:p w14:paraId="59611E4A" w14:textId="77777777" w:rsidR="00DC35B7" w:rsidRPr="00DC35B7" w:rsidRDefault="00DC35B7" w:rsidP="00DC35B7">
      <w:pPr>
        <w:spacing w:line="360" w:lineRule="auto"/>
        <w:ind w:left="426"/>
        <w:jc w:val="both"/>
        <w:rPr>
          <w:sz w:val="20"/>
          <w:szCs w:val="20"/>
        </w:rPr>
      </w:pPr>
    </w:p>
    <w:p w14:paraId="7DD3D6B8" w14:textId="77777777" w:rsidR="00DC35B7" w:rsidRPr="00DC35B7" w:rsidRDefault="00DC35B7" w:rsidP="00DC35B7">
      <w:pPr>
        <w:spacing w:line="360" w:lineRule="auto"/>
        <w:jc w:val="both"/>
        <w:rPr>
          <w:sz w:val="20"/>
          <w:szCs w:val="20"/>
        </w:rPr>
      </w:pPr>
      <w:r w:rsidRPr="00DC35B7">
        <w:rPr>
          <w:sz w:val="20"/>
          <w:szCs w:val="20"/>
        </w:rPr>
        <w:t xml:space="preserve">Los contribuyentes podrán aplicar la exención fiscal, siempre que cumplan con los requisitos señalados en la fracción II de este artículo y además anexen copia de la identificación expedida por el Instituto Nacional de las Personas Adultas Mayores. </w:t>
      </w:r>
    </w:p>
    <w:p w14:paraId="42E148E1" w14:textId="77777777" w:rsidR="00DC35B7" w:rsidRPr="00DC35B7" w:rsidRDefault="00DC35B7" w:rsidP="00DC35B7">
      <w:pPr>
        <w:spacing w:line="360" w:lineRule="auto"/>
        <w:jc w:val="both"/>
        <w:rPr>
          <w:sz w:val="20"/>
          <w:szCs w:val="20"/>
        </w:rPr>
      </w:pPr>
    </w:p>
    <w:p w14:paraId="57B5B947" w14:textId="77777777" w:rsidR="00DC35B7" w:rsidRPr="00DC35B7" w:rsidRDefault="00DC35B7" w:rsidP="00DC35B7">
      <w:pPr>
        <w:spacing w:line="360" w:lineRule="auto"/>
        <w:jc w:val="both"/>
        <w:rPr>
          <w:sz w:val="20"/>
          <w:szCs w:val="20"/>
        </w:rPr>
      </w:pPr>
      <w:r w:rsidRPr="00DC35B7">
        <w:rPr>
          <w:sz w:val="20"/>
          <w:szCs w:val="20"/>
        </w:rPr>
        <w:t xml:space="preserve">La solicitud del Certificado de Promoción Fiscal y la documentación que deban anexar, deberá ser presentada en la Secretaría de Desarrollo Económico, dentro de los cinco días hábiles siguientes a aquel en que concluya el mes por el cual solicita la exención fiscal. </w:t>
      </w:r>
    </w:p>
    <w:p w14:paraId="393719DE" w14:textId="77777777" w:rsidR="00DC35B7" w:rsidRDefault="00DC35B7" w:rsidP="00DC35B7">
      <w:pPr>
        <w:spacing w:line="360" w:lineRule="auto"/>
        <w:jc w:val="both"/>
        <w:rPr>
          <w:b/>
          <w:sz w:val="20"/>
          <w:szCs w:val="20"/>
        </w:rPr>
      </w:pPr>
    </w:p>
    <w:p w14:paraId="7191B4F4" w14:textId="77777777" w:rsidR="00DC35B7" w:rsidRPr="00DC35B7" w:rsidRDefault="00DC35B7" w:rsidP="00DC35B7">
      <w:pPr>
        <w:spacing w:line="360" w:lineRule="auto"/>
        <w:jc w:val="both"/>
        <w:rPr>
          <w:sz w:val="20"/>
          <w:szCs w:val="20"/>
        </w:rPr>
      </w:pPr>
      <w:r w:rsidRPr="00DC35B7">
        <w:rPr>
          <w:b/>
          <w:sz w:val="20"/>
          <w:szCs w:val="20"/>
        </w:rPr>
        <w:t>ARTÍCULO 18.</w:t>
      </w:r>
      <w:r w:rsidRPr="00DC35B7">
        <w:rPr>
          <w:sz w:val="20"/>
          <w:szCs w:val="20"/>
        </w:rPr>
        <w:t xml:space="preserve"> Los contribuyentes que mantengan el número de trabajadores registrados al mes de diciembre de 2022 y que generen nuevos empleos, conforme a las reglas establecidas en el artículo anterior, se les otorga un incentivo fiscal del 20 por ciento del Impuesto Sobre Nóminas sobre la base gravable del mes al que corresponda el entero del impuesto por el número de trabajadores considerados al mes de diciembre de 2022. Para tal efecto deberán cumplir con los requisitos señalados en el artículo anterior. </w:t>
      </w:r>
    </w:p>
    <w:p w14:paraId="7DD7DE83" w14:textId="77777777" w:rsidR="00DC35B7" w:rsidRPr="00DC35B7" w:rsidRDefault="00DC35B7" w:rsidP="00DC35B7">
      <w:pPr>
        <w:spacing w:line="360" w:lineRule="auto"/>
        <w:jc w:val="both"/>
        <w:rPr>
          <w:sz w:val="20"/>
          <w:szCs w:val="20"/>
        </w:rPr>
      </w:pPr>
    </w:p>
    <w:p w14:paraId="5D803AC1" w14:textId="77777777" w:rsidR="00DC35B7" w:rsidRPr="00DC35B7" w:rsidRDefault="00DC35B7" w:rsidP="00DC35B7">
      <w:pPr>
        <w:spacing w:line="360" w:lineRule="auto"/>
        <w:jc w:val="both"/>
        <w:rPr>
          <w:sz w:val="20"/>
          <w:szCs w:val="20"/>
        </w:rPr>
      </w:pPr>
      <w:r w:rsidRPr="00DC35B7">
        <w:rPr>
          <w:b/>
          <w:sz w:val="20"/>
          <w:szCs w:val="20"/>
        </w:rPr>
        <w:lastRenderedPageBreak/>
        <w:t>ARTÍCULO 19.</w:t>
      </w:r>
      <w:r w:rsidRPr="00DC35B7">
        <w:rPr>
          <w:sz w:val="20"/>
          <w:szCs w:val="20"/>
        </w:rPr>
        <w:t xml:space="preserve"> En caso de incumplimiento a cualquiera de los supuestos establecidos en los artículos 17 y 18 de esta Ley, que le sean aplicables, el contribuyente perderá el derecho a la exención y en su caso al incentivo fiscal. </w:t>
      </w:r>
    </w:p>
    <w:p w14:paraId="1B5ADF00" w14:textId="77777777" w:rsidR="00DC35B7" w:rsidRPr="00DC35B7" w:rsidRDefault="00DC35B7" w:rsidP="00DC35B7">
      <w:pPr>
        <w:spacing w:line="360" w:lineRule="auto"/>
        <w:jc w:val="both"/>
        <w:rPr>
          <w:sz w:val="20"/>
          <w:szCs w:val="20"/>
        </w:rPr>
      </w:pPr>
    </w:p>
    <w:p w14:paraId="0829B129" w14:textId="77777777" w:rsidR="00DC35B7" w:rsidRPr="00DC35B7" w:rsidRDefault="00DC35B7" w:rsidP="00DC35B7">
      <w:pPr>
        <w:spacing w:line="360" w:lineRule="auto"/>
        <w:jc w:val="both"/>
        <w:rPr>
          <w:sz w:val="20"/>
          <w:szCs w:val="20"/>
        </w:rPr>
      </w:pPr>
      <w:r w:rsidRPr="00DC35B7">
        <w:rPr>
          <w:sz w:val="20"/>
          <w:szCs w:val="20"/>
        </w:rPr>
        <w:t>La Secretaría de Finanzas del Gobierno del Estado de Tlaxcala se reserva las facultades de comprobación previstas en el artículo 61 del Código Financiero para el Estado de Tlaxcala y sus Municipios, y en caso de que el contribuyente aplique una exención o un incentivo fiscal en forma indebida deberá pagar el total del Impuesto Sobre Nóminas a la tasa del 3 por ciento y los accesorios correspondientes, además de responder por la responsabilidad que se derive por su conducta.</w:t>
      </w:r>
    </w:p>
    <w:p w14:paraId="427E212D" w14:textId="77777777" w:rsidR="00DC35B7" w:rsidRPr="00DC35B7" w:rsidRDefault="00DC35B7" w:rsidP="00DC35B7">
      <w:pPr>
        <w:spacing w:line="360" w:lineRule="auto"/>
        <w:jc w:val="both"/>
        <w:rPr>
          <w:sz w:val="20"/>
          <w:szCs w:val="20"/>
        </w:rPr>
      </w:pPr>
    </w:p>
    <w:p w14:paraId="7BCB866C" w14:textId="77777777" w:rsidR="00DC35B7" w:rsidRPr="00DC35B7" w:rsidRDefault="00DC35B7" w:rsidP="00DC35B7">
      <w:pPr>
        <w:spacing w:line="360" w:lineRule="auto"/>
        <w:jc w:val="both"/>
        <w:rPr>
          <w:sz w:val="20"/>
          <w:szCs w:val="20"/>
        </w:rPr>
      </w:pPr>
      <w:r w:rsidRPr="00DC35B7">
        <w:rPr>
          <w:b/>
          <w:sz w:val="20"/>
          <w:szCs w:val="20"/>
        </w:rPr>
        <w:t>ARTÍCULO 20.</w:t>
      </w:r>
      <w:r w:rsidRPr="00DC35B7">
        <w:rPr>
          <w:sz w:val="20"/>
          <w:szCs w:val="20"/>
        </w:rPr>
        <w:t xml:space="preserve"> La Secretaría de Finanzas del Gobierno del Estado de Tlaxcala, previa revisión y validación de la información por parte de la Secretaría de Desarrollo Económico, expedirá Certificados de Promoción Fiscal, mismos que serán entregados a los beneficiarios por conducto de la Secretaría de Desarrollo Económico con la finalidad de promover y apoyar las actividades empresariales en materia de generación de nuevos empleos, en un plazo máximo de 7 días hábiles posteriores a la presentación de la solicitud. </w:t>
      </w:r>
    </w:p>
    <w:p w14:paraId="49F0DD96" w14:textId="77777777" w:rsidR="00DC35B7" w:rsidRPr="00DC35B7" w:rsidRDefault="00DC35B7" w:rsidP="00DC35B7">
      <w:pPr>
        <w:spacing w:line="360" w:lineRule="auto"/>
        <w:jc w:val="both"/>
        <w:rPr>
          <w:sz w:val="20"/>
          <w:szCs w:val="20"/>
        </w:rPr>
      </w:pPr>
      <w:r w:rsidRPr="00DC35B7">
        <w:rPr>
          <w:sz w:val="20"/>
          <w:szCs w:val="20"/>
        </w:rPr>
        <w:t>La respuesta que recaiga a la solicitud del Certificado de Promoción Fiscal, no constituirá instancia.</w:t>
      </w:r>
    </w:p>
    <w:p w14:paraId="3871A32D" w14:textId="77777777" w:rsidR="00DC35B7" w:rsidRPr="00DC35B7" w:rsidRDefault="00DC35B7" w:rsidP="00DC35B7">
      <w:pPr>
        <w:spacing w:line="360" w:lineRule="auto"/>
        <w:jc w:val="both"/>
        <w:rPr>
          <w:sz w:val="20"/>
          <w:szCs w:val="20"/>
        </w:rPr>
      </w:pPr>
    </w:p>
    <w:p w14:paraId="7A8DCD76" w14:textId="77777777" w:rsidR="00DC35B7" w:rsidRPr="00DC35B7" w:rsidRDefault="00DC35B7" w:rsidP="00DC35B7">
      <w:pPr>
        <w:spacing w:line="360" w:lineRule="auto"/>
        <w:jc w:val="both"/>
        <w:rPr>
          <w:sz w:val="20"/>
          <w:szCs w:val="20"/>
        </w:rPr>
      </w:pPr>
      <w:r w:rsidRPr="00DC35B7">
        <w:rPr>
          <w:b/>
          <w:sz w:val="20"/>
          <w:szCs w:val="20"/>
        </w:rPr>
        <w:t>ARTÍCULO 21.</w:t>
      </w:r>
      <w:r w:rsidRPr="00DC35B7">
        <w:rPr>
          <w:sz w:val="20"/>
          <w:szCs w:val="20"/>
        </w:rPr>
        <w:t xml:space="preserve"> La Secretaría de Finanzas, será la dependencia encargada de llevar a cabo los trámites administrativos necesarios para administrar y aplicar las exenciones e incentivos fiscales.</w:t>
      </w:r>
    </w:p>
    <w:p w14:paraId="2D101916" w14:textId="77777777" w:rsidR="00DC35B7" w:rsidRPr="00DC35B7" w:rsidRDefault="00DC35B7" w:rsidP="00DC35B7">
      <w:pPr>
        <w:spacing w:line="360" w:lineRule="auto"/>
        <w:jc w:val="both"/>
        <w:rPr>
          <w:sz w:val="20"/>
          <w:szCs w:val="20"/>
        </w:rPr>
      </w:pPr>
    </w:p>
    <w:p w14:paraId="5D9F2626" w14:textId="77777777" w:rsidR="00DC35B7" w:rsidRPr="00DC35B7" w:rsidRDefault="00DC35B7" w:rsidP="00DC35B7">
      <w:pPr>
        <w:spacing w:line="360" w:lineRule="auto"/>
        <w:jc w:val="both"/>
        <w:rPr>
          <w:sz w:val="20"/>
          <w:szCs w:val="20"/>
        </w:rPr>
      </w:pPr>
      <w:r w:rsidRPr="00DC35B7">
        <w:rPr>
          <w:b/>
          <w:sz w:val="20"/>
          <w:szCs w:val="20"/>
        </w:rPr>
        <w:t>ARTÍCULO 22.</w:t>
      </w:r>
      <w:r w:rsidRPr="00DC35B7">
        <w:rPr>
          <w:sz w:val="20"/>
          <w:szCs w:val="20"/>
        </w:rPr>
        <w:t xml:space="preserve"> Los Certificados de Promoción Fiscal deberán contener como mínimo, los datos siguientes: </w:t>
      </w:r>
    </w:p>
    <w:p w14:paraId="3D8772BF" w14:textId="77777777" w:rsidR="00DC35B7" w:rsidRPr="00DC35B7" w:rsidRDefault="00DC35B7" w:rsidP="00DC35B7">
      <w:pPr>
        <w:spacing w:line="360" w:lineRule="auto"/>
        <w:jc w:val="both"/>
        <w:rPr>
          <w:sz w:val="20"/>
          <w:szCs w:val="20"/>
        </w:rPr>
      </w:pPr>
    </w:p>
    <w:p w14:paraId="1049D54B"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Nombre, denominación o razón social del beneficiario, domicilio y Registro Federal de Contribuyentes. </w:t>
      </w:r>
    </w:p>
    <w:p w14:paraId="7B8851CB" w14:textId="77777777" w:rsidR="00DC35B7" w:rsidRPr="00DC35B7" w:rsidRDefault="00DC35B7" w:rsidP="00DC35B7">
      <w:pPr>
        <w:spacing w:line="360" w:lineRule="auto"/>
        <w:jc w:val="both"/>
        <w:rPr>
          <w:sz w:val="20"/>
          <w:szCs w:val="20"/>
        </w:rPr>
      </w:pPr>
    </w:p>
    <w:p w14:paraId="37B6D7C0"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Número de folio. </w:t>
      </w:r>
    </w:p>
    <w:p w14:paraId="7C7FB617" w14:textId="77777777" w:rsidR="00DC35B7" w:rsidRPr="00DC35B7" w:rsidRDefault="00DC35B7" w:rsidP="00DC35B7">
      <w:pPr>
        <w:spacing w:line="360" w:lineRule="auto"/>
        <w:jc w:val="both"/>
        <w:rPr>
          <w:sz w:val="20"/>
          <w:szCs w:val="20"/>
        </w:rPr>
      </w:pPr>
    </w:p>
    <w:p w14:paraId="4A798C49"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Fecha de expedición. </w:t>
      </w:r>
    </w:p>
    <w:p w14:paraId="3407B725" w14:textId="77777777" w:rsidR="00DC35B7" w:rsidRPr="00DC35B7" w:rsidRDefault="00DC35B7" w:rsidP="00DC35B7">
      <w:pPr>
        <w:spacing w:line="360" w:lineRule="auto"/>
        <w:jc w:val="both"/>
        <w:rPr>
          <w:sz w:val="20"/>
          <w:szCs w:val="20"/>
        </w:rPr>
      </w:pPr>
    </w:p>
    <w:p w14:paraId="2709CC20"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Monto del subsidio que se otorga. </w:t>
      </w:r>
    </w:p>
    <w:p w14:paraId="3DE8BE9E" w14:textId="77777777" w:rsidR="00DC35B7" w:rsidRPr="00DC35B7" w:rsidRDefault="00DC35B7" w:rsidP="00DC35B7">
      <w:pPr>
        <w:spacing w:line="360" w:lineRule="auto"/>
        <w:jc w:val="both"/>
        <w:rPr>
          <w:sz w:val="20"/>
          <w:szCs w:val="20"/>
        </w:rPr>
      </w:pPr>
    </w:p>
    <w:p w14:paraId="24E588D2"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Concepto e importe total de las contribuciones por las que se otorga el subsidio. </w:t>
      </w:r>
    </w:p>
    <w:p w14:paraId="14BE9677" w14:textId="77777777" w:rsidR="00DC35B7" w:rsidRPr="00DC35B7" w:rsidRDefault="00DC35B7" w:rsidP="00DC35B7">
      <w:pPr>
        <w:spacing w:line="360" w:lineRule="auto"/>
        <w:jc w:val="both"/>
        <w:rPr>
          <w:sz w:val="20"/>
          <w:szCs w:val="20"/>
        </w:rPr>
      </w:pPr>
    </w:p>
    <w:p w14:paraId="6E9F1337"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Periodo de las contribuciones que comprende el subsidio otorgado. </w:t>
      </w:r>
    </w:p>
    <w:p w14:paraId="67B129D4" w14:textId="77777777" w:rsidR="00DC35B7" w:rsidRPr="00DC35B7" w:rsidRDefault="00DC35B7" w:rsidP="00DC35B7">
      <w:pPr>
        <w:spacing w:line="360" w:lineRule="auto"/>
        <w:jc w:val="both"/>
        <w:rPr>
          <w:sz w:val="20"/>
          <w:szCs w:val="20"/>
        </w:rPr>
      </w:pPr>
    </w:p>
    <w:p w14:paraId="129E85CE" w14:textId="77777777" w:rsidR="00DC35B7" w:rsidRPr="00DC35B7" w:rsidRDefault="00DC35B7" w:rsidP="00DC35B7">
      <w:pPr>
        <w:numPr>
          <w:ilvl w:val="0"/>
          <w:numId w:val="7"/>
        </w:numPr>
        <w:spacing w:line="360" w:lineRule="auto"/>
        <w:ind w:left="426" w:hanging="426"/>
        <w:jc w:val="both"/>
        <w:rPr>
          <w:sz w:val="20"/>
          <w:szCs w:val="20"/>
        </w:rPr>
      </w:pPr>
      <w:r w:rsidRPr="00DC35B7">
        <w:rPr>
          <w:sz w:val="20"/>
          <w:szCs w:val="20"/>
        </w:rPr>
        <w:t xml:space="preserve">Vigencia del certificado. </w:t>
      </w:r>
    </w:p>
    <w:p w14:paraId="667FF6DE" w14:textId="77777777" w:rsidR="00DC35B7" w:rsidRPr="00DC35B7" w:rsidRDefault="00DC35B7" w:rsidP="00DC35B7">
      <w:pPr>
        <w:spacing w:line="360" w:lineRule="auto"/>
        <w:jc w:val="both"/>
        <w:rPr>
          <w:sz w:val="20"/>
          <w:szCs w:val="20"/>
        </w:rPr>
      </w:pPr>
    </w:p>
    <w:p w14:paraId="562E83FB" w14:textId="77777777" w:rsidR="00DC35B7" w:rsidRPr="00DC35B7" w:rsidRDefault="00DC35B7" w:rsidP="00DC35B7">
      <w:pPr>
        <w:spacing w:line="360" w:lineRule="auto"/>
        <w:jc w:val="both"/>
        <w:rPr>
          <w:sz w:val="20"/>
          <w:szCs w:val="20"/>
        </w:rPr>
      </w:pPr>
      <w:r w:rsidRPr="00DC35B7">
        <w:rPr>
          <w:sz w:val="20"/>
          <w:szCs w:val="20"/>
        </w:rPr>
        <w:t xml:space="preserve">VIII. Dependencia, nombre, cargo y firma de la autoridad que la expide. </w:t>
      </w:r>
    </w:p>
    <w:p w14:paraId="518A0C26" w14:textId="77777777" w:rsidR="00DC35B7" w:rsidRPr="00DC35B7" w:rsidRDefault="00DC35B7" w:rsidP="00DC35B7">
      <w:pPr>
        <w:spacing w:line="360" w:lineRule="auto"/>
        <w:jc w:val="both"/>
        <w:rPr>
          <w:sz w:val="20"/>
          <w:szCs w:val="20"/>
        </w:rPr>
      </w:pPr>
    </w:p>
    <w:p w14:paraId="3800F116" w14:textId="77777777" w:rsidR="00DC35B7" w:rsidRPr="00DC35B7" w:rsidRDefault="00DC35B7" w:rsidP="00DC35B7">
      <w:pPr>
        <w:spacing w:line="360" w:lineRule="auto"/>
        <w:jc w:val="both"/>
        <w:rPr>
          <w:sz w:val="20"/>
          <w:szCs w:val="20"/>
        </w:rPr>
      </w:pPr>
      <w:r w:rsidRPr="00DC35B7">
        <w:rPr>
          <w:b/>
          <w:sz w:val="20"/>
          <w:szCs w:val="20"/>
        </w:rPr>
        <w:t>ARTÍCULO 23.</w:t>
      </w:r>
      <w:r w:rsidRPr="00DC35B7">
        <w:rPr>
          <w:sz w:val="20"/>
          <w:szCs w:val="20"/>
        </w:rPr>
        <w:t xml:space="preserve"> Los contribuyentes a que se refiere esta Sección, una vez que obtengan el Certificado de Promoción Fiscal, presentarán en la plataforma de la Secretaría Finanzas la declaración del mes que corresponda, posteriormente deberán remitir el formato CPF-S1 a la Dirección de Ingresos y Fiscalización, para la integración de su expediente.</w:t>
      </w:r>
    </w:p>
    <w:p w14:paraId="172DA652" w14:textId="77777777" w:rsidR="00DC35B7" w:rsidRPr="00DC35B7" w:rsidRDefault="00DC35B7" w:rsidP="00DC35B7">
      <w:pPr>
        <w:spacing w:line="360" w:lineRule="auto"/>
        <w:jc w:val="both"/>
        <w:rPr>
          <w:sz w:val="20"/>
          <w:szCs w:val="20"/>
        </w:rPr>
      </w:pPr>
    </w:p>
    <w:p w14:paraId="4D525CA6" w14:textId="77777777" w:rsidR="00DC35B7" w:rsidRPr="00DC35B7" w:rsidRDefault="00DC35B7" w:rsidP="00DC35B7">
      <w:pPr>
        <w:spacing w:line="360" w:lineRule="auto"/>
        <w:jc w:val="both"/>
        <w:rPr>
          <w:sz w:val="20"/>
          <w:szCs w:val="20"/>
        </w:rPr>
      </w:pPr>
      <w:r w:rsidRPr="00DC35B7">
        <w:rPr>
          <w:sz w:val="20"/>
          <w:szCs w:val="20"/>
        </w:rPr>
        <w:t xml:space="preserve">El Impuesto Sobre Nóminas se pagará adjuntando el Certificado de Promoción Fiscal. La diferencia que resulte del impuesto a cargo y del pagado con el Certificado de Promoción Fiscal, será cubierta por el contribuyente, al momento de hacer efectivo dicho Certificado. </w:t>
      </w:r>
    </w:p>
    <w:p w14:paraId="6BB9235E" w14:textId="77777777" w:rsidR="00DC35B7" w:rsidRPr="00DC35B7" w:rsidRDefault="00DC35B7" w:rsidP="00DC35B7">
      <w:pPr>
        <w:spacing w:line="360" w:lineRule="auto"/>
        <w:jc w:val="both"/>
        <w:rPr>
          <w:sz w:val="20"/>
          <w:szCs w:val="20"/>
        </w:rPr>
      </w:pPr>
    </w:p>
    <w:p w14:paraId="388ECFE6" w14:textId="77777777" w:rsidR="00DC35B7" w:rsidRPr="00DC35B7" w:rsidRDefault="00DC35B7" w:rsidP="00DC35B7">
      <w:pPr>
        <w:spacing w:line="360" w:lineRule="auto"/>
        <w:jc w:val="both"/>
        <w:rPr>
          <w:sz w:val="20"/>
          <w:szCs w:val="20"/>
        </w:rPr>
      </w:pPr>
      <w:r w:rsidRPr="00DC35B7">
        <w:rPr>
          <w:b/>
          <w:sz w:val="20"/>
          <w:szCs w:val="20"/>
        </w:rPr>
        <w:t>ARTÍCULO 24.</w:t>
      </w:r>
      <w:r w:rsidRPr="00DC35B7">
        <w:rPr>
          <w:sz w:val="20"/>
          <w:szCs w:val="20"/>
        </w:rPr>
        <w:t xml:space="preserve"> A las personas físicas o morales sujetas al pago de la tasa del 3 por ciento del Impuesto Sobre Nóminas, cuyo domicilio sea temporal o permanente en el Estado, y que no gocen de los beneficios previstos en los artículos 16 a 18 de esta Ley, para el cálculo del Impuesto establecido en el artículo 131 del Código Financiero para el Estado de Tlaxcala y sus Municipios, gozarán de un incentivo fiscal equivalente al 33 por ciento del total del impuesto a pagar. </w:t>
      </w:r>
    </w:p>
    <w:p w14:paraId="59CA830B" w14:textId="77777777" w:rsidR="00DC35B7" w:rsidRPr="00DC35B7" w:rsidRDefault="00DC35B7" w:rsidP="00DC35B7">
      <w:pPr>
        <w:spacing w:line="360" w:lineRule="auto"/>
        <w:jc w:val="both"/>
        <w:rPr>
          <w:sz w:val="20"/>
          <w:szCs w:val="20"/>
        </w:rPr>
      </w:pPr>
    </w:p>
    <w:p w14:paraId="49122AB1" w14:textId="77777777" w:rsidR="00DC35B7" w:rsidRPr="00DC35B7" w:rsidRDefault="00DC35B7" w:rsidP="00DC35B7">
      <w:pPr>
        <w:spacing w:line="360" w:lineRule="auto"/>
        <w:jc w:val="both"/>
        <w:rPr>
          <w:sz w:val="20"/>
          <w:szCs w:val="20"/>
        </w:rPr>
      </w:pPr>
      <w:r w:rsidRPr="00DC35B7">
        <w:rPr>
          <w:sz w:val="20"/>
          <w:szCs w:val="20"/>
        </w:rPr>
        <w:t xml:space="preserve">Para la aplicación del incentivo fiscal del 33 por ciento, se deben cumplir con los requisitos siguientes: </w:t>
      </w:r>
    </w:p>
    <w:p w14:paraId="58FC9F24" w14:textId="77777777" w:rsidR="00DC35B7" w:rsidRPr="00DC35B7" w:rsidRDefault="00DC35B7" w:rsidP="00DC35B7">
      <w:pPr>
        <w:spacing w:line="360" w:lineRule="auto"/>
        <w:jc w:val="both"/>
        <w:rPr>
          <w:sz w:val="20"/>
          <w:szCs w:val="20"/>
        </w:rPr>
      </w:pPr>
    </w:p>
    <w:p w14:paraId="6E7215EC" w14:textId="77777777" w:rsidR="00DC35B7" w:rsidRPr="00DC35B7" w:rsidRDefault="00DC35B7" w:rsidP="00DC35B7">
      <w:pPr>
        <w:pStyle w:val="Prrafodelista"/>
        <w:numPr>
          <w:ilvl w:val="1"/>
          <w:numId w:val="26"/>
        </w:numPr>
        <w:spacing w:line="360" w:lineRule="auto"/>
        <w:ind w:left="426" w:hanging="426"/>
        <w:jc w:val="both"/>
        <w:rPr>
          <w:sz w:val="20"/>
          <w:szCs w:val="20"/>
        </w:rPr>
      </w:pPr>
      <w:r w:rsidRPr="00DC35B7">
        <w:rPr>
          <w:sz w:val="20"/>
          <w:szCs w:val="20"/>
        </w:rPr>
        <w:t xml:space="preserve">Que tengan su domicilio fiscal de manera temporal o permanente dentro del territorio del Estado de Tlaxcala. </w:t>
      </w:r>
    </w:p>
    <w:p w14:paraId="29BFE384" w14:textId="77777777" w:rsidR="00DC35B7" w:rsidRPr="00DC35B7" w:rsidRDefault="00DC35B7" w:rsidP="00DC35B7">
      <w:pPr>
        <w:spacing w:line="360" w:lineRule="auto"/>
        <w:ind w:left="426" w:hanging="426"/>
        <w:jc w:val="both"/>
        <w:rPr>
          <w:sz w:val="20"/>
          <w:szCs w:val="20"/>
        </w:rPr>
      </w:pPr>
    </w:p>
    <w:p w14:paraId="4187FE45" w14:textId="77777777" w:rsidR="00DC35B7" w:rsidRPr="00DC35B7" w:rsidRDefault="00DC35B7" w:rsidP="00DC35B7">
      <w:pPr>
        <w:pStyle w:val="Prrafodelista"/>
        <w:numPr>
          <w:ilvl w:val="1"/>
          <w:numId w:val="26"/>
        </w:numPr>
        <w:spacing w:line="360" w:lineRule="auto"/>
        <w:ind w:left="426" w:hanging="426"/>
        <w:jc w:val="both"/>
        <w:rPr>
          <w:sz w:val="20"/>
          <w:szCs w:val="20"/>
        </w:rPr>
      </w:pPr>
      <w:r w:rsidRPr="00DC35B7">
        <w:rPr>
          <w:sz w:val="20"/>
          <w:szCs w:val="20"/>
        </w:rPr>
        <w:t xml:space="preserve">Que se encuentren dados de alta en el padrón estatal de contribuyentes del Impuesto Sobre Nóminas. </w:t>
      </w:r>
    </w:p>
    <w:p w14:paraId="19326334" w14:textId="77777777" w:rsidR="00DC35B7" w:rsidRPr="00DC35B7" w:rsidRDefault="00DC35B7" w:rsidP="00DC35B7">
      <w:pPr>
        <w:spacing w:line="360" w:lineRule="auto"/>
        <w:ind w:left="426" w:hanging="426"/>
        <w:jc w:val="both"/>
        <w:rPr>
          <w:sz w:val="20"/>
          <w:szCs w:val="20"/>
        </w:rPr>
      </w:pPr>
    </w:p>
    <w:p w14:paraId="3D1475F7" w14:textId="77777777" w:rsidR="00DC35B7" w:rsidRPr="00DC35B7" w:rsidRDefault="00DC35B7" w:rsidP="00DC35B7">
      <w:pPr>
        <w:pStyle w:val="Prrafodelista"/>
        <w:numPr>
          <w:ilvl w:val="1"/>
          <w:numId w:val="26"/>
        </w:numPr>
        <w:spacing w:line="360" w:lineRule="auto"/>
        <w:ind w:left="426" w:hanging="426"/>
        <w:jc w:val="both"/>
        <w:rPr>
          <w:sz w:val="20"/>
          <w:szCs w:val="20"/>
        </w:rPr>
      </w:pPr>
      <w:r w:rsidRPr="00DC35B7">
        <w:rPr>
          <w:sz w:val="20"/>
          <w:szCs w:val="20"/>
        </w:rPr>
        <w:lastRenderedPageBreak/>
        <w:t xml:space="preserve">Que estén al corriente en el pago del Impuesto Sobre Nóminas y haber presentado sus declaraciones en tiempo y forma, durante los cinco ejercicios fiscales previos y del periodo que se otorgue. </w:t>
      </w:r>
    </w:p>
    <w:p w14:paraId="54FE67C9" w14:textId="77777777" w:rsidR="00DC35B7" w:rsidRPr="00DC35B7" w:rsidRDefault="00DC35B7" w:rsidP="00DC35B7">
      <w:pPr>
        <w:spacing w:line="360" w:lineRule="auto"/>
        <w:ind w:left="426" w:hanging="426"/>
        <w:jc w:val="both"/>
        <w:rPr>
          <w:sz w:val="20"/>
          <w:szCs w:val="20"/>
        </w:rPr>
      </w:pPr>
    </w:p>
    <w:p w14:paraId="3EE068CE" w14:textId="77777777" w:rsidR="00DC35B7" w:rsidRPr="00DC35B7" w:rsidRDefault="00DC35B7" w:rsidP="00DC35B7">
      <w:pPr>
        <w:pStyle w:val="Prrafodelista"/>
        <w:numPr>
          <w:ilvl w:val="1"/>
          <w:numId w:val="26"/>
        </w:numPr>
        <w:spacing w:line="360" w:lineRule="auto"/>
        <w:ind w:left="426" w:hanging="426"/>
        <w:jc w:val="both"/>
        <w:rPr>
          <w:sz w:val="20"/>
          <w:szCs w:val="20"/>
        </w:rPr>
      </w:pPr>
      <w:r w:rsidRPr="00DC35B7">
        <w:rPr>
          <w:sz w:val="20"/>
          <w:szCs w:val="20"/>
        </w:rPr>
        <w:t xml:space="preserve">Que no tengan en trámite medios de defensa en contra de adeudos fiscales por concepto del Impuesto Sobre Nóminas, o que teniéndolos, el interés fiscal esté plenamente garantizado a satisfacción de la autoridad fiscal. </w:t>
      </w:r>
    </w:p>
    <w:p w14:paraId="4221780F" w14:textId="77777777" w:rsidR="00DC35B7" w:rsidRPr="00DC35B7" w:rsidRDefault="00DC35B7" w:rsidP="00DC35B7">
      <w:pPr>
        <w:spacing w:line="360" w:lineRule="auto"/>
        <w:ind w:left="426" w:hanging="426"/>
        <w:jc w:val="both"/>
        <w:rPr>
          <w:sz w:val="20"/>
          <w:szCs w:val="20"/>
        </w:rPr>
      </w:pPr>
    </w:p>
    <w:p w14:paraId="1907AD65" w14:textId="77777777" w:rsidR="00DC35B7" w:rsidRPr="00DC35B7" w:rsidRDefault="00DC35B7" w:rsidP="00DC35B7">
      <w:pPr>
        <w:pStyle w:val="Prrafodelista"/>
        <w:numPr>
          <w:ilvl w:val="1"/>
          <w:numId w:val="26"/>
        </w:numPr>
        <w:spacing w:line="360" w:lineRule="auto"/>
        <w:ind w:left="426" w:hanging="426"/>
        <w:jc w:val="both"/>
        <w:rPr>
          <w:sz w:val="20"/>
          <w:szCs w:val="20"/>
        </w:rPr>
      </w:pPr>
      <w:r w:rsidRPr="00DC35B7">
        <w:rPr>
          <w:sz w:val="20"/>
          <w:szCs w:val="20"/>
        </w:rPr>
        <w:t xml:space="preserve">Que el pago del Impuesto Sobre Nóminas se realice con oportunidad, presentándose la declaración mensual dentro del plazo previsto en el artículo 136 del Código Financiero para el Estado de Tlaxcala y sus Municipios. </w:t>
      </w:r>
    </w:p>
    <w:p w14:paraId="5693BC47" w14:textId="77777777" w:rsidR="00DC35B7" w:rsidRPr="00DC35B7" w:rsidRDefault="00DC35B7" w:rsidP="00DC35B7">
      <w:pPr>
        <w:spacing w:line="360" w:lineRule="auto"/>
        <w:ind w:left="426" w:hanging="426"/>
        <w:jc w:val="both"/>
        <w:rPr>
          <w:sz w:val="20"/>
          <w:szCs w:val="20"/>
        </w:rPr>
      </w:pPr>
    </w:p>
    <w:p w14:paraId="7CAADFA8" w14:textId="77777777" w:rsidR="00DC35B7" w:rsidRPr="00DC35B7" w:rsidRDefault="00DC35B7" w:rsidP="00DC35B7">
      <w:pPr>
        <w:spacing w:line="360" w:lineRule="auto"/>
        <w:jc w:val="both"/>
        <w:rPr>
          <w:sz w:val="20"/>
          <w:szCs w:val="20"/>
        </w:rPr>
      </w:pPr>
      <w:r w:rsidRPr="00DC35B7">
        <w:rPr>
          <w:sz w:val="20"/>
          <w:szCs w:val="20"/>
        </w:rPr>
        <w:t xml:space="preserve">Si el pago se realiza fuera del plazo establecido, el contribuyente perderá automáticamente el derecho de gozar de este incentivo fiscal por el término de 5 ejercicios fiscales. </w:t>
      </w:r>
    </w:p>
    <w:p w14:paraId="42533780" w14:textId="77777777" w:rsidR="00DC35B7" w:rsidRPr="00DC35B7" w:rsidRDefault="00DC35B7" w:rsidP="00DC35B7">
      <w:pPr>
        <w:spacing w:line="360" w:lineRule="auto"/>
        <w:jc w:val="both"/>
        <w:rPr>
          <w:sz w:val="20"/>
          <w:szCs w:val="20"/>
        </w:rPr>
      </w:pPr>
    </w:p>
    <w:p w14:paraId="0D8512ED" w14:textId="77777777" w:rsidR="00DC35B7" w:rsidRPr="00DC35B7" w:rsidRDefault="00DC35B7" w:rsidP="00DC35B7">
      <w:pPr>
        <w:spacing w:line="360" w:lineRule="auto"/>
        <w:jc w:val="both"/>
        <w:rPr>
          <w:sz w:val="20"/>
          <w:szCs w:val="20"/>
        </w:rPr>
      </w:pPr>
      <w:r w:rsidRPr="00DC35B7">
        <w:rPr>
          <w:sz w:val="20"/>
          <w:szCs w:val="20"/>
        </w:rPr>
        <w:t xml:space="preserve">Una vez satisfechos los requisitos anteriores, los contribuyentes deberán: </w:t>
      </w:r>
    </w:p>
    <w:p w14:paraId="4533D761" w14:textId="77777777" w:rsidR="00DC35B7" w:rsidRPr="00DC35B7" w:rsidRDefault="00DC35B7" w:rsidP="00DC35B7">
      <w:pPr>
        <w:spacing w:line="360" w:lineRule="auto"/>
        <w:jc w:val="both"/>
        <w:rPr>
          <w:sz w:val="20"/>
          <w:szCs w:val="20"/>
        </w:rPr>
      </w:pPr>
    </w:p>
    <w:p w14:paraId="70DA7070" w14:textId="77777777" w:rsidR="00DC35B7" w:rsidRPr="00DC35B7" w:rsidRDefault="00DC35B7" w:rsidP="00DC35B7">
      <w:pPr>
        <w:spacing w:line="360" w:lineRule="auto"/>
        <w:jc w:val="both"/>
        <w:rPr>
          <w:sz w:val="20"/>
          <w:szCs w:val="20"/>
        </w:rPr>
      </w:pPr>
      <w:r w:rsidRPr="00DC35B7">
        <w:rPr>
          <w:sz w:val="20"/>
          <w:szCs w:val="20"/>
        </w:rPr>
        <w:t>1. Solicitar por escrito, dentro de los primeros cinco días hábiles del primer mes del trimestre que corresponda la aplicación del incentivo fiscal del 33 por ciento, de no hacerlo así, perderá el beneficio fiscal al trimestre en curso.</w:t>
      </w:r>
    </w:p>
    <w:p w14:paraId="07186E7B" w14:textId="77777777" w:rsidR="00DC35B7" w:rsidRPr="00DC35B7" w:rsidRDefault="00DC35B7" w:rsidP="00DC35B7">
      <w:pPr>
        <w:spacing w:line="360" w:lineRule="auto"/>
        <w:jc w:val="both"/>
        <w:rPr>
          <w:sz w:val="20"/>
          <w:szCs w:val="20"/>
        </w:rPr>
      </w:pPr>
    </w:p>
    <w:p w14:paraId="4F53067A" w14:textId="77777777" w:rsidR="00DC35B7" w:rsidRPr="00DC35B7" w:rsidRDefault="00DC35B7" w:rsidP="00DC35B7">
      <w:pPr>
        <w:spacing w:line="360" w:lineRule="auto"/>
        <w:jc w:val="both"/>
        <w:rPr>
          <w:sz w:val="20"/>
          <w:szCs w:val="20"/>
        </w:rPr>
      </w:pPr>
      <w:r w:rsidRPr="00DC35B7">
        <w:rPr>
          <w:sz w:val="20"/>
          <w:szCs w:val="20"/>
        </w:rPr>
        <w:t>2. La solicitud a la Secretaría de Finanzas, debe contener como mínimo el Registro Federal de Contribuyentes, domicilio fiscal, número telefónico, correo electrónico, en caso de personas físicas, firma del solicitante y tratándose de personas morales, además de la firma del representante legal original para cotejo y copia del acta constitutiva correspondiente.</w:t>
      </w:r>
    </w:p>
    <w:p w14:paraId="3F2C4D16" w14:textId="77777777" w:rsidR="00DC35B7" w:rsidRPr="00DC35B7" w:rsidRDefault="00DC35B7" w:rsidP="00DC35B7">
      <w:pPr>
        <w:spacing w:line="360" w:lineRule="auto"/>
        <w:jc w:val="both"/>
        <w:rPr>
          <w:sz w:val="20"/>
          <w:szCs w:val="20"/>
        </w:rPr>
      </w:pPr>
    </w:p>
    <w:p w14:paraId="21962BDF" w14:textId="77777777" w:rsidR="00DC35B7" w:rsidRPr="00DC35B7" w:rsidRDefault="00DC35B7" w:rsidP="00DC35B7">
      <w:pPr>
        <w:spacing w:line="360" w:lineRule="auto"/>
        <w:jc w:val="both"/>
        <w:rPr>
          <w:sz w:val="20"/>
          <w:szCs w:val="20"/>
        </w:rPr>
      </w:pPr>
      <w:r w:rsidRPr="00DC35B7">
        <w:rPr>
          <w:sz w:val="20"/>
          <w:szCs w:val="20"/>
        </w:rPr>
        <w:t>3. Una vez presentada la solicitud por escrito, la Secretaría de Finanzas determinará en un plazo de cinco a ocho días hábiles si cumple o no con los requisitos establecidos en las fracciones I a V del presente artículo, para acceder al incentivo fiscal, lo que será informado a la persona contribuyente dentro de los 10 días hábiles posteriores a su determinación.</w:t>
      </w:r>
    </w:p>
    <w:p w14:paraId="191DCC8D" w14:textId="77777777" w:rsidR="00DC35B7" w:rsidRPr="00DC35B7" w:rsidRDefault="00DC35B7" w:rsidP="00DC35B7">
      <w:pPr>
        <w:spacing w:line="360" w:lineRule="auto"/>
        <w:jc w:val="both"/>
        <w:rPr>
          <w:sz w:val="20"/>
          <w:szCs w:val="20"/>
        </w:rPr>
      </w:pPr>
    </w:p>
    <w:p w14:paraId="273CFC17" w14:textId="77777777" w:rsidR="00DC35B7" w:rsidRPr="00DC35B7" w:rsidRDefault="00DC35B7" w:rsidP="00DC35B7">
      <w:pPr>
        <w:spacing w:line="360" w:lineRule="auto"/>
        <w:jc w:val="both"/>
        <w:rPr>
          <w:sz w:val="20"/>
          <w:szCs w:val="20"/>
        </w:rPr>
      </w:pPr>
      <w:r w:rsidRPr="00DC35B7">
        <w:rPr>
          <w:sz w:val="20"/>
          <w:szCs w:val="20"/>
        </w:rPr>
        <w:lastRenderedPageBreak/>
        <w:t xml:space="preserve">La solicitud del incentivo fiscal previsto en este artículo, y siendo ésta positiva se otorgará de manera trimestral. El incentivo fiscal previsto en este artículo no es aplicable si se goza de los beneficios previstos en los artículos 16 al 18 de la presente Ley. </w:t>
      </w:r>
    </w:p>
    <w:p w14:paraId="699FC10A" w14:textId="77777777" w:rsidR="00DC35B7" w:rsidRPr="00DC35B7" w:rsidRDefault="00DC35B7" w:rsidP="00DC35B7">
      <w:pPr>
        <w:spacing w:line="360" w:lineRule="auto"/>
        <w:jc w:val="both"/>
        <w:rPr>
          <w:b/>
          <w:sz w:val="20"/>
          <w:szCs w:val="20"/>
        </w:rPr>
      </w:pPr>
    </w:p>
    <w:p w14:paraId="30BD8FCD" w14:textId="77777777" w:rsidR="00DC35B7" w:rsidRPr="00DC35B7" w:rsidRDefault="00DC35B7" w:rsidP="00DC35B7">
      <w:pPr>
        <w:spacing w:line="360" w:lineRule="auto"/>
        <w:jc w:val="center"/>
        <w:rPr>
          <w:b/>
          <w:sz w:val="20"/>
          <w:szCs w:val="20"/>
        </w:rPr>
      </w:pPr>
      <w:r w:rsidRPr="00DC35B7">
        <w:rPr>
          <w:b/>
          <w:sz w:val="20"/>
          <w:szCs w:val="20"/>
        </w:rPr>
        <w:t xml:space="preserve">Sección II </w:t>
      </w:r>
    </w:p>
    <w:p w14:paraId="734265EA" w14:textId="77777777" w:rsidR="00DC35B7" w:rsidRPr="00DC35B7" w:rsidRDefault="00DC35B7" w:rsidP="00DC35B7">
      <w:pPr>
        <w:spacing w:line="360" w:lineRule="auto"/>
        <w:jc w:val="center"/>
        <w:rPr>
          <w:sz w:val="20"/>
          <w:szCs w:val="20"/>
        </w:rPr>
      </w:pPr>
      <w:r w:rsidRPr="00DC35B7">
        <w:rPr>
          <w:b/>
          <w:sz w:val="20"/>
          <w:szCs w:val="20"/>
        </w:rPr>
        <w:t>Impuesto Sobre Adquisición de Vehículos Automotores Usados</w:t>
      </w:r>
    </w:p>
    <w:p w14:paraId="554CB5EC" w14:textId="77777777" w:rsidR="00DC35B7" w:rsidRPr="00DC35B7" w:rsidRDefault="00DC35B7" w:rsidP="00DC35B7">
      <w:pPr>
        <w:spacing w:line="360" w:lineRule="auto"/>
        <w:jc w:val="both"/>
        <w:rPr>
          <w:sz w:val="20"/>
          <w:szCs w:val="20"/>
        </w:rPr>
      </w:pPr>
    </w:p>
    <w:p w14:paraId="7AEBF892" w14:textId="77777777" w:rsidR="00DC35B7" w:rsidRPr="00DC35B7" w:rsidRDefault="00DC35B7" w:rsidP="00DC35B7">
      <w:pPr>
        <w:spacing w:line="360" w:lineRule="auto"/>
        <w:jc w:val="both"/>
        <w:rPr>
          <w:sz w:val="20"/>
          <w:szCs w:val="20"/>
        </w:rPr>
      </w:pPr>
      <w:r w:rsidRPr="00DC35B7">
        <w:rPr>
          <w:b/>
          <w:sz w:val="20"/>
          <w:szCs w:val="20"/>
        </w:rPr>
        <w:t>ARTÍCULO 25.</w:t>
      </w:r>
      <w:r w:rsidRPr="00DC35B7">
        <w:rPr>
          <w:sz w:val="20"/>
          <w:szCs w:val="20"/>
        </w:rPr>
        <w:t xml:space="preserve"> Los contribuyentes del Impuesto Sobre Adquisición de Vehículos Automotores Usados a que se refiere el artículo 137 y demás correlativos del Código Financiero para el Estado de Tlaxcala y sus Municipios, que regularicen su situación fiscal mediante su entero en una sola exhibición, gozarán de una condonación en recargos y multas conforme a los porcentajes siguientes: </w:t>
      </w:r>
    </w:p>
    <w:p w14:paraId="49ABF113" w14:textId="77777777" w:rsidR="00DC35B7" w:rsidRPr="00DC35B7" w:rsidRDefault="00DC35B7" w:rsidP="00DC35B7">
      <w:pPr>
        <w:spacing w:line="360" w:lineRule="auto"/>
        <w:jc w:val="both"/>
        <w:rPr>
          <w:sz w:val="20"/>
          <w:szCs w:val="20"/>
        </w:rPr>
      </w:pPr>
    </w:p>
    <w:tbl>
      <w:tblPr>
        <w:tblW w:w="0" w:type="auto"/>
        <w:jc w:val="center"/>
        <w:tblLook w:val="04A0" w:firstRow="1" w:lastRow="0" w:firstColumn="1" w:lastColumn="0" w:noHBand="0" w:noVBand="1"/>
      </w:tblPr>
      <w:tblGrid>
        <w:gridCol w:w="3510"/>
        <w:gridCol w:w="2268"/>
      </w:tblGrid>
      <w:tr w:rsidR="00DC35B7" w:rsidRPr="00DC35B7" w14:paraId="6C6A377D" w14:textId="77777777" w:rsidTr="00B77C25">
        <w:trPr>
          <w:jc w:val="center"/>
        </w:trPr>
        <w:tc>
          <w:tcPr>
            <w:tcW w:w="3510" w:type="dxa"/>
            <w:shd w:val="clear" w:color="auto" w:fill="auto"/>
          </w:tcPr>
          <w:p w14:paraId="644C3F71" w14:textId="77777777" w:rsidR="00DC35B7" w:rsidRPr="00DC35B7" w:rsidRDefault="00DC35B7" w:rsidP="00B77C25">
            <w:pPr>
              <w:spacing w:line="360" w:lineRule="auto"/>
              <w:jc w:val="center"/>
              <w:rPr>
                <w:b/>
                <w:sz w:val="20"/>
                <w:szCs w:val="20"/>
              </w:rPr>
            </w:pPr>
            <w:r w:rsidRPr="00DC35B7">
              <w:rPr>
                <w:b/>
                <w:sz w:val="20"/>
                <w:szCs w:val="20"/>
              </w:rPr>
              <w:t>Periodo</w:t>
            </w:r>
          </w:p>
        </w:tc>
        <w:tc>
          <w:tcPr>
            <w:tcW w:w="2268" w:type="dxa"/>
            <w:shd w:val="clear" w:color="auto" w:fill="auto"/>
          </w:tcPr>
          <w:p w14:paraId="5C2AAE36" w14:textId="77777777" w:rsidR="00DC35B7" w:rsidRPr="00DC35B7" w:rsidRDefault="00DC35B7" w:rsidP="00B77C25">
            <w:pPr>
              <w:spacing w:line="360" w:lineRule="auto"/>
              <w:jc w:val="center"/>
              <w:rPr>
                <w:b/>
                <w:sz w:val="20"/>
                <w:szCs w:val="20"/>
              </w:rPr>
            </w:pPr>
            <w:r w:rsidRPr="00DC35B7">
              <w:rPr>
                <w:b/>
                <w:sz w:val="20"/>
                <w:szCs w:val="20"/>
              </w:rPr>
              <w:t>Porcentaje</w:t>
            </w:r>
          </w:p>
        </w:tc>
      </w:tr>
      <w:tr w:rsidR="00DC35B7" w:rsidRPr="00DC35B7" w14:paraId="264D7447" w14:textId="77777777" w:rsidTr="00B77C25">
        <w:trPr>
          <w:jc w:val="center"/>
        </w:trPr>
        <w:tc>
          <w:tcPr>
            <w:tcW w:w="3510" w:type="dxa"/>
            <w:shd w:val="clear" w:color="auto" w:fill="auto"/>
          </w:tcPr>
          <w:p w14:paraId="41DFA980" w14:textId="77777777" w:rsidR="00DC35B7" w:rsidRPr="00DC35B7" w:rsidRDefault="00DC35B7" w:rsidP="00B77C25">
            <w:pPr>
              <w:spacing w:line="360" w:lineRule="auto"/>
              <w:jc w:val="center"/>
              <w:rPr>
                <w:sz w:val="20"/>
                <w:szCs w:val="20"/>
              </w:rPr>
            </w:pPr>
            <w:r w:rsidRPr="00DC35B7">
              <w:rPr>
                <w:sz w:val="20"/>
                <w:szCs w:val="20"/>
              </w:rPr>
              <w:t>Enero – Abril</w:t>
            </w:r>
          </w:p>
        </w:tc>
        <w:tc>
          <w:tcPr>
            <w:tcW w:w="2268" w:type="dxa"/>
            <w:shd w:val="clear" w:color="auto" w:fill="auto"/>
          </w:tcPr>
          <w:p w14:paraId="3C766D57" w14:textId="77777777" w:rsidR="00DC35B7" w:rsidRPr="00DC35B7" w:rsidRDefault="00DC35B7" w:rsidP="00B77C25">
            <w:pPr>
              <w:spacing w:line="360" w:lineRule="auto"/>
              <w:jc w:val="center"/>
              <w:rPr>
                <w:sz w:val="20"/>
                <w:szCs w:val="20"/>
              </w:rPr>
            </w:pPr>
            <w:r w:rsidRPr="00DC35B7">
              <w:rPr>
                <w:sz w:val="20"/>
                <w:szCs w:val="20"/>
              </w:rPr>
              <w:t>100</w:t>
            </w:r>
          </w:p>
        </w:tc>
      </w:tr>
    </w:tbl>
    <w:p w14:paraId="0472A130" w14:textId="77777777" w:rsidR="00DC35B7" w:rsidRPr="00DC35B7" w:rsidRDefault="00DC35B7" w:rsidP="00DC35B7">
      <w:pPr>
        <w:spacing w:line="360" w:lineRule="auto"/>
        <w:jc w:val="center"/>
        <w:rPr>
          <w:b/>
          <w:sz w:val="20"/>
          <w:szCs w:val="20"/>
        </w:rPr>
      </w:pPr>
    </w:p>
    <w:p w14:paraId="3C9E564D" w14:textId="77777777" w:rsidR="00DC35B7" w:rsidRPr="00DC35B7" w:rsidRDefault="00DC35B7" w:rsidP="00DC35B7">
      <w:pPr>
        <w:spacing w:line="360" w:lineRule="auto"/>
        <w:jc w:val="center"/>
        <w:rPr>
          <w:b/>
          <w:sz w:val="20"/>
          <w:szCs w:val="20"/>
        </w:rPr>
      </w:pPr>
    </w:p>
    <w:p w14:paraId="216193BA" w14:textId="77777777" w:rsidR="00DC35B7" w:rsidRPr="00DC35B7" w:rsidRDefault="00DC35B7" w:rsidP="00DC35B7">
      <w:pPr>
        <w:spacing w:line="360" w:lineRule="auto"/>
        <w:jc w:val="center"/>
        <w:rPr>
          <w:b/>
          <w:sz w:val="20"/>
          <w:szCs w:val="20"/>
        </w:rPr>
      </w:pPr>
      <w:r w:rsidRPr="00DC35B7">
        <w:rPr>
          <w:b/>
          <w:sz w:val="20"/>
          <w:szCs w:val="20"/>
        </w:rPr>
        <w:t>Sección III</w:t>
      </w:r>
    </w:p>
    <w:p w14:paraId="376D128C" w14:textId="77777777" w:rsidR="00DC35B7" w:rsidRPr="00DC35B7" w:rsidRDefault="00DC35B7" w:rsidP="00DC35B7">
      <w:pPr>
        <w:spacing w:line="360" w:lineRule="auto"/>
        <w:jc w:val="center"/>
        <w:rPr>
          <w:b/>
          <w:sz w:val="20"/>
          <w:szCs w:val="20"/>
        </w:rPr>
      </w:pPr>
      <w:r w:rsidRPr="00DC35B7">
        <w:rPr>
          <w:b/>
          <w:sz w:val="20"/>
          <w:szCs w:val="20"/>
        </w:rPr>
        <w:t>Impuesto Estatal Sobre Tenencia o Uso de Vehículos</w:t>
      </w:r>
    </w:p>
    <w:p w14:paraId="6E6D65BD" w14:textId="77777777" w:rsidR="00DC35B7" w:rsidRPr="00DC35B7" w:rsidRDefault="00DC35B7" w:rsidP="00DC35B7">
      <w:pPr>
        <w:spacing w:line="360" w:lineRule="auto"/>
        <w:jc w:val="both"/>
        <w:rPr>
          <w:sz w:val="20"/>
          <w:szCs w:val="20"/>
        </w:rPr>
      </w:pPr>
    </w:p>
    <w:p w14:paraId="75E4FE8A" w14:textId="77777777" w:rsidR="00DC35B7" w:rsidRPr="00DC35B7" w:rsidRDefault="00DC35B7" w:rsidP="00DC35B7">
      <w:pPr>
        <w:spacing w:line="360" w:lineRule="auto"/>
        <w:jc w:val="both"/>
        <w:rPr>
          <w:sz w:val="20"/>
          <w:szCs w:val="20"/>
        </w:rPr>
      </w:pPr>
      <w:r w:rsidRPr="00DC35B7">
        <w:rPr>
          <w:b/>
          <w:sz w:val="20"/>
          <w:szCs w:val="20"/>
        </w:rPr>
        <w:t>ARTÍCULO 26.</w:t>
      </w:r>
      <w:r w:rsidRPr="00DC35B7">
        <w:rPr>
          <w:sz w:val="20"/>
          <w:szCs w:val="20"/>
        </w:rPr>
        <w:t xml:space="preserve"> A los propietarios, tenedores o usuarios de vehículos automotores que tengan la obligación de pagar el Impuesto Estatal Sobre Tenencia o Uso de Vehículos a que se refiere el artículo 91 y demás relativos del Código Financiero para el Estado de Tlaxcala y sus Municipios, que tengan adeudos de ejercicios anteriores a 2023, sólo pagarán el impuesto correspondiente a los dos últimos años adeudados, sin pagar multas, recargos y actualizaciones, conjuntamente con el pago del impuesto correspondiente al Ejercicio Fiscal 2023, siempre y cuando regularicen su situación a más tardar el 30 de abril de 2023, y cumplan con los requisitos que para tal efecto establezca la Secretaría de Finanzas y la Secretaría de Movilidad y Transporte.</w:t>
      </w:r>
    </w:p>
    <w:p w14:paraId="6D05F023" w14:textId="77777777" w:rsidR="00DC35B7" w:rsidRPr="00DC35B7" w:rsidRDefault="00DC35B7" w:rsidP="00DC35B7">
      <w:pPr>
        <w:spacing w:line="360" w:lineRule="auto"/>
        <w:jc w:val="both"/>
        <w:rPr>
          <w:sz w:val="20"/>
          <w:szCs w:val="20"/>
        </w:rPr>
      </w:pPr>
    </w:p>
    <w:p w14:paraId="17DA603C" w14:textId="77777777" w:rsidR="00DC35B7" w:rsidRPr="00DC35B7" w:rsidRDefault="00DC35B7" w:rsidP="00DC35B7">
      <w:pPr>
        <w:spacing w:line="360" w:lineRule="auto"/>
        <w:jc w:val="both"/>
        <w:rPr>
          <w:sz w:val="20"/>
          <w:szCs w:val="20"/>
        </w:rPr>
      </w:pPr>
      <w:r w:rsidRPr="00DC35B7">
        <w:rPr>
          <w:b/>
          <w:sz w:val="20"/>
          <w:szCs w:val="20"/>
        </w:rPr>
        <w:t>ARTÍCULO 27.</w:t>
      </w:r>
      <w:r w:rsidRPr="00DC35B7">
        <w:rPr>
          <w:sz w:val="20"/>
          <w:szCs w:val="20"/>
        </w:rPr>
        <w:t xml:space="preserve"> Para efectos de los artículos 97 A y 97 B del Código Financiero para el Estado de Tlaxcala y sus Municipios, los propietarios, tenedores o usuarios de vehículos automotores, cuyo valor total del vehículo sea hasta por un monto de $550,000.00, calcularán el impuesto aplicando la tasa del cero por ciento.</w:t>
      </w:r>
    </w:p>
    <w:p w14:paraId="2FAA9878" w14:textId="77777777" w:rsidR="00DC35B7" w:rsidRPr="00DC35B7" w:rsidRDefault="00DC35B7" w:rsidP="00DC35B7">
      <w:pPr>
        <w:spacing w:line="360" w:lineRule="auto"/>
        <w:jc w:val="both"/>
        <w:rPr>
          <w:sz w:val="20"/>
          <w:szCs w:val="20"/>
        </w:rPr>
      </w:pPr>
    </w:p>
    <w:p w14:paraId="3EA7EFB0" w14:textId="77777777" w:rsidR="00DC35B7" w:rsidRPr="00DC35B7" w:rsidRDefault="00DC35B7" w:rsidP="00DC35B7">
      <w:pPr>
        <w:spacing w:line="360" w:lineRule="auto"/>
        <w:jc w:val="both"/>
        <w:rPr>
          <w:sz w:val="20"/>
          <w:szCs w:val="20"/>
        </w:rPr>
      </w:pPr>
      <w:r w:rsidRPr="00DC35B7">
        <w:rPr>
          <w:sz w:val="20"/>
          <w:szCs w:val="20"/>
        </w:rPr>
        <w:t>Para los casos en que el valor total del vehículo, sea superior a la cantidad referida en el párrafo anterior, el impuesto se calculará sobre la diferencia obtenida entre el valor total del vehículo y la cantidad de $550,000.00, aplicando los procedimientos establecidos en la Sección II o III, del Capítulo I, del Título Cuarto, del Código Financiero para el Estado de Tlaxcala y sus Municipios, según sea el caso.</w:t>
      </w:r>
    </w:p>
    <w:p w14:paraId="4BA30057" w14:textId="77777777" w:rsidR="00DC35B7" w:rsidRPr="00DC35B7" w:rsidRDefault="00DC35B7" w:rsidP="00DC35B7">
      <w:pPr>
        <w:spacing w:line="360" w:lineRule="auto"/>
        <w:jc w:val="both"/>
        <w:rPr>
          <w:sz w:val="20"/>
          <w:szCs w:val="20"/>
        </w:rPr>
      </w:pPr>
    </w:p>
    <w:p w14:paraId="4750D56F" w14:textId="77777777" w:rsidR="00DC35B7" w:rsidRPr="00DC35B7" w:rsidRDefault="00DC35B7" w:rsidP="00DC35B7">
      <w:pPr>
        <w:spacing w:line="360" w:lineRule="auto"/>
        <w:jc w:val="both"/>
        <w:rPr>
          <w:sz w:val="20"/>
          <w:szCs w:val="20"/>
        </w:rPr>
      </w:pPr>
      <w:r w:rsidRPr="00DC35B7">
        <w:rPr>
          <w:b/>
          <w:sz w:val="20"/>
          <w:szCs w:val="20"/>
        </w:rPr>
        <w:t>ARTÍCULO 28.</w:t>
      </w:r>
      <w:r w:rsidRPr="00DC35B7">
        <w:rPr>
          <w:sz w:val="20"/>
          <w:szCs w:val="20"/>
        </w:rPr>
        <w:t xml:space="preserve"> A los propietarios, tenedores o usuarios de vehículos automotores híbridos o que utilicen además de combustibles fósiles una fuente alterna de energía para su impulso, y que tengan la obligación de pagar el Impuesto Estatal Sobre Tenencia o Uso de Vehículos a que se refiere el artículo 91 y demás relativos del Código Financiero para el Estado de Tlaxcala y sus Municipios, estarán exentos del pago del impuesto correspondiente, durante el Ejercicio Fiscal 2023. Lo anterior, y de acuerdo con el domicilio fiscal que corresponda, no los exime de presentarse en las Delegaciones de la Secretaría de Movilidad y Transporte para efectuar los movimientos vehiculares aplicables, así como en las Oficinas Recaudadoras de la Secretaría de Finanzas para realizar los pagos respectivos.</w:t>
      </w:r>
    </w:p>
    <w:p w14:paraId="0318D646" w14:textId="77777777" w:rsidR="00DC35B7" w:rsidRPr="00DC35B7" w:rsidRDefault="00DC35B7" w:rsidP="00DC35B7">
      <w:pPr>
        <w:spacing w:line="360" w:lineRule="auto"/>
        <w:jc w:val="center"/>
        <w:rPr>
          <w:b/>
          <w:sz w:val="20"/>
          <w:szCs w:val="20"/>
        </w:rPr>
      </w:pPr>
    </w:p>
    <w:p w14:paraId="6AE0F1D3" w14:textId="77777777" w:rsidR="00DC35B7" w:rsidRPr="00DC35B7" w:rsidRDefault="00DC35B7" w:rsidP="00DC35B7">
      <w:pPr>
        <w:spacing w:line="360" w:lineRule="auto"/>
        <w:jc w:val="center"/>
        <w:rPr>
          <w:b/>
          <w:sz w:val="20"/>
          <w:szCs w:val="20"/>
        </w:rPr>
      </w:pPr>
      <w:r w:rsidRPr="00DC35B7">
        <w:rPr>
          <w:b/>
          <w:sz w:val="20"/>
          <w:szCs w:val="20"/>
        </w:rPr>
        <w:t>Sección IV</w:t>
      </w:r>
    </w:p>
    <w:p w14:paraId="52AA26E9" w14:textId="77777777" w:rsidR="00DC35B7" w:rsidRPr="00DC35B7" w:rsidRDefault="00DC35B7" w:rsidP="00DC35B7">
      <w:pPr>
        <w:spacing w:line="360" w:lineRule="auto"/>
        <w:jc w:val="center"/>
        <w:rPr>
          <w:b/>
          <w:sz w:val="20"/>
          <w:szCs w:val="20"/>
        </w:rPr>
      </w:pPr>
      <w:r w:rsidRPr="00DC35B7">
        <w:rPr>
          <w:b/>
          <w:sz w:val="20"/>
          <w:szCs w:val="20"/>
        </w:rPr>
        <w:t>Derechos por los servicios prestados por la Secretaría de Movilidad y Transporte</w:t>
      </w:r>
    </w:p>
    <w:p w14:paraId="64A3A1C4" w14:textId="77777777" w:rsidR="00DC35B7" w:rsidRPr="00DC35B7" w:rsidRDefault="00DC35B7" w:rsidP="00DC35B7">
      <w:pPr>
        <w:spacing w:line="360" w:lineRule="auto"/>
        <w:jc w:val="both"/>
        <w:rPr>
          <w:sz w:val="20"/>
          <w:szCs w:val="20"/>
        </w:rPr>
      </w:pPr>
    </w:p>
    <w:p w14:paraId="7481D655" w14:textId="77777777" w:rsidR="00DC35B7" w:rsidRPr="00DC35B7" w:rsidRDefault="00DC35B7" w:rsidP="00DC35B7">
      <w:pPr>
        <w:spacing w:line="360" w:lineRule="auto"/>
        <w:jc w:val="center"/>
        <w:rPr>
          <w:b/>
          <w:sz w:val="20"/>
          <w:szCs w:val="20"/>
        </w:rPr>
      </w:pPr>
      <w:r w:rsidRPr="00DC35B7">
        <w:rPr>
          <w:b/>
          <w:sz w:val="20"/>
          <w:szCs w:val="20"/>
        </w:rPr>
        <w:t>Subsección I</w:t>
      </w:r>
    </w:p>
    <w:p w14:paraId="34087DEE" w14:textId="77777777" w:rsidR="00DC35B7" w:rsidRPr="00DC35B7" w:rsidRDefault="00DC35B7" w:rsidP="00DC35B7">
      <w:pPr>
        <w:spacing w:line="360" w:lineRule="auto"/>
        <w:jc w:val="center"/>
        <w:rPr>
          <w:b/>
          <w:sz w:val="20"/>
          <w:szCs w:val="20"/>
        </w:rPr>
      </w:pPr>
      <w:r w:rsidRPr="00DC35B7">
        <w:rPr>
          <w:b/>
          <w:sz w:val="20"/>
          <w:szCs w:val="20"/>
        </w:rPr>
        <w:t>Servicio Público</w:t>
      </w:r>
    </w:p>
    <w:p w14:paraId="44D3E176" w14:textId="77777777" w:rsidR="00DC35B7" w:rsidRPr="00DC35B7" w:rsidRDefault="00DC35B7" w:rsidP="00DC35B7">
      <w:pPr>
        <w:spacing w:line="360" w:lineRule="auto"/>
        <w:jc w:val="both"/>
        <w:rPr>
          <w:sz w:val="20"/>
          <w:szCs w:val="20"/>
        </w:rPr>
      </w:pPr>
    </w:p>
    <w:p w14:paraId="0F7D4915" w14:textId="77777777" w:rsidR="00DC35B7" w:rsidRPr="00DC35B7" w:rsidRDefault="00DC35B7" w:rsidP="00DC35B7">
      <w:pPr>
        <w:spacing w:line="360" w:lineRule="auto"/>
        <w:jc w:val="both"/>
        <w:rPr>
          <w:sz w:val="20"/>
          <w:szCs w:val="20"/>
        </w:rPr>
      </w:pPr>
      <w:r w:rsidRPr="00DC35B7">
        <w:rPr>
          <w:b/>
          <w:sz w:val="20"/>
          <w:szCs w:val="20"/>
        </w:rPr>
        <w:t>ARTÍCULO 29.</w:t>
      </w:r>
      <w:r w:rsidRPr="00DC35B7">
        <w:rPr>
          <w:sz w:val="20"/>
          <w:szCs w:val="20"/>
        </w:rPr>
        <w:t xml:space="preserve"> Para efectos del artículo 153, fracciones I inciso a); III incisos a), b) y g); IV incisos a), b) y c); VI inciso a); VIII incisos a), b) y c) y IX inciso e), del Código Financiero para el Estado de Tlaxcala y sus Municipios, relativo al pago de derechos por concepto de derechos causados a los concesionarios y operadores de unidades del servicio de transporte público, por concepto de expedición de licencias de chofer tipo A, refrendo anual y refrendos atrasados de concesiones, reexpedición de la concesión para la prestación del servicio público de transporte, transmisión de concesiones del servicio público de transporte y ampliación de ruta, para el Ejercicio Fiscal 2023, se otorga una reducción del 70 por ciento de su costo, a los concesionarios, empresas y operadores de unidades destinadas a la prestación del servicio de transporte público, siempre que efectúen su pago a más tardar el 30 de abril de 2023.</w:t>
      </w:r>
    </w:p>
    <w:p w14:paraId="54695C9B" w14:textId="77777777" w:rsidR="00DC35B7" w:rsidRPr="00DC35B7" w:rsidRDefault="00DC35B7" w:rsidP="00DC35B7">
      <w:pPr>
        <w:spacing w:line="360" w:lineRule="auto"/>
        <w:jc w:val="both"/>
        <w:rPr>
          <w:sz w:val="20"/>
          <w:szCs w:val="20"/>
        </w:rPr>
      </w:pPr>
    </w:p>
    <w:p w14:paraId="69128611" w14:textId="77777777" w:rsidR="00DC35B7" w:rsidRPr="00DC35B7" w:rsidRDefault="00DC35B7" w:rsidP="00DC35B7">
      <w:pPr>
        <w:spacing w:line="360" w:lineRule="auto"/>
        <w:jc w:val="both"/>
        <w:rPr>
          <w:sz w:val="20"/>
          <w:szCs w:val="20"/>
        </w:rPr>
      </w:pPr>
      <w:r w:rsidRPr="00DC35B7">
        <w:rPr>
          <w:sz w:val="20"/>
          <w:szCs w:val="20"/>
        </w:rPr>
        <w:t>Los beneficios contemplados en el presente artículo se hacen extensivos a los concesionarios del servicio de transporte público, que se encuentren obligados al pago de derechos causados sobre vehículos automotores de hasta 28 pasajeros.</w:t>
      </w:r>
    </w:p>
    <w:p w14:paraId="06AE1943" w14:textId="77777777" w:rsidR="00DC35B7" w:rsidRPr="00DC35B7" w:rsidRDefault="00DC35B7" w:rsidP="00DC35B7">
      <w:pPr>
        <w:spacing w:line="360" w:lineRule="auto"/>
        <w:jc w:val="both"/>
        <w:rPr>
          <w:sz w:val="20"/>
          <w:szCs w:val="20"/>
        </w:rPr>
      </w:pPr>
    </w:p>
    <w:p w14:paraId="600BE612" w14:textId="1E96F346" w:rsidR="00DC35B7" w:rsidRPr="00DC35B7" w:rsidRDefault="00DC35B7" w:rsidP="00DC35B7">
      <w:pPr>
        <w:spacing w:line="360" w:lineRule="auto"/>
        <w:jc w:val="both"/>
        <w:rPr>
          <w:sz w:val="20"/>
          <w:szCs w:val="20"/>
        </w:rPr>
      </w:pPr>
      <w:r w:rsidRPr="00DC35B7">
        <w:rPr>
          <w:b/>
          <w:sz w:val="20"/>
          <w:szCs w:val="20"/>
        </w:rPr>
        <w:t>ARTÍCULO 30.</w:t>
      </w:r>
      <w:r w:rsidRPr="00DC35B7">
        <w:rPr>
          <w:sz w:val="20"/>
          <w:szCs w:val="20"/>
        </w:rPr>
        <w:t xml:space="preserve"> Para efectos del artículo 153, fracción III, incisos a), b) y c), del Código Financiero para el Estado de Tlaxcala y sus Municipios relativo al pago de derechos por concepto de refrendo anual de la concesión por el ejercicio fiscal 2023 se otorga una reducción del 50 por ciento de su costo, a los concesionarios del transporte público que otorguen descuentos permanentes </w:t>
      </w:r>
      <w:r w:rsidR="002A0CCF">
        <w:rPr>
          <w:sz w:val="20"/>
          <w:szCs w:val="20"/>
        </w:rPr>
        <w:t xml:space="preserve">a estudiantes de nivel  medio superior y superior </w:t>
      </w:r>
      <w:r w:rsidR="002A0CCF" w:rsidRPr="00DC35B7">
        <w:rPr>
          <w:sz w:val="20"/>
          <w:szCs w:val="20"/>
        </w:rPr>
        <w:t>de instituciones públicas</w:t>
      </w:r>
      <w:r w:rsidR="002A0CCF">
        <w:rPr>
          <w:sz w:val="20"/>
          <w:szCs w:val="20"/>
        </w:rPr>
        <w:t>, personas con discapacidad y artesanos,</w:t>
      </w:r>
      <w:r w:rsidRPr="00DC35B7">
        <w:rPr>
          <w:sz w:val="20"/>
          <w:szCs w:val="20"/>
        </w:rPr>
        <w:t xml:space="preserve"> que firmen convenio con la Secretaría de Movilidad y Transporte del Estado de Tlaxcala.</w:t>
      </w:r>
    </w:p>
    <w:p w14:paraId="43862C5C" w14:textId="77777777" w:rsidR="00DC35B7" w:rsidRPr="00DC35B7" w:rsidRDefault="00DC35B7" w:rsidP="00DC35B7">
      <w:pPr>
        <w:spacing w:line="360" w:lineRule="auto"/>
        <w:jc w:val="both"/>
        <w:rPr>
          <w:sz w:val="20"/>
          <w:szCs w:val="20"/>
        </w:rPr>
      </w:pPr>
    </w:p>
    <w:p w14:paraId="0D60ADE0" w14:textId="77777777" w:rsidR="00DC35B7" w:rsidRPr="00DC35B7" w:rsidRDefault="00DC35B7" w:rsidP="00DC35B7">
      <w:pPr>
        <w:spacing w:line="360" w:lineRule="auto"/>
        <w:jc w:val="both"/>
        <w:rPr>
          <w:sz w:val="20"/>
          <w:szCs w:val="20"/>
        </w:rPr>
      </w:pPr>
      <w:r w:rsidRPr="00DC35B7">
        <w:rPr>
          <w:sz w:val="20"/>
          <w:szCs w:val="20"/>
        </w:rPr>
        <w:t>Los beneficios establecidos en el presente artículo no son acumulables con los beneficios establecidos en el artículo 29 del presente ordenamiento.</w:t>
      </w:r>
    </w:p>
    <w:p w14:paraId="50FB25CB" w14:textId="77777777" w:rsidR="00DC35B7" w:rsidRPr="00DC35B7" w:rsidRDefault="00DC35B7" w:rsidP="00DC35B7">
      <w:pPr>
        <w:spacing w:line="360" w:lineRule="auto"/>
        <w:jc w:val="both"/>
        <w:rPr>
          <w:sz w:val="20"/>
          <w:szCs w:val="20"/>
        </w:rPr>
      </w:pPr>
    </w:p>
    <w:p w14:paraId="4DE5B828" w14:textId="77777777" w:rsidR="00DC35B7" w:rsidRPr="00DC35B7" w:rsidRDefault="00DC35B7" w:rsidP="00DC35B7">
      <w:pPr>
        <w:spacing w:line="360" w:lineRule="auto"/>
        <w:jc w:val="both"/>
        <w:rPr>
          <w:sz w:val="20"/>
          <w:szCs w:val="20"/>
        </w:rPr>
      </w:pPr>
      <w:r w:rsidRPr="00DC35B7">
        <w:rPr>
          <w:b/>
          <w:sz w:val="20"/>
          <w:szCs w:val="20"/>
        </w:rPr>
        <w:t>ARTÍCULO 31.</w:t>
      </w:r>
      <w:r w:rsidRPr="00DC35B7">
        <w:rPr>
          <w:sz w:val="20"/>
          <w:szCs w:val="20"/>
        </w:rPr>
        <w:t xml:space="preserve"> Para efectos del artículo 153, fracción XIII, del Código Financiero para el Estado de Tlaxcala y sus Municipios, relativo al refrendo anual de la documentación; los propietarios, tenedores o usuarios de vehículos automotores híbridos o que utilicen además de combustibles fósiles una fuente alterna de energía para su impulso estarán exentos del pago de los derechos por registro y control vehicular correspondientes al ejercicio fiscal 2023. Lo anterior, y de acuerdo con el domicilio fiscal que corresponda, no los exime de presentarse en las Delegaciones de la Secretaría de Movilidad y Transporte para efectuar los movimientos vehiculares aplicables, así como en las Oficinas Recaudadoras de la Secretaría de Finanzas para realizar los pagos respectivos.</w:t>
      </w:r>
    </w:p>
    <w:p w14:paraId="00D6C774" w14:textId="77777777" w:rsidR="00DC35B7" w:rsidRPr="00DC35B7" w:rsidRDefault="00DC35B7" w:rsidP="00DC35B7">
      <w:pPr>
        <w:spacing w:line="360" w:lineRule="auto"/>
        <w:jc w:val="both"/>
        <w:rPr>
          <w:sz w:val="20"/>
          <w:szCs w:val="20"/>
        </w:rPr>
      </w:pPr>
    </w:p>
    <w:p w14:paraId="4AAE565A" w14:textId="77777777" w:rsidR="00DC35B7" w:rsidRDefault="00DC35B7" w:rsidP="00DC35B7">
      <w:pPr>
        <w:spacing w:line="360" w:lineRule="auto"/>
        <w:jc w:val="both"/>
        <w:rPr>
          <w:sz w:val="20"/>
          <w:szCs w:val="20"/>
        </w:rPr>
      </w:pPr>
      <w:r w:rsidRPr="00DC35B7">
        <w:rPr>
          <w:b/>
          <w:sz w:val="20"/>
          <w:szCs w:val="20"/>
        </w:rPr>
        <w:t>ARTÍCULO 32.</w:t>
      </w:r>
      <w:r w:rsidRPr="00DC35B7">
        <w:rPr>
          <w:sz w:val="20"/>
          <w:szCs w:val="20"/>
        </w:rPr>
        <w:t xml:space="preserve"> Para efectos de lo establecido en el Acuerdo por el que se crea el Registro de Personas Morales Autorizadas para operar y/o Administrar Aplicaciones y Plataformas Informáticas para el control, programación y/o geolocalización en dispositivos fijos o móviles, a través de las cuales los particulares pueden contratar el servicio privado de Transporte con chofer en el Estado de Tlaxcala, se establece el cobro de los siguientes derechos:</w:t>
      </w:r>
    </w:p>
    <w:p w14:paraId="11E82BFF" w14:textId="77777777" w:rsidR="00DC35B7" w:rsidRPr="00DC35B7" w:rsidRDefault="00DC35B7" w:rsidP="00DC35B7">
      <w:pPr>
        <w:spacing w:line="360" w:lineRule="auto"/>
        <w:jc w:val="both"/>
        <w:rPr>
          <w:sz w:val="20"/>
          <w:szCs w:val="20"/>
        </w:rPr>
      </w:pPr>
    </w:p>
    <w:p w14:paraId="1D3390CB" w14:textId="77777777" w:rsidR="00DC35B7" w:rsidRPr="00DC35B7" w:rsidRDefault="00DC35B7" w:rsidP="00DC35B7">
      <w:pPr>
        <w:spacing w:line="360" w:lineRule="auto"/>
        <w:jc w:val="both"/>
        <w:rPr>
          <w:sz w:val="20"/>
          <w:szCs w:val="20"/>
        </w:rPr>
      </w:pPr>
    </w:p>
    <w:tbl>
      <w:tblPr>
        <w:tblStyle w:val="TableGrid"/>
        <w:tblW w:w="7889" w:type="dxa"/>
        <w:jc w:val="center"/>
        <w:tblInd w:w="0" w:type="dxa"/>
        <w:tblCellMar>
          <w:top w:w="10" w:type="dxa"/>
          <w:left w:w="107" w:type="dxa"/>
          <w:right w:w="59" w:type="dxa"/>
        </w:tblCellMar>
        <w:tblLook w:val="04A0" w:firstRow="1" w:lastRow="0" w:firstColumn="1" w:lastColumn="0" w:noHBand="0" w:noVBand="1"/>
      </w:tblPr>
      <w:tblGrid>
        <w:gridCol w:w="4770"/>
        <w:gridCol w:w="3119"/>
      </w:tblGrid>
      <w:tr w:rsidR="00DC35B7" w:rsidRPr="00DC35B7" w14:paraId="5052C969" w14:textId="77777777" w:rsidTr="00B77C25">
        <w:trPr>
          <w:trHeight w:val="240"/>
          <w:jc w:val="center"/>
        </w:trPr>
        <w:tc>
          <w:tcPr>
            <w:tcW w:w="4770" w:type="dxa"/>
            <w:tcBorders>
              <w:top w:val="single" w:sz="4" w:space="0" w:color="000000"/>
              <w:left w:val="single" w:sz="4" w:space="0" w:color="000000"/>
              <w:bottom w:val="single" w:sz="4" w:space="0" w:color="000000"/>
              <w:right w:val="single" w:sz="4" w:space="0" w:color="000000"/>
            </w:tcBorders>
            <w:hideMark/>
          </w:tcPr>
          <w:p w14:paraId="5E466F5F" w14:textId="77777777" w:rsidR="00DC35B7" w:rsidRPr="00DC35B7" w:rsidRDefault="00DC35B7" w:rsidP="00B77C25">
            <w:pPr>
              <w:spacing w:line="360" w:lineRule="auto"/>
              <w:jc w:val="center"/>
              <w:rPr>
                <w:rFonts w:ascii="Times New Roman" w:hAnsi="Times New Roman" w:cs="Times New Roman"/>
                <w:b/>
                <w:sz w:val="20"/>
                <w:szCs w:val="20"/>
              </w:rPr>
            </w:pPr>
            <w:r w:rsidRPr="00DC35B7">
              <w:rPr>
                <w:rFonts w:ascii="Times New Roman" w:hAnsi="Times New Roman" w:cs="Times New Roman"/>
                <w:b/>
                <w:sz w:val="20"/>
                <w:szCs w:val="20"/>
              </w:rPr>
              <w:lastRenderedPageBreak/>
              <w:t>CONCEPTO</w:t>
            </w:r>
          </w:p>
        </w:tc>
        <w:tc>
          <w:tcPr>
            <w:tcW w:w="3119" w:type="dxa"/>
            <w:tcBorders>
              <w:top w:val="single" w:sz="4" w:space="0" w:color="000000"/>
              <w:left w:val="single" w:sz="4" w:space="0" w:color="000000"/>
              <w:bottom w:val="single" w:sz="4" w:space="0" w:color="000000"/>
              <w:right w:val="single" w:sz="4" w:space="0" w:color="000000"/>
            </w:tcBorders>
            <w:hideMark/>
          </w:tcPr>
          <w:p w14:paraId="4F2B6F1F" w14:textId="77777777" w:rsidR="00DC35B7" w:rsidRPr="00DC35B7" w:rsidRDefault="00DC35B7" w:rsidP="00B77C25">
            <w:pPr>
              <w:spacing w:line="360" w:lineRule="auto"/>
              <w:jc w:val="center"/>
              <w:rPr>
                <w:rFonts w:ascii="Times New Roman" w:hAnsi="Times New Roman" w:cs="Times New Roman"/>
                <w:b/>
                <w:sz w:val="20"/>
                <w:szCs w:val="20"/>
              </w:rPr>
            </w:pPr>
            <w:r w:rsidRPr="00DC35B7">
              <w:rPr>
                <w:rFonts w:ascii="Times New Roman" w:hAnsi="Times New Roman" w:cs="Times New Roman"/>
                <w:b/>
                <w:sz w:val="20"/>
                <w:szCs w:val="20"/>
              </w:rPr>
              <w:t>DERECHO CAUSADO</w:t>
            </w:r>
          </w:p>
        </w:tc>
      </w:tr>
      <w:tr w:rsidR="00DC35B7" w:rsidRPr="00DC35B7" w14:paraId="45D8B51F" w14:textId="77777777" w:rsidTr="00B77C25">
        <w:trPr>
          <w:trHeight w:val="1390"/>
          <w:jc w:val="center"/>
        </w:trPr>
        <w:tc>
          <w:tcPr>
            <w:tcW w:w="4770" w:type="dxa"/>
            <w:tcBorders>
              <w:top w:val="single" w:sz="4" w:space="0" w:color="000000"/>
              <w:left w:val="single" w:sz="4" w:space="0" w:color="000000"/>
              <w:bottom w:val="single" w:sz="4" w:space="0" w:color="000000"/>
              <w:right w:val="single" w:sz="4" w:space="0" w:color="000000"/>
            </w:tcBorders>
            <w:hideMark/>
          </w:tcPr>
          <w:p w14:paraId="1305901F"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I. Por el análisis jurídico, técnico y administrativo que sirva como base para el registro ante la Secretaría de Movilidad y Transporte, de las Empresas de Redes de Transporte para la prestación del Servicio de Transporte Privado con chofer, que incluye Oficio de Autorización del Registro, por cada empresa. </w:t>
            </w:r>
          </w:p>
          <w:p w14:paraId="5776B9F8"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 </w:t>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00C94E97"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533 Unidades de Medida y Actualización.</w:t>
            </w:r>
          </w:p>
        </w:tc>
      </w:tr>
      <w:tr w:rsidR="00DC35B7" w:rsidRPr="00DC35B7" w14:paraId="626DFF7F" w14:textId="77777777" w:rsidTr="00B77C25">
        <w:trPr>
          <w:trHeight w:val="470"/>
          <w:jc w:val="center"/>
        </w:trPr>
        <w:tc>
          <w:tcPr>
            <w:tcW w:w="4770" w:type="dxa"/>
            <w:tcBorders>
              <w:top w:val="single" w:sz="4" w:space="0" w:color="000000"/>
              <w:left w:val="single" w:sz="4" w:space="0" w:color="000000"/>
              <w:bottom w:val="single" w:sz="4" w:space="0" w:color="000000"/>
              <w:right w:val="single" w:sz="4" w:space="0" w:color="000000"/>
            </w:tcBorders>
            <w:hideMark/>
          </w:tcPr>
          <w:p w14:paraId="25A93DEE"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II. Por el refrendo anual de las Empresas de Redes de Transporte.  </w:t>
            </w:r>
          </w:p>
          <w:p w14:paraId="68B9A654"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 </w:t>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352EE0AC"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65 Unidades de Medida y Actualización.</w:t>
            </w:r>
          </w:p>
        </w:tc>
      </w:tr>
      <w:tr w:rsidR="00DC35B7" w:rsidRPr="00DC35B7" w14:paraId="713AB679" w14:textId="77777777" w:rsidTr="00B77C25">
        <w:trPr>
          <w:trHeight w:val="930"/>
          <w:jc w:val="center"/>
        </w:trPr>
        <w:tc>
          <w:tcPr>
            <w:tcW w:w="4770" w:type="dxa"/>
            <w:tcBorders>
              <w:top w:val="single" w:sz="4" w:space="0" w:color="000000"/>
              <w:left w:val="single" w:sz="4" w:space="0" w:color="000000"/>
              <w:bottom w:val="single" w:sz="4" w:space="0" w:color="000000"/>
              <w:right w:val="single" w:sz="4" w:space="0" w:color="000000"/>
            </w:tcBorders>
            <w:hideMark/>
          </w:tcPr>
          <w:p w14:paraId="30EFA33F"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III. Por la expedición anual de la Constancia de Registro Vehicular de Servicio de Transporte Privado con Chofer inscrito por las Empresas de Redes de Transporte, por cada vehículo. </w:t>
            </w:r>
          </w:p>
          <w:p w14:paraId="7456883E"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 </w:t>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36B5A2FE"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14 Unidades de Medida y Actualización. </w:t>
            </w:r>
          </w:p>
        </w:tc>
      </w:tr>
      <w:tr w:rsidR="00DC35B7" w:rsidRPr="00DC35B7" w14:paraId="49FFD816" w14:textId="77777777" w:rsidTr="00B77C25">
        <w:trPr>
          <w:trHeight w:val="930"/>
          <w:jc w:val="center"/>
        </w:trPr>
        <w:tc>
          <w:tcPr>
            <w:tcW w:w="4770" w:type="dxa"/>
            <w:tcBorders>
              <w:top w:val="single" w:sz="4" w:space="0" w:color="000000"/>
              <w:left w:val="single" w:sz="4" w:space="0" w:color="000000"/>
              <w:bottom w:val="single" w:sz="4" w:space="0" w:color="000000"/>
              <w:right w:val="single" w:sz="4" w:space="0" w:color="000000"/>
            </w:tcBorders>
            <w:hideMark/>
          </w:tcPr>
          <w:p w14:paraId="747735BE"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IV. Por la expedición anual de la Constancia de Registro del Prestador del Servicio de Transporte Privado con Chofer inscrito por las Empresas de Redes de Transporte. </w:t>
            </w:r>
          </w:p>
          <w:p w14:paraId="1C55A88C"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 </w:t>
            </w:r>
          </w:p>
        </w:tc>
        <w:tc>
          <w:tcPr>
            <w:tcW w:w="3119" w:type="dxa"/>
            <w:tcBorders>
              <w:top w:val="single" w:sz="4" w:space="0" w:color="000000"/>
              <w:left w:val="single" w:sz="4" w:space="0" w:color="000000"/>
              <w:bottom w:val="single" w:sz="4" w:space="0" w:color="000000"/>
              <w:right w:val="single" w:sz="4" w:space="0" w:color="000000"/>
            </w:tcBorders>
            <w:vAlign w:val="center"/>
            <w:hideMark/>
          </w:tcPr>
          <w:p w14:paraId="1D2FB357" w14:textId="77777777" w:rsidR="00DC35B7" w:rsidRPr="00DC35B7" w:rsidRDefault="00DC35B7" w:rsidP="00B77C25">
            <w:pPr>
              <w:spacing w:line="360" w:lineRule="auto"/>
              <w:jc w:val="both"/>
              <w:rPr>
                <w:rFonts w:ascii="Times New Roman" w:hAnsi="Times New Roman" w:cs="Times New Roman"/>
                <w:sz w:val="20"/>
                <w:szCs w:val="20"/>
              </w:rPr>
            </w:pPr>
            <w:r w:rsidRPr="00DC35B7">
              <w:rPr>
                <w:rFonts w:ascii="Times New Roman" w:hAnsi="Times New Roman" w:cs="Times New Roman"/>
                <w:sz w:val="20"/>
                <w:szCs w:val="20"/>
              </w:rPr>
              <w:t xml:space="preserve">4 Unidades de Medida y Actualización. </w:t>
            </w:r>
          </w:p>
        </w:tc>
      </w:tr>
    </w:tbl>
    <w:p w14:paraId="7711A8C5" w14:textId="77777777" w:rsidR="00DC35B7" w:rsidRPr="00DC35B7" w:rsidRDefault="00DC35B7" w:rsidP="00DC35B7">
      <w:pPr>
        <w:spacing w:line="360" w:lineRule="auto"/>
        <w:jc w:val="both"/>
        <w:rPr>
          <w:sz w:val="20"/>
          <w:szCs w:val="20"/>
        </w:rPr>
      </w:pPr>
    </w:p>
    <w:p w14:paraId="7B84732A" w14:textId="77777777" w:rsidR="00DC35B7" w:rsidRPr="00DC35B7" w:rsidRDefault="00DC35B7" w:rsidP="00DC35B7">
      <w:pPr>
        <w:spacing w:line="360" w:lineRule="auto"/>
        <w:jc w:val="both"/>
        <w:rPr>
          <w:sz w:val="20"/>
          <w:szCs w:val="20"/>
        </w:rPr>
      </w:pPr>
      <w:r w:rsidRPr="00DC35B7">
        <w:rPr>
          <w:b/>
          <w:sz w:val="20"/>
          <w:szCs w:val="20"/>
        </w:rPr>
        <w:t>ARTÍCULO 33.</w:t>
      </w:r>
      <w:r w:rsidRPr="00DC35B7">
        <w:rPr>
          <w:sz w:val="20"/>
          <w:szCs w:val="20"/>
        </w:rPr>
        <w:t xml:space="preserve"> Las personas morales que promuevan, operen y/o administren por sí mismas o a través de sus subsidiarias, aplicaciones para el control, programación y/o geolocalización en dispositivos fijos o móviles, a través de las cuales los particulares pueden contratar el servicio privado de transporte con chofer en el Estado de Tlaxcala; deberán realizar una aportación mensual al Fondo de Movilidad y Transporte del Estado de Tlaxcala, equivalente a 5 UMA por cada vehículo inscrito o dado de alta en la misma, dichos recursos tendrán el carácter de aprovechamientos y serán destinados a los fines establecidos en el Acuerdo mediante el cual se emiten los Lineamientos del Fondo de Movilidad y Transporte del Estado de Tlaxcala.</w:t>
      </w:r>
    </w:p>
    <w:p w14:paraId="23431E27" w14:textId="77777777" w:rsidR="00DC35B7" w:rsidRPr="00DC35B7" w:rsidRDefault="00DC35B7" w:rsidP="00DC35B7">
      <w:pPr>
        <w:spacing w:line="360" w:lineRule="auto"/>
        <w:jc w:val="both"/>
        <w:rPr>
          <w:sz w:val="20"/>
          <w:szCs w:val="20"/>
        </w:rPr>
      </w:pPr>
    </w:p>
    <w:p w14:paraId="60E87670" w14:textId="77777777" w:rsidR="00DC35B7" w:rsidRPr="00DC35B7" w:rsidRDefault="00DC35B7" w:rsidP="00DC35B7">
      <w:pPr>
        <w:spacing w:line="360" w:lineRule="auto"/>
        <w:jc w:val="both"/>
        <w:rPr>
          <w:sz w:val="20"/>
          <w:szCs w:val="20"/>
        </w:rPr>
      </w:pPr>
      <w:r w:rsidRPr="00DC35B7">
        <w:rPr>
          <w:sz w:val="20"/>
          <w:szCs w:val="20"/>
        </w:rPr>
        <w:lastRenderedPageBreak/>
        <w:t>Para efectos del párrafo anterior, las Empresas de Redes de Transporte deberán remitir a la Secretaría de Movilidad y Transporte, dentro de los primeros cinco días hábiles de cada mes, la relación de vehículos inscritos activos correspondientes al mes inmediato anterior, la veracidad de esta información deberá ser corroborada por la Secretaría de Movilidad y Transporte con la supervisión de la Secretaría de Finanzas a través de los sistemas electrónicos de la Empresa de Redes de Transporte a la que se le permitirá el acceso, con la finalidad de determinar el monto mensual a aportar y emitir la orden de pago correspondiente.</w:t>
      </w:r>
    </w:p>
    <w:p w14:paraId="51149056" w14:textId="77777777" w:rsidR="00DC35B7" w:rsidRPr="00DC35B7" w:rsidRDefault="00DC35B7" w:rsidP="00DC35B7">
      <w:pPr>
        <w:spacing w:line="360" w:lineRule="auto"/>
        <w:jc w:val="both"/>
        <w:rPr>
          <w:b/>
          <w:sz w:val="20"/>
          <w:szCs w:val="20"/>
        </w:rPr>
      </w:pPr>
    </w:p>
    <w:p w14:paraId="1CF2116E" w14:textId="77777777" w:rsidR="00DC35B7" w:rsidRPr="00DC35B7" w:rsidRDefault="00DC35B7" w:rsidP="00DC35B7">
      <w:pPr>
        <w:spacing w:line="360" w:lineRule="auto"/>
        <w:jc w:val="both"/>
        <w:rPr>
          <w:sz w:val="20"/>
          <w:szCs w:val="20"/>
        </w:rPr>
      </w:pPr>
      <w:r w:rsidRPr="00DC35B7">
        <w:rPr>
          <w:b/>
          <w:sz w:val="20"/>
          <w:szCs w:val="20"/>
        </w:rPr>
        <w:t>ARTÍCULO 34.</w:t>
      </w:r>
      <w:r w:rsidRPr="00DC35B7">
        <w:rPr>
          <w:sz w:val="20"/>
          <w:szCs w:val="20"/>
        </w:rPr>
        <w:t xml:space="preserve"> Para efectos del artículo 153, fracciones II incisos a), b) y d); IV incisos a), b) y d); V inciso a); VI inciso a); VIII incisos a), b) y d); IX inciso b); X, inciso a) numerales 1 y 2, e inciso b) numerales 1 y 2 del Código Financiero para el Estado de Tlaxcala y sus Municipios, se pagará por concepto de juego de placas del servicio público de transporte, la cantidad de $226.00 (Doscientos veintiséis pesos 00/100 M.N.), observando lo dispuesto en el Programa Estatal de Reemplacamiento obligatorio 2023; las grúas quedan exceptuadas de este beneficio.</w:t>
      </w:r>
    </w:p>
    <w:p w14:paraId="0D9368CE" w14:textId="77777777" w:rsidR="00DC35B7" w:rsidRPr="00DC35B7" w:rsidRDefault="00DC35B7" w:rsidP="00DC35B7">
      <w:pPr>
        <w:spacing w:line="360" w:lineRule="auto"/>
        <w:jc w:val="both"/>
        <w:rPr>
          <w:sz w:val="20"/>
          <w:szCs w:val="20"/>
        </w:rPr>
      </w:pPr>
    </w:p>
    <w:p w14:paraId="6B285105" w14:textId="77777777" w:rsidR="00DC35B7" w:rsidRPr="00DC35B7" w:rsidRDefault="00DC35B7" w:rsidP="00DC35B7">
      <w:pPr>
        <w:spacing w:line="360" w:lineRule="auto"/>
        <w:jc w:val="both"/>
        <w:rPr>
          <w:sz w:val="20"/>
          <w:szCs w:val="20"/>
        </w:rPr>
      </w:pPr>
      <w:r w:rsidRPr="00DC35B7">
        <w:rPr>
          <w:sz w:val="20"/>
          <w:szCs w:val="20"/>
        </w:rPr>
        <w:t>Los beneficios contemplados en el presente artículo se hacen extensivos a los concesionarios del servicio de transporte público, que se encuentren obligados al pago de derechos causados sobre vehículos automotores de hasta 28 pasajeros.</w:t>
      </w:r>
    </w:p>
    <w:p w14:paraId="04B910C6" w14:textId="77777777" w:rsidR="00DC35B7" w:rsidRPr="00DC35B7" w:rsidRDefault="00DC35B7" w:rsidP="00DC35B7">
      <w:pPr>
        <w:spacing w:line="360" w:lineRule="auto"/>
        <w:jc w:val="both"/>
        <w:rPr>
          <w:sz w:val="20"/>
          <w:szCs w:val="20"/>
        </w:rPr>
      </w:pPr>
    </w:p>
    <w:p w14:paraId="4AC53B65" w14:textId="77777777" w:rsidR="00DC35B7" w:rsidRPr="00DC35B7" w:rsidRDefault="00DC35B7" w:rsidP="00DC35B7">
      <w:pPr>
        <w:spacing w:line="360" w:lineRule="auto"/>
        <w:jc w:val="both"/>
        <w:rPr>
          <w:sz w:val="20"/>
          <w:szCs w:val="20"/>
        </w:rPr>
      </w:pPr>
      <w:r w:rsidRPr="00DC35B7">
        <w:rPr>
          <w:sz w:val="20"/>
          <w:szCs w:val="20"/>
        </w:rPr>
        <w:t>Los beneficios establecidos en el presente artículo no son acumulables con los considerados en el artículo 29 de la presente Ley.</w:t>
      </w:r>
    </w:p>
    <w:p w14:paraId="0B8465C4" w14:textId="77777777" w:rsidR="00DC35B7" w:rsidRPr="00DC35B7" w:rsidRDefault="00DC35B7" w:rsidP="00DC35B7">
      <w:pPr>
        <w:spacing w:line="360" w:lineRule="auto"/>
        <w:jc w:val="both"/>
        <w:rPr>
          <w:sz w:val="20"/>
          <w:szCs w:val="20"/>
        </w:rPr>
      </w:pPr>
    </w:p>
    <w:p w14:paraId="7140BC09" w14:textId="77777777" w:rsidR="00DC35B7" w:rsidRPr="00DC35B7" w:rsidRDefault="00DC35B7" w:rsidP="00DC35B7">
      <w:pPr>
        <w:spacing w:line="360" w:lineRule="auto"/>
        <w:jc w:val="center"/>
        <w:rPr>
          <w:b/>
          <w:sz w:val="20"/>
          <w:szCs w:val="20"/>
        </w:rPr>
      </w:pPr>
      <w:r w:rsidRPr="00DC35B7">
        <w:rPr>
          <w:b/>
          <w:sz w:val="20"/>
          <w:szCs w:val="20"/>
        </w:rPr>
        <w:t>Subsección II</w:t>
      </w:r>
    </w:p>
    <w:p w14:paraId="5B7A8913" w14:textId="77777777" w:rsidR="00DC35B7" w:rsidRPr="00DC35B7" w:rsidRDefault="00DC35B7" w:rsidP="00DC35B7">
      <w:pPr>
        <w:spacing w:line="360" w:lineRule="auto"/>
        <w:jc w:val="center"/>
        <w:rPr>
          <w:b/>
          <w:sz w:val="20"/>
          <w:szCs w:val="20"/>
        </w:rPr>
      </w:pPr>
      <w:r w:rsidRPr="00DC35B7">
        <w:rPr>
          <w:b/>
          <w:sz w:val="20"/>
          <w:szCs w:val="20"/>
        </w:rPr>
        <w:t>Servicio Privado</w:t>
      </w:r>
    </w:p>
    <w:p w14:paraId="06E975A6" w14:textId="77777777" w:rsidR="00DC35B7" w:rsidRPr="00DC35B7" w:rsidRDefault="00DC35B7" w:rsidP="00DC35B7">
      <w:pPr>
        <w:spacing w:line="360" w:lineRule="auto"/>
        <w:jc w:val="both"/>
        <w:rPr>
          <w:sz w:val="20"/>
          <w:szCs w:val="20"/>
        </w:rPr>
      </w:pPr>
    </w:p>
    <w:p w14:paraId="45530951" w14:textId="77777777" w:rsidR="00DC35B7" w:rsidRPr="00DC35B7" w:rsidRDefault="00DC35B7" w:rsidP="00DC35B7">
      <w:pPr>
        <w:spacing w:line="360" w:lineRule="auto"/>
        <w:jc w:val="both"/>
        <w:rPr>
          <w:sz w:val="20"/>
          <w:szCs w:val="20"/>
        </w:rPr>
      </w:pPr>
      <w:r w:rsidRPr="00DC35B7">
        <w:rPr>
          <w:b/>
          <w:sz w:val="20"/>
          <w:szCs w:val="20"/>
        </w:rPr>
        <w:t>ARTÍCULO 35.</w:t>
      </w:r>
      <w:r w:rsidRPr="00DC35B7">
        <w:rPr>
          <w:sz w:val="20"/>
          <w:szCs w:val="20"/>
        </w:rPr>
        <w:t xml:space="preserve"> Para efectos del artículo 153, fracción XIII, inciso h), del Código Financiero para el Estado de Tlaxcala y sus Municipios, relativo a los adeudos por el refrendo anual de la documentación; a los propietarios, tenedores o usuarios de unidades automotrices que deseen regularizar la situación de sus vehículos, que tengan adeudos de ejercicios anteriores a 2023, sólo pagarán los derechos correspondientes a los dos últimos años adeudados, sin pagar multas, recargos y actualizaciones, conjuntamente con el pago de derechos correspondiente al ejercicio fiscal 2023, siempre y cuando </w:t>
      </w:r>
      <w:r w:rsidRPr="00DC35B7">
        <w:rPr>
          <w:sz w:val="20"/>
          <w:szCs w:val="20"/>
        </w:rPr>
        <w:lastRenderedPageBreak/>
        <w:t>regularicen su situación a más tardar el 30 de abril de 2023, y cumplan con los requisitos que para tal efecto establezca la Secretaría de Finanzas y la Secretaría de Movilidad y Transporte.</w:t>
      </w:r>
    </w:p>
    <w:p w14:paraId="1D99421E" w14:textId="77777777" w:rsidR="00DC35B7" w:rsidRPr="00DC35B7" w:rsidRDefault="00DC35B7" w:rsidP="00DC35B7">
      <w:pPr>
        <w:spacing w:line="360" w:lineRule="auto"/>
        <w:jc w:val="both"/>
        <w:rPr>
          <w:sz w:val="20"/>
          <w:szCs w:val="20"/>
        </w:rPr>
      </w:pPr>
    </w:p>
    <w:p w14:paraId="1B8A3CA3" w14:textId="77777777" w:rsidR="00DC35B7" w:rsidRPr="00DC35B7" w:rsidRDefault="00DC35B7" w:rsidP="00DC35B7">
      <w:pPr>
        <w:spacing w:line="360" w:lineRule="auto"/>
        <w:jc w:val="both"/>
        <w:rPr>
          <w:sz w:val="20"/>
          <w:szCs w:val="20"/>
        </w:rPr>
      </w:pPr>
      <w:r w:rsidRPr="00DC35B7">
        <w:rPr>
          <w:b/>
          <w:sz w:val="20"/>
          <w:szCs w:val="20"/>
        </w:rPr>
        <w:t>ARTÍCULO 36.</w:t>
      </w:r>
      <w:r w:rsidRPr="00DC35B7">
        <w:rPr>
          <w:sz w:val="20"/>
          <w:szCs w:val="20"/>
        </w:rPr>
        <w:t xml:space="preserve"> Las personas con discapacidad que obtengan los servicios señalados en las fracciones XII, inciso b); XIII, inciso b); XIV, inciso a), numeral 2; XV, inciso a); XVI, inciso a), numeral 2, e inciso b), numeral 3, y XVII, inciso a), del artículo 153 del Código Financiero para el Estado de Tlaxcala y sus Municipios, tendrán una reducción del 50 por ciento en el pago de sus derechos, al momento de realizar el trámite correspondiente a los vehículos de su propiedad.</w:t>
      </w:r>
    </w:p>
    <w:p w14:paraId="2144F47C" w14:textId="77777777" w:rsidR="00DC35B7" w:rsidRPr="00DC35B7" w:rsidRDefault="00DC35B7" w:rsidP="00DC35B7">
      <w:pPr>
        <w:spacing w:line="360" w:lineRule="auto"/>
        <w:jc w:val="both"/>
        <w:rPr>
          <w:sz w:val="20"/>
          <w:szCs w:val="20"/>
        </w:rPr>
      </w:pPr>
      <w:r w:rsidRPr="00DC35B7">
        <w:rPr>
          <w:sz w:val="20"/>
          <w:szCs w:val="20"/>
        </w:rPr>
        <w:t xml:space="preserve"> </w:t>
      </w:r>
    </w:p>
    <w:p w14:paraId="6D640685" w14:textId="77777777" w:rsidR="00DC35B7" w:rsidRPr="00DC35B7" w:rsidRDefault="00DC35B7" w:rsidP="00DC35B7">
      <w:pPr>
        <w:spacing w:line="360" w:lineRule="auto"/>
        <w:jc w:val="both"/>
        <w:rPr>
          <w:sz w:val="20"/>
          <w:szCs w:val="20"/>
        </w:rPr>
      </w:pPr>
      <w:r w:rsidRPr="00DC35B7">
        <w:rPr>
          <w:b/>
          <w:sz w:val="20"/>
          <w:szCs w:val="20"/>
        </w:rPr>
        <w:t>ARTÍCULO 37.</w:t>
      </w:r>
      <w:r w:rsidRPr="00DC35B7">
        <w:rPr>
          <w:sz w:val="20"/>
          <w:szCs w:val="20"/>
        </w:rPr>
        <w:t xml:space="preserve"> Las personas adultas mayores con credencial del Instituto Nacional de las Personas Adultas Mayores (INAPAM) que obtengan los servicios señalados en el artículo 153, fracciones I, XII, inciso b); XIII, inciso b); XIV, inciso a), numeral 2; XV, inciso a); XVI, inciso a), numeral 2, e inciso b), numeral 3, y XVII, inciso a), del Código Financiero para el Estado de Tlaxcala y sus Municipios, tendrán una reducción del 50 por ciento en el pago de sus derechos, al momento de realizar el trámite correspondiente a los vehículos de su propiedad.  </w:t>
      </w:r>
    </w:p>
    <w:p w14:paraId="315B157A" w14:textId="77777777" w:rsidR="00DC35B7" w:rsidRPr="00DC35B7" w:rsidRDefault="00DC35B7" w:rsidP="00DC35B7">
      <w:pPr>
        <w:spacing w:line="360" w:lineRule="auto"/>
        <w:jc w:val="both"/>
        <w:rPr>
          <w:sz w:val="20"/>
          <w:szCs w:val="20"/>
        </w:rPr>
      </w:pPr>
    </w:p>
    <w:p w14:paraId="0E53B839" w14:textId="77777777" w:rsidR="00DC35B7" w:rsidRPr="00DC35B7" w:rsidRDefault="00DC35B7" w:rsidP="00DC35B7">
      <w:pPr>
        <w:spacing w:line="360" w:lineRule="auto"/>
        <w:jc w:val="both"/>
        <w:rPr>
          <w:sz w:val="20"/>
          <w:szCs w:val="20"/>
        </w:rPr>
      </w:pPr>
      <w:r w:rsidRPr="00DC35B7">
        <w:rPr>
          <w:b/>
          <w:sz w:val="20"/>
          <w:szCs w:val="20"/>
        </w:rPr>
        <w:t>ARTÍCULO 38.</w:t>
      </w:r>
      <w:r w:rsidRPr="00DC35B7">
        <w:rPr>
          <w:sz w:val="20"/>
          <w:szCs w:val="20"/>
        </w:rPr>
        <w:t xml:space="preserve"> Para efectos del artículo 153, fracciones XII incisos a), b), c) y e); XIV inciso a) numerales 1, 2, 3 y 5; XV inciso a); XVI inciso a) numerales 1, 2 y 3, del Código Financiero para el Estado de Tlaxcala y sus Municipios, se pagará por concepto de juego de placas del servicio privado de transporte la cantidad de $226.00 (Doscientos veintiséis pesos 00/100 M.N.), observando lo dispuesto en el Programa Estatal de Reemplacamiento obligatorio 2023.</w:t>
      </w:r>
    </w:p>
    <w:p w14:paraId="3CCF2073" w14:textId="77777777" w:rsidR="00DC35B7" w:rsidRPr="00DC35B7" w:rsidRDefault="00DC35B7" w:rsidP="00DC35B7">
      <w:pPr>
        <w:spacing w:line="360" w:lineRule="auto"/>
        <w:jc w:val="both"/>
        <w:rPr>
          <w:sz w:val="20"/>
          <w:szCs w:val="20"/>
        </w:rPr>
      </w:pPr>
    </w:p>
    <w:p w14:paraId="711CA907" w14:textId="77777777" w:rsidR="00DC35B7" w:rsidRPr="00DC35B7" w:rsidRDefault="00DC35B7" w:rsidP="00DC35B7">
      <w:pPr>
        <w:spacing w:line="360" w:lineRule="auto"/>
        <w:jc w:val="both"/>
        <w:rPr>
          <w:sz w:val="20"/>
          <w:szCs w:val="20"/>
        </w:rPr>
      </w:pPr>
      <w:r w:rsidRPr="00DC35B7">
        <w:rPr>
          <w:sz w:val="20"/>
          <w:szCs w:val="20"/>
        </w:rPr>
        <w:t>Para efectos del artículo 153, fracciones XII incisos d) y f); XIV inciso a) numerales 4 y 6; XV inciso b); XVI inciso a) numerales 4, 5 y 6 del Código Financiero para el Estado de Tlaxcala y sus Municipios, se pagará por concepto de juego de placas del servicio privado de transporte la cantidad de $110.00 (Ciento diez pesos 00/100 M.N.), observando lo dispuesto en el Programa Estatal de Reemplacamiento obligatorio 2023.</w:t>
      </w:r>
    </w:p>
    <w:p w14:paraId="738D55CB" w14:textId="77777777" w:rsidR="00DC35B7" w:rsidRPr="00DC35B7" w:rsidRDefault="00DC35B7" w:rsidP="00DC35B7">
      <w:pPr>
        <w:spacing w:line="360" w:lineRule="auto"/>
        <w:jc w:val="both"/>
        <w:rPr>
          <w:sz w:val="20"/>
          <w:szCs w:val="20"/>
        </w:rPr>
      </w:pPr>
    </w:p>
    <w:p w14:paraId="10214E73" w14:textId="77777777" w:rsidR="00DC35B7" w:rsidRPr="00DC35B7" w:rsidRDefault="00DC35B7" w:rsidP="00DC35B7">
      <w:pPr>
        <w:spacing w:line="360" w:lineRule="auto"/>
        <w:jc w:val="both"/>
        <w:rPr>
          <w:sz w:val="20"/>
          <w:szCs w:val="20"/>
        </w:rPr>
      </w:pPr>
      <w:r w:rsidRPr="00DC35B7">
        <w:rPr>
          <w:sz w:val="20"/>
          <w:szCs w:val="20"/>
        </w:rPr>
        <w:t>Los beneficios establecidos en el presente artículo no son acumulables con los considerados en los artículos 36 y 37 del presente ordenamiento.</w:t>
      </w:r>
    </w:p>
    <w:p w14:paraId="68CB556F" w14:textId="77777777" w:rsidR="00DC35B7" w:rsidRPr="00DC35B7" w:rsidRDefault="00DC35B7" w:rsidP="00DC35B7">
      <w:pPr>
        <w:spacing w:line="360" w:lineRule="auto"/>
        <w:jc w:val="both"/>
        <w:rPr>
          <w:sz w:val="20"/>
          <w:szCs w:val="20"/>
        </w:rPr>
      </w:pPr>
    </w:p>
    <w:p w14:paraId="5B998459" w14:textId="77777777" w:rsidR="00DC35B7" w:rsidRPr="00DC35B7" w:rsidRDefault="00DC35B7" w:rsidP="00DC35B7">
      <w:pPr>
        <w:spacing w:line="360" w:lineRule="auto"/>
        <w:jc w:val="both"/>
        <w:rPr>
          <w:sz w:val="20"/>
          <w:szCs w:val="20"/>
        </w:rPr>
      </w:pPr>
      <w:r w:rsidRPr="00DC35B7">
        <w:rPr>
          <w:b/>
          <w:sz w:val="20"/>
          <w:szCs w:val="20"/>
        </w:rPr>
        <w:lastRenderedPageBreak/>
        <w:t>ARTÍCULO 39.</w:t>
      </w:r>
      <w:r w:rsidRPr="00DC35B7">
        <w:rPr>
          <w:sz w:val="20"/>
          <w:szCs w:val="20"/>
        </w:rPr>
        <w:t xml:space="preserve"> Los Ayuntamientos que regularicen el pago de registro y control vehicular de los vehículos a su cargo, durante el periodo comprendido del 1 de enero al 31 de diciembre de 2023, pagarán el 50 </w:t>
      </w:r>
      <w:r w:rsidRPr="00DC35B7">
        <w:rPr>
          <w:bCs/>
          <w:sz w:val="20"/>
          <w:szCs w:val="20"/>
        </w:rPr>
        <w:t>por ciento</w:t>
      </w:r>
      <w:r w:rsidRPr="00DC35B7">
        <w:rPr>
          <w:sz w:val="20"/>
          <w:szCs w:val="20"/>
        </w:rPr>
        <w:t xml:space="preserve"> de los derechos por concepto de asignación de placas, tarjeta de circulación y engomado; así como canje de placas autorizadas, establecidos en el artículo 153, fracciones XII, incisos b), c) y f); y, XV del Código Financiero para el Estado de Tlaxcala y sus Municipios.</w:t>
      </w:r>
    </w:p>
    <w:p w14:paraId="2B77424B" w14:textId="77777777" w:rsidR="00DC35B7" w:rsidRPr="00DC35B7" w:rsidRDefault="00DC35B7" w:rsidP="00DC35B7">
      <w:pPr>
        <w:spacing w:line="360" w:lineRule="auto"/>
        <w:jc w:val="both"/>
        <w:rPr>
          <w:b/>
          <w:sz w:val="20"/>
          <w:szCs w:val="20"/>
        </w:rPr>
      </w:pPr>
    </w:p>
    <w:p w14:paraId="193709AB" w14:textId="77777777" w:rsidR="00DC35B7" w:rsidRPr="00DC35B7" w:rsidRDefault="00DC35B7" w:rsidP="00DC35B7">
      <w:pPr>
        <w:spacing w:line="360" w:lineRule="auto"/>
        <w:jc w:val="both"/>
        <w:rPr>
          <w:sz w:val="20"/>
          <w:szCs w:val="20"/>
        </w:rPr>
      </w:pPr>
      <w:r w:rsidRPr="00DC35B7">
        <w:rPr>
          <w:b/>
          <w:sz w:val="20"/>
          <w:szCs w:val="20"/>
        </w:rPr>
        <w:t>ARTÍCULO 40.</w:t>
      </w:r>
      <w:r w:rsidRPr="00DC35B7">
        <w:rPr>
          <w:sz w:val="20"/>
          <w:szCs w:val="20"/>
        </w:rPr>
        <w:t xml:space="preserve"> Se reduce en un 20 por ciento el pago de recargos y multas en el cobro de derechos por concepto de canje de placas autorizadas a que se refiere el artículo 153, fracción XV del Código Financiero para el Estado de Tlaxcala y sus Municipios, a los Ayuntamientos que regularicen el parque vehicular a su cargo, durante el periodo comprendido del 1 de enero al 31 de diciembre de 2023.</w:t>
      </w:r>
    </w:p>
    <w:p w14:paraId="6F7AB777" w14:textId="77777777" w:rsidR="00DC35B7" w:rsidRPr="00DC35B7" w:rsidRDefault="00DC35B7" w:rsidP="00DC35B7">
      <w:pPr>
        <w:spacing w:line="360" w:lineRule="auto"/>
        <w:jc w:val="both"/>
        <w:rPr>
          <w:sz w:val="20"/>
          <w:szCs w:val="20"/>
        </w:rPr>
      </w:pPr>
    </w:p>
    <w:p w14:paraId="51DD41F9" w14:textId="77777777" w:rsidR="00DC35B7" w:rsidRPr="00DC35B7" w:rsidRDefault="00DC35B7" w:rsidP="00DC35B7">
      <w:pPr>
        <w:spacing w:line="360" w:lineRule="auto"/>
        <w:jc w:val="both"/>
        <w:rPr>
          <w:sz w:val="20"/>
          <w:szCs w:val="20"/>
        </w:rPr>
      </w:pPr>
      <w:r w:rsidRPr="00DC35B7">
        <w:rPr>
          <w:sz w:val="20"/>
          <w:szCs w:val="20"/>
        </w:rPr>
        <w:t xml:space="preserve">La Secretaría de Movilidad y Transporte del Estado, a través de su Titular, podrá reducir el monto de las infracciones a que se refiere el artículo 38 del Reglamento de la Ley de Comunicaciones y Transportes en el Estado de Tlaxcala en Materia de Transporte Público y Privado, a quienes incurran en alguna de las causas comprendidas en las fracciones III, IV y V del citado artículo, cuando concurran razones debidamente justificadas y por una sola ocasión. </w:t>
      </w:r>
    </w:p>
    <w:p w14:paraId="3038BD1B" w14:textId="77777777" w:rsidR="00DC35B7" w:rsidRPr="00DC35B7" w:rsidRDefault="00DC35B7" w:rsidP="00DC35B7">
      <w:pPr>
        <w:spacing w:line="360" w:lineRule="auto"/>
        <w:jc w:val="both"/>
        <w:rPr>
          <w:sz w:val="20"/>
          <w:szCs w:val="20"/>
        </w:rPr>
      </w:pPr>
    </w:p>
    <w:p w14:paraId="0BBB91E0" w14:textId="77777777" w:rsidR="00DC35B7" w:rsidRPr="00DC35B7" w:rsidRDefault="00DC35B7" w:rsidP="00DC35B7">
      <w:pPr>
        <w:spacing w:line="360" w:lineRule="auto"/>
        <w:jc w:val="both"/>
        <w:rPr>
          <w:sz w:val="20"/>
          <w:szCs w:val="20"/>
        </w:rPr>
      </w:pPr>
      <w:r w:rsidRPr="00DC35B7">
        <w:rPr>
          <w:b/>
          <w:sz w:val="20"/>
          <w:szCs w:val="20"/>
        </w:rPr>
        <w:t>ARTÍCULO 41.</w:t>
      </w:r>
      <w:r w:rsidRPr="00DC35B7">
        <w:rPr>
          <w:sz w:val="20"/>
          <w:szCs w:val="20"/>
        </w:rPr>
        <w:t xml:space="preserve"> Se exceptuará el pago de los derechos establecidos en la fracción XII del artículo 153 del Código Financiero para el Estado de Tlaxcala y sus Municipios, cuando se trate de patrullas al servicio de la seguridad de instituciones estatales.</w:t>
      </w:r>
    </w:p>
    <w:p w14:paraId="35D7E26B" w14:textId="77777777" w:rsidR="00DC35B7" w:rsidRPr="00DC35B7" w:rsidRDefault="00DC35B7" w:rsidP="00DC35B7">
      <w:pPr>
        <w:spacing w:line="360" w:lineRule="auto"/>
        <w:jc w:val="center"/>
        <w:rPr>
          <w:b/>
          <w:sz w:val="20"/>
          <w:szCs w:val="20"/>
        </w:rPr>
      </w:pPr>
    </w:p>
    <w:p w14:paraId="3615E482" w14:textId="77777777" w:rsidR="00DC35B7" w:rsidRPr="00DC35B7" w:rsidRDefault="00DC35B7" w:rsidP="00DC35B7">
      <w:pPr>
        <w:spacing w:line="360" w:lineRule="auto"/>
        <w:jc w:val="center"/>
        <w:rPr>
          <w:b/>
          <w:sz w:val="20"/>
          <w:szCs w:val="20"/>
        </w:rPr>
      </w:pPr>
    </w:p>
    <w:p w14:paraId="00EC2D91" w14:textId="77777777" w:rsidR="00DC35B7" w:rsidRPr="00DC35B7" w:rsidRDefault="00DC35B7" w:rsidP="00DC35B7">
      <w:pPr>
        <w:spacing w:line="360" w:lineRule="auto"/>
        <w:jc w:val="center"/>
        <w:rPr>
          <w:b/>
          <w:sz w:val="20"/>
          <w:szCs w:val="20"/>
        </w:rPr>
      </w:pPr>
    </w:p>
    <w:p w14:paraId="7F9CBB16" w14:textId="77777777" w:rsidR="00DC35B7" w:rsidRPr="00DC35B7" w:rsidRDefault="00DC35B7" w:rsidP="00DC35B7">
      <w:pPr>
        <w:spacing w:line="360" w:lineRule="auto"/>
        <w:jc w:val="center"/>
        <w:rPr>
          <w:b/>
          <w:sz w:val="20"/>
          <w:szCs w:val="20"/>
        </w:rPr>
      </w:pPr>
    </w:p>
    <w:p w14:paraId="3AC229AA" w14:textId="77777777" w:rsidR="00DC35B7" w:rsidRPr="00DC35B7" w:rsidRDefault="00DC35B7" w:rsidP="00DC35B7">
      <w:pPr>
        <w:spacing w:line="360" w:lineRule="auto"/>
        <w:jc w:val="center"/>
        <w:rPr>
          <w:b/>
          <w:sz w:val="20"/>
          <w:szCs w:val="20"/>
        </w:rPr>
      </w:pPr>
    </w:p>
    <w:p w14:paraId="45C528B6" w14:textId="77777777" w:rsidR="00DC35B7" w:rsidRPr="00DC35B7" w:rsidRDefault="00DC35B7" w:rsidP="00DC35B7">
      <w:pPr>
        <w:spacing w:line="360" w:lineRule="auto"/>
        <w:jc w:val="center"/>
        <w:rPr>
          <w:b/>
          <w:sz w:val="20"/>
          <w:szCs w:val="20"/>
        </w:rPr>
      </w:pPr>
    </w:p>
    <w:p w14:paraId="37B7B2AC" w14:textId="77777777" w:rsidR="00DC35B7" w:rsidRPr="00DC35B7" w:rsidRDefault="00DC35B7" w:rsidP="00DC35B7">
      <w:pPr>
        <w:spacing w:line="360" w:lineRule="auto"/>
        <w:jc w:val="center"/>
        <w:rPr>
          <w:b/>
          <w:sz w:val="20"/>
          <w:szCs w:val="20"/>
        </w:rPr>
      </w:pPr>
    </w:p>
    <w:p w14:paraId="1D4E412F" w14:textId="77777777" w:rsidR="00DC35B7" w:rsidRPr="00DC35B7" w:rsidRDefault="00DC35B7" w:rsidP="00DC35B7">
      <w:pPr>
        <w:spacing w:line="360" w:lineRule="auto"/>
        <w:jc w:val="center"/>
        <w:rPr>
          <w:b/>
          <w:sz w:val="20"/>
          <w:szCs w:val="20"/>
        </w:rPr>
      </w:pPr>
    </w:p>
    <w:p w14:paraId="5E27739A" w14:textId="77777777" w:rsidR="00DC35B7" w:rsidRPr="00DC35B7" w:rsidRDefault="00DC35B7" w:rsidP="00DC35B7">
      <w:pPr>
        <w:spacing w:line="360" w:lineRule="auto"/>
        <w:jc w:val="center"/>
        <w:rPr>
          <w:b/>
          <w:sz w:val="20"/>
          <w:szCs w:val="20"/>
        </w:rPr>
      </w:pPr>
    </w:p>
    <w:p w14:paraId="2A8AB862" w14:textId="77777777" w:rsidR="00DC35B7" w:rsidRPr="00DC35B7" w:rsidRDefault="00DC35B7" w:rsidP="00DC35B7">
      <w:pPr>
        <w:spacing w:line="360" w:lineRule="auto"/>
        <w:jc w:val="center"/>
        <w:rPr>
          <w:b/>
          <w:sz w:val="20"/>
          <w:szCs w:val="20"/>
        </w:rPr>
      </w:pPr>
    </w:p>
    <w:p w14:paraId="26D04E7C" w14:textId="77777777" w:rsidR="00DC35B7" w:rsidRPr="00DC35B7" w:rsidRDefault="00DC35B7" w:rsidP="00DC35B7">
      <w:pPr>
        <w:spacing w:line="360" w:lineRule="auto"/>
        <w:jc w:val="center"/>
        <w:rPr>
          <w:b/>
          <w:sz w:val="20"/>
          <w:szCs w:val="20"/>
        </w:rPr>
      </w:pPr>
    </w:p>
    <w:p w14:paraId="205FBE72" w14:textId="77777777" w:rsidR="00DC35B7" w:rsidRPr="00DC35B7" w:rsidRDefault="00DC35B7" w:rsidP="00DC35B7">
      <w:pPr>
        <w:spacing w:line="360" w:lineRule="auto"/>
        <w:jc w:val="center"/>
        <w:rPr>
          <w:b/>
          <w:sz w:val="20"/>
          <w:szCs w:val="20"/>
        </w:rPr>
      </w:pPr>
    </w:p>
    <w:p w14:paraId="1419D543" w14:textId="77777777" w:rsidR="00DC35B7" w:rsidRPr="00DC35B7" w:rsidRDefault="00DC35B7" w:rsidP="00DC35B7">
      <w:pPr>
        <w:spacing w:line="360" w:lineRule="auto"/>
        <w:jc w:val="center"/>
        <w:rPr>
          <w:b/>
          <w:sz w:val="20"/>
          <w:szCs w:val="20"/>
        </w:rPr>
      </w:pPr>
    </w:p>
    <w:p w14:paraId="3E172782" w14:textId="77777777" w:rsidR="00DC35B7" w:rsidRPr="00DC35B7" w:rsidRDefault="00DC35B7" w:rsidP="00DC35B7">
      <w:pPr>
        <w:spacing w:line="360" w:lineRule="auto"/>
        <w:jc w:val="center"/>
        <w:rPr>
          <w:b/>
          <w:sz w:val="20"/>
          <w:szCs w:val="20"/>
        </w:rPr>
      </w:pPr>
      <w:r w:rsidRPr="00DC35B7">
        <w:rPr>
          <w:b/>
          <w:sz w:val="20"/>
          <w:szCs w:val="20"/>
        </w:rPr>
        <w:t>TRANSITORIOS</w:t>
      </w:r>
    </w:p>
    <w:p w14:paraId="19537A99" w14:textId="77777777" w:rsidR="00DC35B7" w:rsidRPr="00DC35B7" w:rsidRDefault="00DC35B7" w:rsidP="00DC35B7">
      <w:pPr>
        <w:spacing w:line="360" w:lineRule="auto"/>
        <w:jc w:val="both"/>
        <w:rPr>
          <w:sz w:val="20"/>
          <w:szCs w:val="20"/>
        </w:rPr>
      </w:pPr>
    </w:p>
    <w:p w14:paraId="3293074A" w14:textId="77777777" w:rsidR="00DC35B7" w:rsidRPr="00DC35B7" w:rsidRDefault="00DC35B7" w:rsidP="00DC35B7">
      <w:pPr>
        <w:spacing w:line="360" w:lineRule="auto"/>
        <w:jc w:val="both"/>
        <w:rPr>
          <w:sz w:val="20"/>
          <w:szCs w:val="20"/>
        </w:rPr>
      </w:pPr>
      <w:r w:rsidRPr="00DC35B7">
        <w:rPr>
          <w:b/>
          <w:sz w:val="20"/>
          <w:szCs w:val="20"/>
        </w:rPr>
        <w:t>ARTÍCULO PRIMERO.</w:t>
      </w:r>
      <w:r w:rsidRPr="00DC35B7">
        <w:rPr>
          <w:sz w:val="20"/>
          <w:szCs w:val="20"/>
        </w:rPr>
        <w:t xml:space="preserve"> La presente Ley de Ingresos del Estado, tendrá vigencia del 1 de enero al 31 de diciembre del año 2023.</w:t>
      </w:r>
    </w:p>
    <w:p w14:paraId="4D8B7534" w14:textId="77777777" w:rsidR="00DC35B7" w:rsidRPr="00DC35B7" w:rsidRDefault="00DC35B7" w:rsidP="00DC35B7">
      <w:pPr>
        <w:spacing w:line="360" w:lineRule="auto"/>
        <w:jc w:val="both"/>
        <w:rPr>
          <w:sz w:val="20"/>
          <w:szCs w:val="20"/>
        </w:rPr>
      </w:pPr>
    </w:p>
    <w:p w14:paraId="7A1C2521" w14:textId="77777777" w:rsidR="00DC35B7" w:rsidRPr="00DC35B7" w:rsidRDefault="00DC35B7" w:rsidP="00DC35B7">
      <w:pPr>
        <w:spacing w:line="360" w:lineRule="auto"/>
        <w:jc w:val="both"/>
        <w:rPr>
          <w:sz w:val="20"/>
          <w:szCs w:val="20"/>
        </w:rPr>
      </w:pPr>
      <w:r w:rsidRPr="00DC35B7">
        <w:rPr>
          <w:b/>
          <w:sz w:val="20"/>
          <w:szCs w:val="20"/>
        </w:rPr>
        <w:t>ARTÍCULO SEGUNDO.</w:t>
      </w:r>
      <w:r w:rsidRPr="00DC35B7">
        <w:rPr>
          <w:sz w:val="20"/>
          <w:szCs w:val="20"/>
        </w:rPr>
        <w:t xml:space="preserve"> Los beneficios fiscales otorgados a través de este ordenamiento legal, no darán derecho a compensación o devolución alguna. La vigencia de las disposiciones sujetas a un plazo especifico, concluirán precisamente en la fecha de su vencimiento.</w:t>
      </w:r>
    </w:p>
    <w:p w14:paraId="24C949A4" w14:textId="77777777" w:rsidR="00DC35B7" w:rsidRPr="00DC35B7" w:rsidRDefault="00DC35B7" w:rsidP="00DC35B7">
      <w:pPr>
        <w:spacing w:line="360" w:lineRule="auto"/>
        <w:jc w:val="both"/>
        <w:rPr>
          <w:sz w:val="20"/>
          <w:szCs w:val="20"/>
        </w:rPr>
      </w:pPr>
    </w:p>
    <w:p w14:paraId="591AECB9" w14:textId="77777777" w:rsidR="00DC35B7" w:rsidRPr="00DC35B7" w:rsidRDefault="00DC35B7" w:rsidP="00DC35B7">
      <w:pPr>
        <w:spacing w:line="360" w:lineRule="auto"/>
        <w:jc w:val="both"/>
        <w:rPr>
          <w:sz w:val="20"/>
          <w:szCs w:val="20"/>
        </w:rPr>
      </w:pPr>
      <w:r w:rsidRPr="00DC35B7">
        <w:rPr>
          <w:b/>
          <w:sz w:val="20"/>
          <w:szCs w:val="20"/>
        </w:rPr>
        <w:t>ARTÍCULO TERCERO.</w:t>
      </w:r>
      <w:r w:rsidRPr="00DC35B7">
        <w:rPr>
          <w:sz w:val="20"/>
          <w:szCs w:val="20"/>
        </w:rPr>
        <w:t xml:space="preserve"> Los ingresos que por concepto de prestación de servicios de Organismos Públicos Descentralizados capte la Secretaría de Finanzas, serán otorgados a los entes generadores de los mismos, por lo que se excluyen en la determinación del Fondo Estatal Participable. Los entes que generen ingresos propios deberán informar los montos estimados y recaudados a la Secretaría de Finanzas por la prestación de los servicios inherentes a su funcionamiento, con la periodicidad que ésta establezca para su integración en la Cuenta Pública del Ejecutivo.</w:t>
      </w:r>
    </w:p>
    <w:p w14:paraId="78F84E5E" w14:textId="77777777" w:rsidR="00DC35B7" w:rsidRPr="00DC35B7" w:rsidRDefault="00DC35B7" w:rsidP="00DC35B7">
      <w:pPr>
        <w:spacing w:line="360" w:lineRule="auto"/>
        <w:jc w:val="both"/>
        <w:rPr>
          <w:sz w:val="20"/>
          <w:szCs w:val="20"/>
        </w:rPr>
      </w:pPr>
    </w:p>
    <w:p w14:paraId="68E37231" w14:textId="77777777" w:rsidR="00DC35B7" w:rsidRPr="00DC35B7" w:rsidRDefault="00DC35B7" w:rsidP="00DC35B7">
      <w:pPr>
        <w:spacing w:line="360" w:lineRule="auto"/>
        <w:jc w:val="both"/>
        <w:rPr>
          <w:sz w:val="20"/>
          <w:szCs w:val="20"/>
        </w:rPr>
      </w:pPr>
      <w:r w:rsidRPr="00DC35B7">
        <w:rPr>
          <w:sz w:val="20"/>
          <w:szCs w:val="20"/>
        </w:rPr>
        <w:t>La aplicación de estos recursos deberá ser informada al Congreso del Estado, a través de la Cuenta Pública del ente público respectivo.</w:t>
      </w:r>
    </w:p>
    <w:p w14:paraId="78A0C05A" w14:textId="77777777" w:rsidR="00DC35B7" w:rsidRPr="00DC35B7" w:rsidRDefault="00DC35B7" w:rsidP="00DC35B7">
      <w:pPr>
        <w:spacing w:line="360" w:lineRule="auto"/>
        <w:jc w:val="both"/>
        <w:rPr>
          <w:sz w:val="20"/>
          <w:szCs w:val="20"/>
        </w:rPr>
      </w:pPr>
    </w:p>
    <w:p w14:paraId="4A0034E1" w14:textId="77777777" w:rsidR="00DC35B7" w:rsidRPr="00DC35B7" w:rsidRDefault="00DC35B7" w:rsidP="00DC35B7">
      <w:pPr>
        <w:spacing w:line="360" w:lineRule="auto"/>
        <w:jc w:val="both"/>
        <w:rPr>
          <w:sz w:val="20"/>
          <w:szCs w:val="20"/>
        </w:rPr>
      </w:pPr>
      <w:r w:rsidRPr="00DC35B7">
        <w:rPr>
          <w:b/>
          <w:sz w:val="20"/>
          <w:szCs w:val="20"/>
        </w:rPr>
        <w:t>ARTÍCULO CUARTO.</w:t>
      </w:r>
      <w:r w:rsidRPr="00DC35B7">
        <w:rPr>
          <w:sz w:val="20"/>
          <w:szCs w:val="20"/>
        </w:rPr>
        <w:t xml:space="preserve"> Los ingresos que los Municipios en sus demarcaciones territoriales recauden a cuenta y nombre del Estado, por los derechos del Registro del Estado Civil de las Personas y expedición de licencias o refrendo para el funcionamiento de establecimientos o locales cuyos giros sean la enajenación de bebidas alcohólicas, o la prestación de servicios que incluyan el expendio de dichas bebidas, señalados de conformidad con el Código Financiero para el Estado de Tlaxcala y sus Municipios; capte la Secretaría de Finanzas, observando las disposiciones establecidas en los convenios suscritos por las partes, otorgándose a los entes generadores de los mismos, por lo que se excluyen en la determinación del Fondo Estatal Participable.</w:t>
      </w:r>
    </w:p>
    <w:p w14:paraId="04F98311" w14:textId="77777777" w:rsidR="00DC35B7" w:rsidRPr="00DC35B7" w:rsidRDefault="00DC35B7" w:rsidP="00DC35B7">
      <w:pPr>
        <w:spacing w:line="360" w:lineRule="auto"/>
        <w:jc w:val="both"/>
        <w:rPr>
          <w:sz w:val="20"/>
          <w:szCs w:val="20"/>
        </w:rPr>
      </w:pPr>
    </w:p>
    <w:p w14:paraId="7325E928" w14:textId="77777777" w:rsidR="00DC35B7" w:rsidRPr="00DC35B7" w:rsidRDefault="00DC35B7" w:rsidP="00DC35B7">
      <w:pPr>
        <w:spacing w:line="360" w:lineRule="auto"/>
        <w:jc w:val="both"/>
        <w:rPr>
          <w:b/>
          <w:sz w:val="20"/>
          <w:szCs w:val="20"/>
        </w:rPr>
      </w:pPr>
      <w:r w:rsidRPr="00DC35B7">
        <w:rPr>
          <w:sz w:val="20"/>
          <w:szCs w:val="20"/>
        </w:rPr>
        <w:t>La aplicación de estos recursos deberá ser informada al Congreso del Estado, a través de la Cuenta Pública del ente público respectivo.</w:t>
      </w:r>
    </w:p>
    <w:p w14:paraId="106E9666" w14:textId="77777777" w:rsidR="00DC35B7" w:rsidRPr="00DC35B7" w:rsidRDefault="00DC35B7" w:rsidP="00DC35B7">
      <w:pPr>
        <w:spacing w:line="360" w:lineRule="auto"/>
        <w:jc w:val="both"/>
        <w:rPr>
          <w:sz w:val="20"/>
          <w:szCs w:val="20"/>
        </w:rPr>
      </w:pPr>
    </w:p>
    <w:p w14:paraId="7D8C8C0F" w14:textId="77777777" w:rsidR="00DC35B7" w:rsidRPr="00DC35B7" w:rsidRDefault="00DC35B7" w:rsidP="00DC35B7">
      <w:pPr>
        <w:spacing w:line="360" w:lineRule="auto"/>
        <w:jc w:val="both"/>
        <w:rPr>
          <w:sz w:val="20"/>
          <w:szCs w:val="20"/>
        </w:rPr>
      </w:pPr>
      <w:r w:rsidRPr="00DC35B7">
        <w:rPr>
          <w:b/>
          <w:sz w:val="20"/>
          <w:szCs w:val="20"/>
        </w:rPr>
        <w:lastRenderedPageBreak/>
        <w:t>ARTÍCULO QUINTO.</w:t>
      </w:r>
      <w:r w:rsidRPr="00DC35B7">
        <w:rPr>
          <w:sz w:val="20"/>
          <w:szCs w:val="20"/>
        </w:rPr>
        <w:t xml:space="preserve"> Los ingresos que en su caso se obtengan por concepto de Otros Apoyos Federales, comprendido por Convenios de Reasignación, Subsidios y demás recursos con destino específico que se otorguen en términos de la Ley Federal de Presupuesto y Responsabilidad Hacendaria y del Presupuesto de Egresos de la Federación, estarán supeditados a la firma de los Convenios respectivos; y en caso de obtenerse, se incluirán de manera automática a esta Ley.</w:t>
      </w:r>
    </w:p>
    <w:p w14:paraId="13E626D2" w14:textId="77777777" w:rsidR="00DC35B7" w:rsidRPr="00DC35B7" w:rsidRDefault="00DC35B7" w:rsidP="00DC35B7">
      <w:pPr>
        <w:spacing w:line="360" w:lineRule="auto"/>
        <w:jc w:val="both"/>
        <w:rPr>
          <w:sz w:val="20"/>
          <w:szCs w:val="20"/>
        </w:rPr>
      </w:pPr>
    </w:p>
    <w:p w14:paraId="7F6BF411" w14:textId="77777777" w:rsidR="00DC35B7" w:rsidRPr="00DC35B7" w:rsidRDefault="00DC35B7" w:rsidP="00DC35B7">
      <w:pPr>
        <w:spacing w:line="360" w:lineRule="auto"/>
        <w:jc w:val="both"/>
        <w:rPr>
          <w:sz w:val="20"/>
          <w:szCs w:val="20"/>
        </w:rPr>
      </w:pPr>
      <w:r w:rsidRPr="00DC35B7">
        <w:rPr>
          <w:sz w:val="20"/>
          <w:szCs w:val="20"/>
        </w:rPr>
        <w:t>La aplicación de estos recursos deberá ser informada al Congreso del Estado, a través de la Cuenta Pública del ente público que los ejecute.</w:t>
      </w:r>
    </w:p>
    <w:p w14:paraId="6B7F2FB4" w14:textId="77777777" w:rsidR="00DC35B7" w:rsidRPr="00DC35B7" w:rsidRDefault="00DC35B7" w:rsidP="00DC35B7">
      <w:pPr>
        <w:spacing w:line="360" w:lineRule="auto"/>
        <w:jc w:val="both"/>
        <w:rPr>
          <w:sz w:val="20"/>
          <w:szCs w:val="20"/>
        </w:rPr>
      </w:pPr>
    </w:p>
    <w:p w14:paraId="0955EC3A" w14:textId="77777777" w:rsidR="00DC35B7" w:rsidRPr="00DC35B7" w:rsidRDefault="00DC35B7" w:rsidP="00DC35B7">
      <w:pPr>
        <w:spacing w:line="360" w:lineRule="auto"/>
        <w:jc w:val="both"/>
        <w:rPr>
          <w:sz w:val="20"/>
          <w:szCs w:val="20"/>
        </w:rPr>
      </w:pPr>
      <w:r w:rsidRPr="00DC35B7">
        <w:rPr>
          <w:b/>
          <w:sz w:val="20"/>
          <w:szCs w:val="20"/>
        </w:rPr>
        <w:t>ARTÍCULO SEXTO.</w:t>
      </w:r>
      <w:r w:rsidRPr="00DC35B7">
        <w:rPr>
          <w:sz w:val="20"/>
          <w:szCs w:val="20"/>
        </w:rPr>
        <w:t xml:space="preserve"> Para los efectos de la Ley de Ingresos del Estado de Tlaxcala, para el Ejercicio Fiscal 2023, cuando, de conformidad con la Ley Orgánica de la Administración Pública del Estado de Tlaxcala, o los decretos de creación correspondientes, se modifique la denominación de alguna dependencia o entidad, o las existentes desaparezcan, se entenderá que los ingresos estimados para estas en la presente Ley, corresponderán a las dependencias o entidades cuyas denominaciones hayan cambiado o que absorban las facultades de aquellas que desaparezcan, según corresponda.</w:t>
      </w:r>
    </w:p>
    <w:p w14:paraId="40542CD6" w14:textId="77777777" w:rsidR="00DC35B7" w:rsidRPr="00DC35B7" w:rsidRDefault="00DC35B7" w:rsidP="00DC35B7">
      <w:pPr>
        <w:spacing w:line="360" w:lineRule="auto"/>
        <w:jc w:val="both"/>
        <w:rPr>
          <w:sz w:val="20"/>
          <w:szCs w:val="20"/>
        </w:rPr>
      </w:pPr>
      <w:r w:rsidRPr="00DC35B7">
        <w:rPr>
          <w:b/>
          <w:sz w:val="20"/>
          <w:szCs w:val="20"/>
        </w:rPr>
        <w:t>ARTÍCULO SEPTIMO.</w:t>
      </w:r>
      <w:r w:rsidRPr="00DC35B7">
        <w:rPr>
          <w:sz w:val="20"/>
          <w:szCs w:val="20"/>
        </w:rPr>
        <w:t xml:space="preserve"> Quedan sin efecto durante el ejercicio fiscal 2023, todas aquellas disposiciones contrarias a lo dispuesto por la presente Ley de Ingresos del Estado de Tlaxcala para el Ejercicio Fiscal 2023, en materia de Empresas de Redes de Transporte.</w:t>
      </w:r>
    </w:p>
    <w:p w14:paraId="7848D752" w14:textId="77777777" w:rsidR="00DC35B7" w:rsidRPr="00DC35B7" w:rsidRDefault="00DC35B7" w:rsidP="00DC35B7">
      <w:pPr>
        <w:spacing w:line="360" w:lineRule="auto"/>
        <w:jc w:val="both"/>
        <w:rPr>
          <w:sz w:val="20"/>
          <w:szCs w:val="20"/>
        </w:rPr>
      </w:pPr>
    </w:p>
    <w:p w14:paraId="1D794CDE" w14:textId="77777777" w:rsidR="00DC35B7" w:rsidRPr="00DC35B7" w:rsidRDefault="00DC35B7" w:rsidP="00DC35B7">
      <w:pPr>
        <w:spacing w:line="360" w:lineRule="auto"/>
        <w:jc w:val="both"/>
        <w:rPr>
          <w:sz w:val="20"/>
          <w:szCs w:val="20"/>
        </w:rPr>
      </w:pPr>
      <w:r w:rsidRPr="00DC35B7">
        <w:rPr>
          <w:b/>
          <w:sz w:val="20"/>
          <w:szCs w:val="20"/>
        </w:rPr>
        <w:t>ARTÍCULO OCTAVO.</w:t>
      </w:r>
      <w:r w:rsidRPr="00DC35B7">
        <w:rPr>
          <w:sz w:val="20"/>
          <w:szCs w:val="20"/>
        </w:rPr>
        <w:t xml:space="preserve"> La Secretaría de Movilidad y Transporte, será la dependencia encargada en coordinación con la Secretaría de Finanzas de emitir el Programa Estatal de Reemplacamiento obligatorio 2023, dentro de los primeros 30 días naturales del ejercicio fiscal 2023.</w:t>
      </w:r>
    </w:p>
    <w:p w14:paraId="51869FAA" w14:textId="77777777" w:rsidR="00DC35B7" w:rsidRPr="00DC35B7" w:rsidRDefault="00DC35B7" w:rsidP="00DC35B7">
      <w:pPr>
        <w:spacing w:line="360" w:lineRule="auto"/>
        <w:jc w:val="both"/>
        <w:rPr>
          <w:sz w:val="20"/>
          <w:szCs w:val="20"/>
        </w:rPr>
      </w:pPr>
    </w:p>
    <w:p w14:paraId="34A80D62" w14:textId="77777777" w:rsidR="00DC35B7" w:rsidRPr="00DC35B7" w:rsidRDefault="00DC35B7" w:rsidP="00DC35B7">
      <w:pPr>
        <w:spacing w:line="360" w:lineRule="auto"/>
        <w:jc w:val="both"/>
        <w:rPr>
          <w:b/>
          <w:sz w:val="20"/>
          <w:szCs w:val="20"/>
        </w:rPr>
      </w:pPr>
    </w:p>
    <w:p w14:paraId="2E162D2A" w14:textId="77777777" w:rsidR="00DC35B7" w:rsidRPr="00DC35B7" w:rsidRDefault="00DC35B7" w:rsidP="00DC35B7">
      <w:pPr>
        <w:spacing w:line="360" w:lineRule="auto"/>
        <w:jc w:val="both"/>
        <w:rPr>
          <w:b/>
          <w:sz w:val="20"/>
          <w:szCs w:val="20"/>
        </w:rPr>
      </w:pPr>
    </w:p>
    <w:p w14:paraId="23CF5F74" w14:textId="77777777" w:rsidR="00DC35B7" w:rsidRPr="00DC35B7" w:rsidRDefault="00DC35B7" w:rsidP="00DC35B7">
      <w:pPr>
        <w:spacing w:line="360" w:lineRule="auto"/>
        <w:jc w:val="both"/>
        <w:rPr>
          <w:b/>
          <w:sz w:val="20"/>
          <w:szCs w:val="20"/>
        </w:rPr>
      </w:pPr>
    </w:p>
    <w:p w14:paraId="658DABA5" w14:textId="77777777" w:rsidR="00DC35B7" w:rsidRPr="00DC35B7" w:rsidRDefault="00DC35B7" w:rsidP="00DC35B7">
      <w:pPr>
        <w:spacing w:line="360" w:lineRule="auto"/>
        <w:jc w:val="both"/>
        <w:rPr>
          <w:b/>
          <w:sz w:val="20"/>
          <w:szCs w:val="20"/>
        </w:rPr>
      </w:pPr>
    </w:p>
    <w:p w14:paraId="06FED63A" w14:textId="77777777" w:rsidR="00DC35B7" w:rsidRPr="00DC35B7" w:rsidRDefault="00DC35B7" w:rsidP="00DC35B7">
      <w:pPr>
        <w:spacing w:line="360" w:lineRule="auto"/>
        <w:jc w:val="both"/>
        <w:rPr>
          <w:b/>
          <w:sz w:val="20"/>
          <w:szCs w:val="20"/>
        </w:rPr>
      </w:pPr>
    </w:p>
    <w:p w14:paraId="796D1727" w14:textId="77777777" w:rsidR="00DC35B7" w:rsidRPr="00DC35B7" w:rsidRDefault="00DC35B7" w:rsidP="00DC35B7">
      <w:pPr>
        <w:spacing w:line="360" w:lineRule="auto"/>
        <w:jc w:val="both"/>
        <w:rPr>
          <w:b/>
          <w:sz w:val="20"/>
          <w:szCs w:val="20"/>
        </w:rPr>
      </w:pPr>
    </w:p>
    <w:p w14:paraId="691E3A30" w14:textId="77777777" w:rsidR="00DC35B7" w:rsidRPr="00DC35B7" w:rsidRDefault="00DC35B7" w:rsidP="00DC35B7">
      <w:pPr>
        <w:spacing w:line="360" w:lineRule="auto"/>
        <w:jc w:val="both"/>
        <w:rPr>
          <w:b/>
          <w:sz w:val="20"/>
          <w:szCs w:val="20"/>
        </w:rPr>
      </w:pPr>
    </w:p>
    <w:p w14:paraId="47AB2991" w14:textId="77777777" w:rsidR="00DC35B7" w:rsidRPr="00DC35B7" w:rsidRDefault="00DC35B7" w:rsidP="00DC35B7">
      <w:pPr>
        <w:spacing w:line="360" w:lineRule="auto"/>
        <w:jc w:val="both"/>
        <w:rPr>
          <w:b/>
          <w:sz w:val="20"/>
          <w:szCs w:val="20"/>
        </w:rPr>
      </w:pPr>
    </w:p>
    <w:p w14:paraId="0C666942" w14:textId="77777777" w:rsidR="00DC35B7" w:rsidRPr="00DC35B7" w:rsidRDefault="00DC35B7" w:rsidP="00DC35B7">
      <w:pPr>
        <w:spacing w:line="360" w:lineRule="auto"/>
        <w:jc w:val="both"/>
        <w:rPr>
          <w:b/>
          <w:sz w:val="20"/>
          <w:szCs w:val="20"/>
        </w:rPr>
      </w:pPr>
    </w:p>
    <w:p w14:paraId="7AF1BBCC" w14:textId="77777777" w:rsidR="00DC35B7" w:rsidRPr="00DC35B7" w:rsidRDefault="00DC35B7" w:rsidP="00DC35B7">
      <w:pPr>
        <w:pStyle w:val="Textoindependiente"/>
        <w:rPr>
          <w:rFonts w:ascii="Times New Roman" w:eastAsia="Arial Unicode MS" w:hAnsi="Times New Roman" w:cs="Times New Roman"/>
          <w:b w:val="0"/>
          <w:bCs w:val="0"/>
          <w:szCs w:val="20"/>
        </w:rPr>
      </w:pPr>
      <w:r w:rsidRPr="00DC35B7">
        <w:rPr>
          <w:rFonts w:ascii="Times New Roman" w:eastAsia="Arial Unicode MS" w:hAnsi="Times New Roman" w:cs="Times New Roman"/>
          <w:b w:val="0"/>
          <w:bCs w:val="0"/>
          <w:szCs w:val="20"/>
        </w:rPr>
        <w:lastRenderedPageBreak/>
        <w:t>Dado en la Ciudad de Tlaxcala de Xicohténcatl, residencia oficial del Poder Ejecutivo del Estado Libre y Soberano de Tlaxcala a los catorce días del mes de n</w:t>
      </w:r>
      <w:r w:rsidRPr="00DC35B7">
        <w:rPr>
          <w:rFonts w:ascii="Times New Roman" w:hAnsi="Times New Roman" w:cs="Times New Roman"/>
          <w:b w:val="0"/>
          <w:bCs w:val="0"/>
          <w:szCs w:val="20"/>
        </w:rPr>
        <w:t xml:space="preserve">oviembre </w:t>
      </w:r>
      <w:r w:rsidRPr="00DC35B7">
        <w:rPr>
          <w:rFonts w:ascii="Times New Roman" w:eastAsia="Arial Unicode MS" w:hAnsi="Times New Roman" w:cs="Times New Roman"/>
          <w:b w:val="0"/>
          <w:bCs w:val="0"/>
          <w:szCs w:val="20"/>
        </w:rPr>
        <w:t>del año dos mil veintidós.</w:t>
      </w:r>
    </w:p>
    <w:p w14:paraId="26BE6E82" w14:textId="77777777" w:rsidR="00DC35B7" w:rsidRPr="00DC35B7" w:rsidRDefault="00DC35B7" w:rsidP="00DC35B7">
      <w:pPr>
        <w:pStyle w:val="Textoindependiente"/>
        <w:rPr>
          <w:rFonts w:ascii="Times New Roman" w:eastAsia="Arial Unicode MS" w:hAnsi="Times New Roman" w:cs="Times New Roman"/>
          <w:szCs w:val="20"/>
        </w:rPr>
      </w:pPr>
    </w:p>
    <w:p w14:paraId="72A22C31" w14:textId="77777777" w:rsidR="00DC35B7" w:rsidRPr="00DC35B7" w:rsidRDefault="00DC35B7" w:rsidP="00DC35B7">
      <w:pPr>
        <w:pStyle w:val="Textoindependiente"/>
        <w:rPr>
          <w:rFonts w:ascii="Times New Roman" w:eastAsia="Arial Unicode MS" w:hAnsi="Times New Roman" w:cs="Times New Roman"/>
          <w:szCs w:val="20"/>
        </w:rPr>
      </w:pPr>
    </w:p>
    <w:p w14:paraId="52865221" w14:textId="77777777" w:rsidR="00DC35B7" w:rsidRPr="00DC35B7" w:rsidRDefault="00DC35B7" w:rsidP="00DC35B7">
      <w:pPr>
        <w:pStyle w:val="Textoindependiente"/>
        <w:jc w:val="left"/>
        <w:rPr>
          <w:rFonts w:ascii="Times New Roman" w:eastAsia="Arial Unicode MS" w:hAnsi="Times New Roman" w:cs="Times New Roman"/>
          <w:szCs w:val="20"/>
        </w:rPr>
      </w:pPr>
      <w:r w:rsidRPr="00DC35B7">
        <w:rPr>
          <w:rFonts w:ascii="Times New Roman" w:eastAsia="Arial Unicode MS" w:hAnsi="Times New Roman" w:cs="Times New Roman"/>
          <w:szCs w:val="20"/>
        </w:rPr>
        <w:t>A T E N T A M E N T E</w:t>
      </w:r>
    </w:p>
    <w:p w14:paraId="06099F6C" w14:textId="77777777" w:rsidR="00DC35B7" w:rsidRPr="00DC35B7" w:rsidRDefault="00DC35B7" w:rsidP="00DC35B7">
      <w:pPr>
        <w:pStyle w:val="Textoindependiente"/>
        <w:jc w:val="left"/>
        <w:rPr>
          <w:rFonts w:ascii="Times New Roman" w:eastAsia="Arial Unicode MS" w:hAnsi="Times New Roman" w:cs="Times New Roman"/>
          <w:szCs w:val="20"/>
        </w:rPr>
      </w:pPr>
    </w:p>
    <w:p w14:paraId="3A35A722" w14:textId="77777777" w:rsidR="00DC35B7" w:rsidRPr="00DC35B7" w:rsidRDefault="00DC35B7" w:rsidP="00DC35B7">
      <w:pPr>
        <w:pStyle w:val="Textoindependiente"/>
        <w:jc w:val="left"/>
        <w:rPr>
          <w:rFonts w:ascii="Times New Roman" w:eastAsia="Arial Unicode MS" w:hAnsi="Times New Roman" w:cs="Times New Roman"/>
          <w:szCs w:val="20"/>
        </w:rPr>
      </w:pPr>
    </w:p>
    <w:p w14:paraId="3759A655" w14:textId="77777777" w:rsidR="00DC35B7" w:rsidRPr="00DC35B7" w:rsidRDefault="00DC35B7" w:rsidP="00DC35B7">
      <w:pPr>
        <w:pStyle w:val="Textoindependiente"/>
        <w:jc w:val="left"/>
        <w:rPr>
          <w:rFonts w:ascii="Times New Roman" w:eastAsia="Arial Unicode MS" w:hAnsi="Times New Roman" w:cs="Times New Roman"/>
          <w:szCs w:val="20"/>
        </w:rPr>
      </w:pPr>
    </w:p>
    <w:p w14:paraId="054EE2B3" w14:textId="77777777" w:rsidR="00DC35B7" w:rsidRPr="00DC35B7" w:rsidRDefault="00DC35B7" w:rsidP="00DC35B7">
      <w:pPr>
        <w:pStyle w:val="Textoindependiente"/>
        <w:jc w:val="left"/>
        <w:rPr>
          <w:rFonts w:ascii="Times New Roman" w:hAnsi="Times New Roman" w:cs="Times New Roman"/>
          <w:szCs w:val="20"/>
        </w:rPr>
      </w:pPr>
      <w:r w:rsidRPr="00DC35B7">
        <w:rPr>
          <w:rFonts w:ascii="Times New Roman" w:eastAsia="Arial Unicode MS" w:hAnsi="Times New Roman" w:cs="Times New Roman"/>
          <w:szCs w:val="20"/>
        </w:rPr>
        <w:t>LORENA CUÉLLAR CISNEROS</w:t>
      </w:r>
    </w:p>
    <w:p w14:paraId="3E5B9C02" w14:textId="77777777" w:rsidR="00DC35B7" w:rsidRPr="00DC35B7" w:rsidRDefault="00DC35B7" w:rsidP="00DC35B7">
      <w:pPr>
        <w:pStyle w:val="Textoindependiente"/>
        <w:jc w:val="left"/>
        <w:rPr>
          <w:rFonts w:ascii="Times New Roman" w:eastAsia="Arial Unicode MS" w:hAnsi="Times New Roman" w:cs="Times New Roman"/>
          <w:szCs w:val="20"/>
        </w:rPr>
      </w:pPr>
      <w:r w:rsidRPr="00DC35B7">
        <w:rPr>
          <w:rFonts w:ascii="Times New Roman" w:eastAsia="Arial Unicode MS" w:hAnsi="Times New Roman" w:cs="Times New Roman"/>
          <w:szCs w:val="20"/>
        </w:rPr>
        <w:t>GOBERNADORA DEL ESTADO DE TLAXCALA</w:t>
      </w:r>
    </w:p>
    <w:p w14:paraId="5B7CCE4B" w14:textId="77777777" w:rsidR="00DC35B7" w:rsidRPr="00DC35B7" w:rsidRDefault="00DC35B7" w:rsidP="00DC35B7">
      <w:pPr>
        <w:pStyle w:val="Textoindependiente"/>
        <w:jc w:val="left"/>
        <w:rPr>
          <w:rFonts w:ascii="Times New Roman" w:eastAsia="Arial Unicode MS" w:hAnsi="Times New Roman" w:cs="Times New Roman"/>
          <w:szCs w:val="20"/>
        </w:rPr>
      </w:pPr>
    </w:p>
    <w:p w14:paraId="5E02FDB8" w14:textId="77777777" w:rsidR="00DC35B7" w:rsidRPr="00DC35B7" w:rsidRDefault="00DC35B7" w:rsidP="00DC35B7">
      <w:pPr>
        <w:pStyle w:val="Textoindependiente"/>
        <w:jc w:val="left"/>
        <w:rPr>
          <w:rFonts w:ascii="Times New Roman" w:eastAsia="Arial Unicode MS" w:hAnsi="Times New Roman" w:cs="Times New Roman"/>
          <w:szCs w:val="20"/>
        </w:rPr>
      </w:pPr>
    </w:p>
    <w:p w14:paraId="33CC59F4" w14:textId="77777777" w:rsidR="00DC35B7" w:rsidRPr="00DC35B7" w:rsidRDefault="00DC35B7" w:rsidP="00DC35B7">
      <w:pPr>
        <w:pStyle w:val="Textoindependiente"/>
        <w:jc w:val="left"/>
        <w:rPr>
          <w:rFonts w:ascii="Times New Roman" w:eastAsia="Arial Unicode MS" w:hAnsi="Times New Roman" w:cs="Times New Roman"/>
          <w:szCs w:val="20"/>
        </w:rPr>
      </w:pPr>
    </w:p>
    <w:p w14:paraId="41A3C4E0" w14:textId="77777777" w:rsidR="00DC35B7" w:rsidRPr="00DC35B7" w:rsidRDefault="00DC35B7" w:rsidP="00DC35B7">
      <w:pPr>
        <w:pStyle w:val="Textoindependiente"/>
        <w:jc w:val="left"/>
        <w:rPr>
          <w:rFonts w:ascii="Times New Roman" w:eastAsia="Arial Unicode MS" w:hAnsi="Times New Roman" w:cs="Times New Roman"/>
          <w:szCs w:val="20"/>
        </w:rPr>
      </w:pPr>
      <w:r w:rsidRPr="00DC35B7">
        <w:rPr>
          <w:rFonts w:ascii="Times New Roman" w:eastAsia="Arial Unicode MS" w:hAnsi="Times New Roman" w:cs="Times New Roman"/>
          <w:szCs w:val="20"/>
        </w:rPr>
        <w:t>SERGIO GONZÁLEZ HERNÁNDEZ</w:t>
      </w:r>
    </w:p>
    <w:p w14:paraId="42C49A0B" w14:textId="77777777" w:rsidR="00DC35B7" w:rsidRPr="00DC35B7" w:rsidRDefault="00DC35B7" w:rsidP="00DC35B7">
      <w:pPr>
        <w:pStyle w:val="Textoindependiente"/>
        <w:jc w:val="left"/>
        <w:rPr>
          <w:rFonts w:ascii="Times New Roman" w:hAnsi="Times New Roman" w:cs="Times New Roman"/>
          <w:szCs w:val="20"/>
        </w:rPr>
      </w:pPr>
      <w:r w:rsidRPr="00DC35B7">
        <w:rPr>
          <w:rFonts w:ascii="Times New Roman" w:eastAsia="Arial Unicode MS" w:hAnsi="Times New Roman" w:cs="Times New Roman"/>
          <w:szCs w:val="20"/>
        </w:rPr>
        <w:t>SECRETARIO DE GOBIERNO</w:t>
      </w:r>
    </w:p>
    <w:p w14:paraId="0B567B94" w14:textId="77777777" w:rsidR="00DC35B7" w:rsidRPr="00DC35B7" w:rsidRDefault="00DC35B7" w:rsidP="00DC35B7">
      <w:pPr>
        <w:pStyle w:val="Textoindependiente"/>
        <w:jc w:val="left"/>
        <w:rPr>
          <w:rFonts w:ascii="Times New Roman" w:eastAsia="Arial Unicode MS" w:hAnsi="Times New Roman" w:cs="Times New Roman"/>
          <w:szCs w:val="20"/>
        </w:rPr>
      </w:pPr>
    </w:p>
    <w:p w14:paraId="0FCF9F9B" w14:textId="77777777" w:rsidR="00DC35B7" w:rsidRPr="00DC35B7" w:rsidRDefault="00DC35B7" w:rsidP="00DC35B7">
      <w:pPr>
        <w:pStyle w:val="Textoindependiente"/>
        <w:jc w:val="left"/>
        <w:rPr>
          <w:rFonts w:ascii="Times New Roman" w:eastAsia="Arial Unicode MS" w:hAnsi="Times New Roman" w:cs="Times New Roman"/>
          <w:szCs w:val="20"/>
        </w:rPr>
      </w:pPr>
    </w:p>
    <w:p w14:paraId="2B2AB1AF" w14:textId="77777777" w:rsidR="00DC35B7" w:rsidRPr="00DC35B7" w:rsidRDefault="00DC35B7" w:rsidP="00DC35B7">
      <w:pPr>
        <w:pStyle w:val="Textoindependiente"/>
        <w:jc w:val="left"/>
        <w:rPr>
          <w:rFonts w:ascii="Times New Roman" w:eastAsia="Arial Unicode MS" w:hAnsi="Times New Roman" w:cs="Times New Roman"/>
          <w:szCs w:val="20"/>
        </w:rPr>
      </w:pPr>
    </w:p>
    <w:p w14:paraId="1FEF5F24" w14:textId="77777777" w:rsidR="00DC35B7" w:rsidRPr="00DC35B7" w:rsidRDefault="00DC35B7" w:rsidP="00DC35B7">
      <w:pPr>
        <w:pStyle w:val="Textoindependiente"/>
        <w:jc w:val="left"/>
        <w:rPr>
          <w:rFonts w:ascii="Times New Roman" w:hAnsi="Times New Roman" w:cs="Times New Roman"/>
          <w:szCs w:val="20"/>
        </w:rPr>
      </w:pPr>
      <w:r w:rsidRPr="00DC35B7">
        <w:rPr>
          <w:rFonts w:ascii="Times New Roman" w:eastAsia="Arial Unicode MS" w:hAnsi="Times New Roman" w:cs="Times New Roman"/>
          <w:szCs w:val="20"/>
        </w:rPr>
        <w:t>DAVID ÁLVAREZ OCHOA</w:t>
      </w:r>
    </w:p>
    <w:p w14:paraId="3D21B661" w14:textId="77777777" w:rsidR="00DC35B7" w:rsidRPr="00DC35B7" w:rsidRDefault="00DC35B7" w:rsidP="00DC35B7">
      <w:pPr>
        <w:pStyle w:val="Textoindependiente"/>
        <w:jc w:val="left"/>
        <w:rPr>
          <w:rFonts w:ascii="Times New Roman" w:eastAsia="Arial Unicode MS" w:hAnsi="Times New Roman" w:cs="Times New Roman"/>
          <w:szCs w:val="20"/>
        </w:rPr>
      </w:pPr>
      <w:r w:rsidRPr="00DC35B7">
        <w:rPr>
          <w:rFonts w:ascii="Times New Roman" w:eastAsia="Arial Unicode MS" w:hAnsi="Times New Roman" w:cs="Times New Roman"/>
          <w:szCs w:val="20"/>
        </w:rPr>
        <w:t>SECRETARIO DE FINANZAS</w:t>
      </w:r>
    </w:p>
    <w:p w14:paraId="515E79F5" w14:textId="77777777" w:rsidR="00DC35B7" w:rsidRPr="00DC35B7" w:rsidRDefault="00DC35B7" w:rsidP="00DC35B7">
      <w:pPr>
        <w:pStyle w:val="Textoindependiente"/>
        <w:jc w:val="left"/>
        <w:rPr>
          <w:rFonts w:ascii="Times New Roman" w:eastAsia="Arial Unicode MS" w:hAnsi="Times New Roman" w:cs="Times New Roman"/>
          <w:szCs w:val="20"/>
        </w:rPr>
      </w:pPr>
    </w:p>
    <w:p w14:paraId="30799A3A" w14:textId="77777777" w:rsidR="00DC35B7" w:rsidRPr="00DC35B7" w:rsidRDefault="00DC35B7" w:rsidP="00DC35B7">
      <w:pPr>
        <w:pStyle w:val="Textoindependiente"/>
        <w:jc w:val="left"/>
        <w:rPr>
          <w:rFonts w:ascii="Times New Roman" w:eastAsia="Arial Unicode MS" w:hAnsi="Times New Roman" w:cs="Times New Roman"/>
          <w:b w:val="0"/>
          <w:szCs w:val="20"/>
        </w:rPr>
      </w:pPr>
    </w:p>
    <w:p w14:paraId="441E5DF7" w14:textId="77777777" w:rsidR="00DC35B7" w:rsidRPr="00DC35B7" w:rsidRDefault="00DC35B7" w:rsidP="00DC35B7">
      <w:pPr>
        <w:pStyle w:val="Textoindependiente"/>
        <w:jc w:val="left"/>
        <w:rPr>
          <w:rFonts w:ascii="Times New Roman" w:eastAsia="Arial Unicode MS" w:hAnsi="Times New Roman" w:cs="Times New Roman"/>
          <w:b w:val="0"/>
          <w:szCs w:val="20"/>
        </w:rPr>
      </w:pPr>
    </w:p>
    <w:p w14:paraId="5C079DBA" w14:textId="77777777" w:rsidR="00DC35B7" w:rsidRPr="00DC35B7" w:rsidRDefault="00DC35B7" w:rsidP="00DC35B7">
      <w:pPr>
        <w:pStyle w:val="Textoindependiente"/>
        <w:rPr>
          <w:rFonts w:ascii="Times New Roman" w:eastAsia="Arial Unicode MS" w:hAnsi="Times New Roman" w:cs="Times New Roman"/>
          <w:b w:val="0"/>
          <w:szCs w:val="20"/>
        </w:rPr>
      </w:pPr>
    </w:p>
    <w:p w14:paraId="2B3ACFF9" w14:textId="77777777" w:rsidR="00DC35B7" w:rsidRPr="00DC35B7" w:rsidRDefault="00DC35B7" w:rsidP="00DC35B7">
      <w:pPr>
        <w:pStyle w:val="Textoindependiente"/>
        <w:rPr>
          <w:rFonts w:ascii="Times New Roman" w:hAnsi="Times New Roman" w:cs="Times New Roman"/>
          <w:szCs w:val="20"/>
          <w:lang w:val="es-MX"/>
        </w:rPr>
      </w:pPr>
      <w:r w:rsidRPr="00DC35B7">
        <w:rPr>
          <w:rFonts w:ascii="Times New Roman" w:eastAsia="Arial Unicode MS" w:hAnsi="Times New Roman" w:cs="Times New Roman"/>
          <w:b w:val="0"/>
          <w:szCs w:val="20"/>
        </w:rPr>
        <w:t>ÚLTIMA HOJA DE FIRMAS QUE CORRESPONDE A LA INICIATIVA CON PROYECTO DE DECRETO QUE EXPIDE LA LEY DE INGRESOS DEL ESTADO DE TLAXCALA PARA EL EJERCICIO FISCAL 2023.</w:t>
      </w:r>
    </w:p>
    <w:p w14:paraId="601366D1" w14:textId="77777777" w:rsidR="009A7A75" w:rsidRPr="00D86289" w:rsidRDefault="009A7A75" w:rsidP="00DC35B7">
      <w:pPr>
        <w:spacing w:line="360" w:lineRule="auto"/>
        <w:jc w:val="both"/>
        <w:rPr>
          <w:b/>
          <w:sz w:val="20"/>
          <w:szCs w:val="20"/>
        </w:rPr>
      </w:pPr>
    </w:p>
    <w:sectPr w:rsidR="009A7A75" w:rsidRPr="00D86289" w:rsidSect="00C46605">
      <w:pgSz w:w="12240" w:h="15840"/>
      <w:pgMar w:top="3119" w:right="1021" w:bottom="1701" w:left="3119"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2165EA" w14:textId="77777777" w:rsidR="0094297F" w:rsidRDefault="0094297F">
      <w:r>
        <w:separator/>
      </w:r>
    </w:p>
  </w:endnote>
  <w:endnote w:type="continuationSeparator" w:id="0">
    <w:p w14:paraId="4D1F8BD8" w14:textId="77777777" w:rsidR="0094297F" w:rsidRDefault="009429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LT">
    <w:altName w:val="Univers L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868D9" w14:textId="77777777" w:rsidR="002C73EF" w:rsidRDefault="002C73EF">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525B0CE5" w14:textId="77777777" w:rsidR="002C73EF" w:rsidRDefault="002C73EF">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89B88" w14:textId="1C5F0BAD" w:rsidR="002C73EF" w:rsidRDefault="002C73EF">
    <w:pPr>
      <w:pStyle w:val="Piedepgina"/>
      <w:framePr w:wrap="around" w:vAnchor="text" w:hAnchor="margin" w:xAlign="right" w:y="1"/>
      <w:rPr>
        <w:rStyle w:val="Nmerodepgina"/>
        <w:rFonts w:ascii="Arial" w:hAnsi="Arial" w:cs="Arial"/>
      </w:rPr>
    </w:pPr>
    <w:r>
      <w:rPr>
        <w:rStyle w:val="Nmerodepgina"/>
        <w:rFonts w:ascii="Arial" w:hAnsi="Arial" w:cs="Arial"/>
      </w:rPr>
      <w:fldChar w:fldCharType="begin"/>
    </w:r>
    <w:r>
      <w:rPr>
        <w:rStyle w:val="Nmerodepgina"/>
        <w:rFonts w:ascii="Arial" w:hAnsi="Arial" w:cs="Arial"/>
      </w:rPr>
      <w:instrText xml:space="preserve">PAGE  </w:instrText>
    </w:r>
    <w:r>
      <w:rPr>
        <w:rStyle w:val="Nmerodepgina"/>
        <w:rFonts w:ascii="Arial" w:hAnsi="Arial" w:cs="Arial"/>
      </w:rPr>
      <w:fldChar w:fldCharType="separate"/>
    </w:r>
    <w:r w:rsidR="00142023">
      <w:rPr>
        <w:rStyle w:val="Nmerodepgina"/>
        <w:rFonts w:ascii="Arial" w:hAnsi="Arial" w:cs="Arial"/>
        <w:noProof/>
      </w:rPr>
      <w:t>XLVI</w:t>
    </w:r>
    <w:r>
      <w:rPr>
        <w:rStyle w:val="Nmerodepgina"/>
        <w:rFonts w:ascii="Arial" w:hAnsi="Arial" w:cs="Arial"/>
      </w:rPr>
      <w:fldChar w:fldCharType="end"/>
    </w:r>
  </w:p>
  <w:p w14:paraId="29639736" w14:textId="77777777" w:rsidR="002C73EF" w:rsidRDefault="002C73EF">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7EF0C0" w14:textId="77777777" w:rsidR="0094297F" w:rsidRDefault="0094297F">
      <w:r>
        <w:separator/>
      </w:r>
    </w:p>
  </w:footnote>
  <w:footnote w:type="continuationSeparator" w:id="0">
    <w:p w14:paraId="248675C5" w14:textId="77777777" w:rsidR="0094297F" w:rsidRDefault="0094297F">
      <w:r>
        <w:continuationSeparator/>
      </w:r>
    </w:p>
  </w:footnote>
  <w:footnote w:id="1">
    <w:p w14:paraId="099F5A10" w14:textId="77777777" w:rsidR="002C73EF" w:rsidRDefault="002C73EF" w:rsidP="004A5FFD">
      <w:pPr>
        <w:pStyle w:val="Textonotapie"/>
        <w:rPr>
          <w:sz w:val="16"/>
        </w:rPr>
      </w:pPr>
      <w:r>
        <w:rPr>
          <w:rStyle w:val="Refdenotaalpie"/>
          <w:b/>
          <w:sz w:val="16"/>
        </w:rPr>
        <w:footnoteRef/>
      </w:r>
      <w:r>
        <w:rPr>
          <w:sz w:val="16"/>
        </w:rPr>
        <w:t xml:space="preserve"> Valuaciones Actuariales del Norte, S.C. Consultoría Actuarial.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B"/>
    <w:multiLevelType w:val="multilevel"/>
    <w:tmpl w:val="F24A82B0"/>
    <w:lvl w:ilvl="0">
      <w:numFmt w:val="decimal"/>
      <w:pStyle w:val="Ttulo9"/>
      <w:lvlText w:val="%1"/>
      <w:legacy w:legacy="1" w:legacySpace="0" w:legacyIndent="0"/>
      <w:lvlJc w:val="left"/>
    </w:lvl>
    <w:lvl w:ilvl="1">
      <w:numFmt w:val="none"/>
      <w:lvlText w:val=""/>
      <w:lvlJc w:val="left"/>
    </w:lvl>
    <w:lvl w:ilvl="2">
      <w:numFmt w:val="none"/>
      <w:lvlText w:val=""/>
      <w:lvlJc w:val="left"/>
    </w:lvl>
    <w:lvl w:ilvl="3">
      <w:numFmt w:val="none"/>
      <w:lvlText w:val=""/>
      <w:lvlJc w:val="left"/>
    </w:lvl>
    <w:lvl w:ilvl="4">
      <w:numFmt w:val="none"/>
      <w:lvlText w:val=""/>
      <w:lvlJc w:val="left"/>
    </w:lvl>
    <w:lvl w:ilvl="5">
      <w:numFmt w:val="none"/>
      <w:lvlText w:val=""/>
      <w:lvlJc w:val="left"/>
    </w:lvl>
    <w:lvl w:ilvl="6">
      <w:numFmt w:val="none"/>
      <w:lvlText w:val=""/>
      <w:lvlJc w:val="left"/>
    </w:lvl>
    <w:lvl w:ilvl="7">
      <w:numFmt w:val="none"/>
      <w:lvlText w:val=""/>
      <w:lvlJc w:val="left"/>
    </w:lvl>
    <w:lvl w:ilvl="8">
      <w:numFmt w:val="none"/>
      <w:lvlText w:val=""/>
      <w:lvlJc w:val="left"/>
    </w:lvl>
  </w:abstractNum>
  <w:abstractNum w:abstractNumId="1">
    <w:nsid w:val="0928647C"/>
    <w:multiLevelType w:val="hybridMultilevel"/>
    <w:tmpl w:val="80803E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A6573F9"/>
    <w:multiLevelType w:val="hybridMultilevel"/>
    <w:tmpl w:val="C99CEDBE"/>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3">
    <w:nsid w:val="0C875424"/>
    <w:multiLevelType w:val="hybridMultilevel"/>
    <w:tmpl w:val="4AD673D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DC6051E"/>
    <w:multiLevelType w:val="hybridMultilevel"/>
    <w:tmpl w:val="28D495C0"/>
    <w:lvl w:ilvl="0" w:tplc="07303E1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EB85524"/>
    <w:multiLevelType w:val="hybridMultilevel"/>
    <w:tmpl w:val="1F84970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0EDC3B1B"/>
    <w:multiLevelType w:val="hybridMultilevel"/>
    <w:tmpl w:val="731EEA30"/>
    <w:lvl w:ilvl="0" w:tplc="7A94FC92">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2B900CD"/>
    <w:multiLevelType w:val="hybridMultilevel"/>
    <w:tmpl w:val="87C2B4A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45943C5"/>
    <w:multiLevelType w:val="hybridMultilevel"/>
    <w:tmpl w:val="E09422B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6E33B9F"/>
    <w:multiLevelType w:val="hybridMultilevel"/>
    <w:tmpl w:val="FC2CD3A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8123309"/>
    <w:multiLevelType w:val="hybridMultilevel"/>
    <w:tmpl w:val="E6F273D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8176788"/>
    <w:multiLevelType w:val="hybridMultilevel"/>
    <w:tmpl w:val="E6F273DE"/>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18C5731A"/>
    <w:multiLevelType w:val="hybridMultilevel"/>
    <w:tmpl w:val="D90E6CF2"/>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13">
    <w:nsid w:val="18DD0202"/>
    <w:multiLevelType w:val="hybridMultilevel"/>
    <w:tmpl w:val="76F62D92"/>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1A4326E1"/>
    <w:multiLevelType w:val="hybridMultilevel"/>
    <w:tmpl w:val="80DC03C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A4C19B5"/>
    <w:multiLevelType w:val="hybridMultilevel"/>
    <w:tmpl w:val="81AE70B2"/>
    <w:lvl w:ilvl="0" w:tplc="A0487B8E">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C603E1"/>
    <w:multiLevelType w:val="hybridMultilevel"/>
    <w:tmpl w:val="4F1A127C"/>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17">
    <w:nsid w:val="1FE96AC8"/>
    <w:multiLevelType w:val="hybridMultilevel"/>
    <w:tmpl w:val="A73075C2"/>
    <w:lvl w:ilvl="0" w:tplc="080A0017">
      <w:start w:val="1"/>
      <w:numFmt w:val="lowerLetter"/>
      <w:lvlText w:val="%1)"/>
      <w:lvlJc w:val="left"/>
      <w:pPr>
        <w:ind w:left="502" w:hanging="360"/>
      </w:p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8">
    <w:nsid w:val="221A6C8B"/>
    <w:multiLevelType w:val="hybridMultilevel"/>
    <w:tmpl w:val="258015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52668AC"/>
    <w:multiLevelType w:val="hybridMultilevel"/>
    <w:tmpl w:val="99CE145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26A659FB"/>
    <w:multiLevelType w:val="hybridMultilevel"/>
    <w:tmpl w:val="3FB8DC80"/>
    <w:lvl w:ilvl="0" w:tplc="DC8ECBC6">
      <w:start w:val="1"/>
      <w:numFmt w:val="decimal"/>
      <w:lvlText w:val="%1."/>
      <w:lvlJc w:val="left"/>
      <w:pPr>
        <w:ind w:left="720" w:hanging="360"/>
      </w:pPr>
      <w:rPr>
        <w:rFonts w:hint="default"/>
        <w:b/>
        <w:sz w:val="22"/>
        <w:szCs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26CD364E"/>
    <w:multiLevelType w:val="hybridMultilevel"/>
    <w:tmpl w:val="42D8BA14"/>
    <w:lvl w:ilvl="0" w:tplc="A0A44760">
      <w:start w:val="1"/>
      <w:numFmt w:val="decimal"/>
      <w:lvlText w:val="%1."/>
      <w:lvlJc w:val="left"/>
      <w:pPr>
        <w:ind w:left="720" w:hanging="360"/>
      </w:pPr>
      <w:rPr>
        <w:rFonts w:hint="default"/>
        <w:b/>
      </w:rPr>
    </w:lvl>
    <w:lvl w:ilvl="1" w:tplc="259AD210">
      <w:start w:val="1"/>
      <w:numFmt w:val="upperRoman"/>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2BE228F4"/>
    <w:multiLevelType w:val="hybridMultilevel"/>
    <w:tmpl w:val="C154332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567788B"/>
    <w:multiLevelType w:val="hybridMultilevel"/>
    <w:tmpl w:val="B202AE24"/>
    <w:lvl w:ilvl="0" w:tplc="2DF69A96">
      <w:start w:val="1"/>
      <w:numFmt w:val="upperRoman"/>
      <w:pStyle w:val="Ttulo2"/>
      <w:lvlText w:val="%1."/>
      <w:lvlJc w:val="left"/>
      <w:pPr>
        <w:tabs>
          <w:tab w:val="num" w:pos="1080"/>
        </w:tabs>
        <w:ind w:left="1080" w:hanging="720"/>
      </w:pPr>
      <w:rPr>
        <w:rFonts w:hint="default"/>
      </w:rPr>
    </w:lvl>
    <w:lvl w:ilvl="1" w:tplc="0C0A0001">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40360729"/>
    <w:multiLevelType w:val="hybridMultilevel"/>
    <w:tmpl w:val="E09422B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41DA7D08"/>
    <w:multiLevelType w:val="hybridMultilevel"/>
    <w:tmpl w:val="129E887C"/>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47AF5125"/>
    <w:multiLevelType w:val="hybridMultilevel"/>
    <w:tmpl w:val="6FF2F04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7BD69E5"/>
    <w:multiLevelType w:val="hybridMultilevel"/>
    <w:tmpl w:val="7542CA6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484A1225"/>
    <w:multiLevelType w:val="hybridMultilevel"/>
    <w:tmpl w:val="73B212D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4DDF27A2"/>
    <w:multiLevelType w:val="hybridMultilevel"/>
    <w:tmpl w:val="4B9C10E6"/>
    <w:lvl w:ilvl="0" w:tplc="C1460AC6">
      <w:start w:val="1"/>
      <w:numFmt w:val="upperRoman"/>
      <w:lvlText w:val="%1."/>
      <w:lvlJc w:val="left"/>
      <w:pPr>
        <w:ind w:left="1080" w:hanging="72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4EDB7173"/>
    <w:multiLevelType w:val="hybridMultilevel"/>
    <w:tmpl w:val="301E667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nsid w:val="4F0D756C"/>
    <w:multiLevelType w:val="hybridMultilevel"/>
    <w:tmpl w:val="9E28E4E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545870BA"/>
    <w:multiLevelType w:val="hybridMultilevel"/>
    <w:tmpl w:val="A2FC3392"/>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33">
    <w:nsid w:val="55100364"/>
    <w:multiLevelType w:val="hybridMultilevel"/>
    <w:tmpl w:val="C4AC79B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553C1CD2"/>
    <w:multiLevelType w:val="hybridMultilevel"/>
    <w:tmpl w:val="D9FEA91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57506EC6"/>
    <w:multiLevelType w:val="hybridMultilevel"/>
    <w:tmpl w:val="DEBA37F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58A447C5"/>
    <w:multiLevelType w:val="hybridMultilevel"/>
    <w:tmpl w:val="76F62D92"/>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4A67499"/>
    <w:multiLevelType w:val="hybridMultilevel"/>
    <w:tmpl w:val="E1808DAC"/>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38">
    <w:nsid w:val="65D905A3"/>
    <w:multiLevelType w:val="hybridMultilevel"/>
    <w:tmpl w:val="D6BEDEC6"/>
    <w:lvl w:ilvl="0" w:tplc="259AD210">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nsid w:val="68AF462E"/>
    <w:multiLevelType w:val="hybridMultilevel"/>
    <w:tmpl w:val="113A40A0"/>
    <w:lvl w:ilvl="0" w:tplc="4788AC8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693443F2"/>
    <w:multiLevelType w:val="multilevel"/>
    <w:tmpl w:val="206E86AE"/>
    <w:lvl w:ilvl="0">
      <w:start w:val="1"/>
      <w:numFmt w:val="upperRoman"/>
      <w:lvlText w:val="%1."/>
      <w:lvlJc w:val="left"/>
      <w:pPr>
        <w:ind w:left="720" w:hanging="360"/>
      </w:pPr>
      <w:rPr>
        <w:rFonts w:hint="default"/>
      </w:rPr>
    </w:lvl>
    <w:lvl w:ilvl="1">
      <w:start w:val="1"/>
      <w:numFmt w:val="upperRoman"/>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nsid w:val="6A8125CB"/>
    <w:multiLevelType w:val="hybridMultilevel"/>
    <w:tmpl w:val="858A93D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6BCA6E67"/>
    <w:multiLevelType w:val="hybridMultilevel"/>
    <w:tmpl w:val="47A63062"/>
    <w:lvl w:ilvl="0" w:tplc="080A000F">
      <w:start w:val="1"/>
      <w:numFmt w:val="decimal"/>
      <w:lvlText w:val="%1."/>
      <w:lvlJc w:val="left"/>
      <w:pPr>
        <w:ind w:left="709" w:hanging="360"/>
      </w:pPr>
    </w:lvl>
    <w:lvl w:ilvl="1" w:tplc="080A0019" w:tentative="1">
      <w:start w:val="1"/>
      <w:numFmt w:val="lowerLetter"/>
      <w:lvlText w:val="%2."/>
      <w:lvlJc w:val="left"/>
      <w:pPr>
        <w:ind w:left="1429" w:hanging="360"/>
      </w:pPr>
    </w:lvl>
    <w:lvl w:ilvl="2" w:tplc="080A001B" w:tentative="1">
      <w:start w:val="1"/>
      <w:numFmt w:val="lowerRoman"/>
      <w:lvlText w:val="%3."/>
      <w:lvlJc w:val="right"/>
      <w:pPr>
        <w:ind w:left="2149" w:hanging="180"/>
      </w:pPr>
    </w:lvl>
    <w:lvl w:ilvl="3" w:tplc="080A000F" w:tentative="1">
      <w:start w:val="1"/>
      <w:numFmt w:val="decimal"/>
      <w:lvlText w:val="%4."/>
      <w:lvlJc w:val="left"/>
      <w:pPr>
        <w:ind w:left="2869" w:hanging="360"/>
      </w:pPr>
    </w:lvl>
    <w:lvl w:ilvl="4" w:tplc="080A0019" w:tentative="1">
      <w:start w:val="1"/>
      <w:numFmt w:val="lowerLetter"/>
      <w:lvlText w:val="%5."/>
      <w:lvlJc w:val="left"/>
      <w:pPr>
        <w:ind w:left="3589" w:hanging="360"/>
      </w:pPr>
    </w:lvl>
    <w:lvl w:ilvl="5" w:tplc="080A001B" w:tentative="1">
      <w:start w:val="1"/>
      <w:numFmt w:val="lowerRoman"/>
      <w:lvlText w:val="%6."/>
      <w:lvlJc w:val="right"/>
      <w:pPr>
        <w:ind w:left="4309" w:hanging="180"/>
      </w:pPr>
    </w:lvl>
    <w:lvl w:ilvl="6" w:tplc="080A000F" w:tentative="1">
      <w:start w:val="1"/>
      <w:numFmt w:val="decimal"/>
      <w:lvlText w:val="%7."/>
      <w:lvlJc w:val="left"/>
      <w:pPr>
        <w:ind w:left="5029" w:hanging="360"/>
      </w:pPr>
    </w:lvl>
    <w:lvl w:ilvl="7" w:tplc="080A0019" w:tentative="1">
      <w:start w:val="1"/>
      <w:numFmt w:val="lowerLetter"/>
      <w:lvlText w:val="%8."/>
      <w:lvlJc w:val="left"/>
      <w:pPr>
        <w:ind w:left="5749" w:hanging="360"/>
      </w:pPr>
    </w:lvl>
    <w:lvl w:ilvl="8" w:tplc="080A001B" w:tentative="1">
      <w:start w:val="1"/>
      <w:numFmt w:val="lowerRoman"/>
      <w:lvlText w:val="%9."/>
      <w:lvlJc w:val="right"/>
      <w:pPr>
        <w:ind w:left="6469" w:hanging="180"/>
      </w:pPr>
    </w:lvl>
  </w:abstractNum>
  <w:abstractNum w:abstractNumId="43">
    <w:nsid w:val="6E837248"/>
    <w:multiLevelType w:val="hybridMultilevel"/>
    <w:tmpl w:val="F7A078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16E69E9"/>
    <w:multiLevelType w:val="hybridMultilevel"/>
    <w:tmpl w:val="5CDA7654"/>
    <w:lvl w:ilvl="0" w:tplc="1F08F61E">
      <w:start w:val="1"/>
      <w:numFmt w:val="decimal"/>
      <w:lvlText w:val="%1."/>
      <w:lvlJc w:val="left"/>
      <w:pPr>
        <w:ind w:left="349" w:hanging="360"/>
      </w:pPr>
      <w:rPr>
        <w:rFonts w:hint="default"/>
      </w:rPr>
    </w:lvl>
    <w:lvl w:ilvl="1" w:tplc="080A0019" w:tentative="1">
      <w:start w:val="1"/>
      <w:numFmt w:val="lowerLetter"/>
      <w:lvlText w:val="%2."/>
      <w:lvlJc w:val="left"/>
      <w:pPr>
        <w:ind w:left="1069" w:hanging="360"/>
      </w:pPr>
    </w:lvl>
    <w:lvl w:ilvl="2" w:tplc="080A001B" w:tentative="1">
      <w:start w:val="1"/>
      <w:numFmt w:val="lowerRoman"/>
      <w:lvlText w:val="%3."/>
      <w:lvlJc w:val="right"/>
      <w:pPr>
        <w:ind w:left="1789" w:hanging="180"/>
      </w:pPr>
    </w:lvl>
    <w:lvl w:ilvl="3" w:tplc="080A000F" w:tentative="1">
      <w:start w:val="1"/>
      <w:numFmt w:val="decimal"/>
      <w:lvlText w:val="%4."/>
      <w:lvlJc w:val="left"/>
      <w:pPr>
        <w:ind w:left="2509" w:hanging="360"/>
      </w:pPr>
    </w:lvl>
    <w:lvl w:ilvl="4" w:tplc="080A0019" w:tentative="1">
      <w:start w:val="1"/>
      <w:numFmt w:val="lowerLetter"/>
      <w:lvlText w:val="%5."/>
      <w:lvlJc w:val="left"/>
      <w:pPr>
        <w:ind w:left="3229" w:hanging="360"/>
      </w:pPr>
    </w:lvl>
    <w:lvl w:ilvl="5" w:tplc="080A001B" w:tentative="1">
      <w:start w:val="1"/>
      <w:numFmt w:val="lowerRoman"/>
      <w:lvlText w:val="%6."/>
      <w:lvlJc w:val="right"/>
      <w:pPr>
        <w:ind w:left="3949" w:hanging="180"/>
      </w:pPr>
    </w:lvl>
    <w:lvl w:ilvl="6" w:tplc="080A000F" w:tentative="1">
      <w:start w:val="1"/>
      <w:numFmt w:val="decimal"/>
      <w:lvlText w:val="%7."/>
      <w:lvlJc w:val="left"/>
      <w:pPr>
        <w:ind w:left="4669" w:hanging="360"/>
      </w:pPr>
    </w:lvl>
    <w:lvl w:ilvl="7" w:tplc="080A0019" w:tentative="1">
      <w:start w:val="1"/>
      <w:numFmt w:val="lowerLetter"/>
      <w:lvlText w:val="%8."/>
      <w:lvlJc w:val="left"/>
      <w:pPr>
        <w:ind w:left="5389" w:hanging="360"/>
      </w:pPr>
    </w:lvl>
    <w:lvl w:ilvl="8" w:tplc="080A001B" w:tentative="1">
      <w:start w:val="1"/>
      <w:numFmt w:val="lowerRoman"/>
      <w:lvlText w:val="%9."/>
      <w:lvlJc w:val="right"/>
      <w:pPr>
        <w:ind w:left="6109" w:hanging="180"/>
      </w:pPr>
    </w:lvl>
  </w:abstractNum>
  <w:abstractNum w:abstractNumId="45">
    <w:nsid w:val="739C71E2"/>
    <w:multiLevelType w:val="hybridMultilevel"/>
    <w:tmpl w:val="7804B42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63E69E9"/>
    <w:multiLevelType w:val="hybridMultilevel"/>
    <w:tmpl w:val="9E28E4E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nsid w:val="783973D7"/>
    <w:multiLevelType w:val="hybridMultilevel"/>
    <w:tmpl w:val="9648CB48"/>
    <w:lvl w:ilvl="0" w:tplc="2A986E26">
      <w:start w:val="1"/>
      <w:numFmt w:val="upperRoman"/>
      <w:lvlText w:val="%1."/>
      <w:lvlJc w:val="left"/>
      <w:pPr>
        <w:ind w:left="838" w:hanging="579"/>
      </w:pPr>
      <w:rPr>
        <w:rFonts w:ascii="Times New Roman" w:eastAsia="Times New Roman" w:hAnsi="Times New Roman" w:cs="Times New Roman" w:hint="default"/>
        <w:b/>
        <w:bCs/>
        <w:spacing w:val="-1"/>
        <w:w w:val="99"/>
        <w:sz w:val="22"/>
        <w:szCs w:val="22"/>
        <w:lang w:val="es-ES" w:eastAsia="en-US" w:bidi="ar-SA"/>
      </w:rPr>
    </w:lvl>
    <w:lvl w:ilvl="1" w:tplc="1646D644">
      <w:start w:val="1"/>
      <w:numFmt w:val="decimal"/>
      <w:lvlText w:val="%2."/>
      <w:lvlJc w:val="left"/>
      <w:pPr>
        <w:ind w:left="838" w:hanging="579"/>
      </w:pPr>
      <w:rPr>
        <w:rFonts w:ascii="Times New Roman" w:eastAsia="Times New Roman" w:hAnsi="Times New Roman" w:cs="Times New Roman" w:hint="default"/>
        <w:b/>
        <w:bCs/>
        <w:w w:val="99"/>
        <w:sz w:val="22"/>
        <w:szCs w:val="22"/>
        <w:lang w:val="es-ES" w:eastAsia="en-US" w:bidi="ar-SA"/>
      </w:rPr>
    </w:lvl>
    <w:lvl w:ilvl="2" w:tplc="79981E78">
      <w:numFmt w:val="bullet"/>
      <w:lvlText w:val="•"/>
      <w:lvlJc w:val="left"/>
      <w:pPr>
        <w:ind w:left="2664" w:hanging="579"/>
      </w:pPr>
      <w:rPr>
        <w:lang w:val="es-ES" w:eastAsia="en-US" w:bidi="ar-SA"/>
      </w:rPr>
    </w:lvl>
    <w:lvl w:ilvl="3" w:tplc="3F7037A6">
      <w:numFmt w:val="bullet"/>
      <w:lvlText w:val="•"/>
      <w:lvlJc w:val="left"/>
      <w:pPr>
        <w:ind w:left="3576" w:hanging="579"/>
      </w:pPr>
      <w:rPr>
        <w:lang w:val="es-ES" w:eastAsia="en-US" w:bidi="ar-SA"/>
      </w:rPr>
    </w:lvl>
    <w:lvl w:ilvl="4" w:tplc="6B062DC8">
      <w:numFmt w:val="bullet"/>
      <w:lvlText w:val="•"/>
      <w:lvlJc w:val="left"/>
      <w:pPr>
        <w:ind w:left="4488" w:hanging="579"/>
      </w:pPr>
      <w:rPr>
        <w:lang w:val="es-ES" w:eastAsia="en-US" w:bidi="ar-SA"/>
      </w:rPr>
    </w:lvl>
    <w:lvl w:ilvl="5" w:tplc="D15C690E">
      <w:numFmt w:val="bullet"/>
      <w:lvlText w:val="•"/>
      <w:lvlJc w:val="left"/>
      <w:pPr>
        <w:ind w:left="5400" w:hanging="579"/>
      </w:pPr>
      <w:rPr>
        <w:lang w:val="es-ES" w:eastAsia="en-US" w:bidi="ar-SA"/>
      </w:rPr>
    </w:lvl>
    <w:lvl w:ilvl="6" w:tplc="DA90580C">
      <w:numFmt w:val="bullet"/>
      <w:lvlText w:val="•"/>
      <w:lvlJc w:val="left"/>
      <w:pPr>
        <w:ind w:left="6312" w:hanging="579"/>
      </w:pPr>
      <w:rPr>
        <w:lang w:val="es-ES" w:eastAsia="en-US" w:bidi="ar-SA"/>
      </w:rPr>
    </w:lvl>
    <w:lvl w:ilvl="7" w:tplc="45F0753A">
      <w:numFmt w:val="bullet"/>
      <w:lvlText w:val="•"/>
      <w:lvlJc w:val="left"/>
      <w:pPr>
        <w:ind w:left="7224" w:hanging="579"/>
      </w:pPr>
      <w:rPr>
        <w:lang w:val="es-ES" w:eastAsia="en-US" w:bidi="ar-SA"/>
      </w:rPr>
    </w:lvl>
    <w:lvl w:ilvl="8" w:tplc="B7AA6470">
      <w:numFmt w:val="bullet"/>
      <w:lvlText w:val="•"/>
      <w:lvlJc w:val="left"/>
      <w:pPr>
        <w:ind w:left="8136" w:hanging="579"/>
      </w:pPr>
      <w:rPr>
        <w:lang w:val="es-ES" w:eastAsia="en-US" w:bidi="ar-SA"/>
      </w:rPr>
    </w:lvl>
  </w:abstractNum>
  <w:abstractNum w:abstractNumId="48">
    <w:nsid w:val="7D4F2314"/>
    <w:multiLevelType w:val="hybridMultilevel"/>
    <w:tmpl w:val="5C86F7FC"/>
    <w:lvl w:ilvl="0" w:tplc="080A0013">
      <w:start w:val="1"/>
      <w:numFmt w:val="upperRoman"/>
      <w:lvlText w:val="%1."/>
      <w:lvlJc w:val="right"/>
      <w:pPr>
        <w:ind w:left="720" w:hanging="360"/>
      </w:pPr>
    </w:lvl>
    <w:lvl w:ilvl="1" w:tplc="3656EA3E">
      <w:start w:val="1"/>
      <w:numFmt w:val="decimal"/>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3"/>
  </w:num>
  <w:num w:numId="2">
    <w:abstractNumId w:val="0"/>
  </w:num>
  <w:num w:numId="3">
    <w:abstractNumId w:val="20"/>
  </w:num>
  <w:num w:numId="4">
    <w:abstractNumId w:val="21"/>
  </w:num>
  <w:num w:numId="5">
    <w:abstractNumId w:val="35"/>
  </w:num>
  <w:num w:numId="6">
    <w:abstractNumId w:val="7"/>
  </w:num>
  <w:num w:numId="7">
    <w:abstractNumId w:val="39"/>
  </w:num>
  <w:num w:numId="8">
    <w:abstractNumId w:val="4"/>
  </w:num>
  <w:num w:numId="9">
    <w:abstractNumId w:val="44"/>
  </w:num>
  <w:num w:numId="10">
    <w:abstractNumId w:val="33"/>
  </w:num>
  <w:num w:numId="11">
    <w:abstractNumId w:val="29"/>
  </w:num>
  <w:num w:numId="12">
    <w:abstractNumId w:val="37"/>
  </w:num>
  <w:num w:numId="13">
    <w:abstractNumId w:val="19"/>
  </w:num>
  <w:num w:numId="14">
    <w:abstractNumId w:val="46"/>
  </w:num>
  <w:num w:numId="15">
    <w:abstractNumId w:val="11"/>
  </w:num>
  <w:num w:numId="16">
    <w:abstractNumId w:val="25"/>
  </w:num>
  <w:num w:numId="17">
    <w:abstractNumId w:val="41"/>
  </w:num>
  <w:num w:numId="18">
    <w:abstractNumId w:val="43"/>
  </w:num>
  <w:num w:numId="19">
    <w:abstractNumId w:val="18"/>
  </w:num>
  <w:num w:numId="20">
    <w:abstractNumId w:val="48"/>
  </w:num>
  <w:num w:numId="21">
    <w:abstractNumId w:val="13"/>
  </w:num>
  <w:num w:numId="22">
    <w:abstractNumId w:val="6"/>
  </w:num>
  <w:num w:numId="23">
    <w:abstractNumId w:val="36"/>
  </w:num>
  <w:num w:numId="24">
    <w:abstractNumId w:val="45"/>
  </w:num>
  <w:num w:numId="25">
    <w:abstractNumId w:val="12"/>
  </w:num>
  <w:num w:numId="26">
    <w:abstractNumId w:val="40"/>
  </w:num>
  <w:num w:numId="27">
    <w:abstractNumId w:val="31"/>
  </w:num>
  <w:num w:numId="28">
    <w:abstractNumId w:val="10"/>
  </w:num>
  <w:num w:numId="29">
    <w:abstractNumId w:val="5"/>
  </w:num>
  <w:num w:numId="30">
    <w:abstractNumId w:val="22"/>
  </w:num>
  <w:num w:numId="31">
    <w:abstractNumId w:val="30"/>
  </w:num>
  <w:num w:numId="32">
    <w:abstractNumId w:val="26"/>
  </w:num>
  <w:num w:numId="33">
    <w:abstractNumId w:val="27"/>
  </w:num>
  <w:num w:numId="34">
    <w:abstractNumId w:val="38"/>
  </w:num>
  <w:num w:numId="35">
    <w:abstractNumId w:val="32"/>
  </w:num>
  <w:num w:numId="36">
    <w:abstractNumId w:val="42"/>
  </w:num>
  <w:num w:numId="37">
    <w:abstractNumId w:val="14"/>
  </w:num>
  <w:num w:numId="38">
    <w:abstractNumId w:val="3"/>
  </w:num>
  <w:num w:numId="39">
    <w:abstractNumId w:val="34"/>
  </w:num>
  <w:num w:numId="40">
    <w:abstractNumId w:val="9"/>
  </w:num>
  <w:num w:numId="41">
    <w:abstractNumId w:val="24"/>
  </w:num>
  <w:num w:numId="42">
    <w:abstractNumId w:val="17"/>
  </w:num>
  <w:num w:numId="43">
    <w:abstractNumId w:val="28"/>
  </w:num>
  <w:num w:numId="44">
    <w:abstractNumId w:val="2"/>
  </w:num>
  <w:num w:numId="45">
    <w:abstractNumId w:val="16"/>
  </w:num>
  <w:num w:numId="46">
    <w:abstractNumId w:val="15"/>
  </w:num>
  <w:num w:numId="47">
    <w:abstractNumId w:val="47"/>
    <w:lvlOverride w:ilvl="0">
      <w:startOverride w:val="1"/>
    </w:lvlOverride>
    <w:lvlOverride w:ilvl="1">
      <w:startOverride w:val="1"/>
    </w:lvlOverride>
    <w:lvlOverride w:ilvl="2"/>
    <w:lvlOverride w:ilvl="3"/>
    <w:lvlOverride w:ilvl="4"/>
    <w:lvlOverride w:ilvl="5"/>
    <w:lvlOverride w:ilvl="6"/>
    <w:lvlOverride w:ilvl="7"/>
    <w:lvlOverride w:ilvl="8"/>
  </w:num>
  <w:num w:numId="48">
    <w:abstractNumId w:val="1"/>
  </w:num>
  <w:num w:numId="49">
    <w:abstractNumId w:val="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00EF"/>
    <w:rsid w:val="0000030A"/>
    <w:rsid w:val="00000FA7"/>
    <w:rsid w:val="000010C5"/>
    <w:rsid w:val="000016D4"/>
    <w:rsid w:val="00001E51"/>
    <w:rsid w:val="00002483"/>
    <w:rsid w:val="00003668"/>
    <w:rsid w:val="00003E69"/>
    <w:rsid w:val="00004177"/>
    <w:rsid w:val="00004492"/>
    <w:rsid w:val="00005E9A"/>
    <w:rsid w:val="00005EEF"/>
    <w:rsid w:val="000063F6"/>
    <w:rsid w:val="0000685C"/>
    <w:rsid w:val="00006F88"/>
    <w:rsid w:val="000072AB"/>
    <w:rsid w:val="000074C4"/>
    <w:rsid w:val="000077C3"/>
    <w:rsid w:val="000079B5"/>
    <w:rsid w:val="000101E2"/>
    <w:rsid w:val="0001044C"/>
    <w:rsid w:val="000107BD"/>
    <w:rsid w:val="00010C6E"/>
    <w:rsid w:val="00010E5A"/>
    <w:rsid w:val="000112AE"/>
    <w:rsid w:val="00011FEF"/>
    <w:rsid w:val="0001293C"/>
    <w:rsid w:val="000129D5"/>
    <w:rsid w:val="00013AD9"/>
    <w:rsid w:val="00014202"/>
    <w:rsid w:val="000144A5"/>
    <w:rsid w:val="000146F1"/>
    <w:rsid w:val="00014E2C"/>
    <w:rsid w:val="00015522"/>
    <w:rsid w:val="000159C8"/>
    <w:rsid w:val="00015C0F"/>
    <w:rsid w:val="000164F7"/>
    <w:rsid w:val="00016B9D"/>
    <w:rsid w:val="00016F5C"/>
    <w:rsid w:val="00017706"/>
    <w:rsid w:val="00017DDB"/>
    <w:rsid w:val="000206DD"/>
    <w:rsid w:val="000214AF"/>
    <w:rsid w:val="00021E5F"/>
    <w:rsid w:val="0002266C"/>
    <w:rsid w:val="00022F56"/>
    <w:rsid w:val="000230E7"/>
    <w:rsid w:val="00023C2D"/>
    <w:rsid w:val="00023C9E"/>
    <w:rsid w:val="00024051"/>
    <w:rsid w:val="0002434B"/>
    <w:rsid w:val="000243FF"/>
    <w:rsid w:val="000249C5"/>
    <w:rsid w:val="00025397"/>
    <w:rsid w:val="00025734"/>
    <w:rsid w:val="00025F64"/>
    <w:rsid w:val="000269AE"/>
    <w:rsid w:val="00026B01"/>
    <w:rsid w:val="00027340"/>
    <w:rsid w:val="000273CE"/>
    <w:rsid w:val="00027687"/>
    <w:rsid w:val="000278F8"/>
    <w:rsid w:val="000278FB"/>
    <w:rsid w:val="00030F41"/>
    <w:rsid w:val="00030F48"/>
    <w:rsid w:val="00031372"/>
    <w:rsid w:val="00031482"/>
    <w:rsid w:val="0003195E"/>
    <w:rsid w:val="00031EAA"/>
    <w:rsid w:val="0003269E"/>
    <w:rsid w:val="00032945"/>
    <w:rsid w:val="00032997"/>
    <w:rsid w:val="000329CA"/>
    <w:rsid w:val="00032AD8"/>
    <w:rsid w:val="000332C8"/>
    <w:rsid w:val="00033E10"/>
    <w:rsid w:val="00033F47"/>
    <w:rsid w:val="00034AAC"/>
    <w:rsid w:val="0003546D"/>
    <w:rsid w:val="00035B46"/>
    <w:rsid w:val="00036390"/>
    <w:rsid w:val="00036443"/>
    <w:rsid w:val="00036CF5"/>
    <w:rsid w:val="00036EB0"/>
    <w:rsid w:val="0003793F"/>
    <w:rsid w:val="00040A49"/>
    <w:rsid w:val="00040FEE"/>
    <w:rsid w:val="00041251"/>
    <w:rsid w:val="000419CB"/>
    <w:rsid w:val="00041C0F"/>
    <w:rsid w:val="00042618"/>
    <w:rsid w:val="00043A8D"/>
    <w:rsid w:val="000453AB"/>
    <w:rsid w:val="0004561E"/>
    <w:rsid w:val="0004563A"/>
    <w:rsid w:val="000457B8"/>
    <w:rsid w:val="00046154"/>
    <w:rsid w:val="000464B4"/>
    <w:rsid w:val="00046517"/>
    <w:rsid w:val="000465F6"/>
    <w:rsid w:val="000470DE"/>
    <w:rsid w:val="000472D9"/>
    <w:rsid w:val="0004781A"/>
    <w:rsid w:val="00050535"/>
    <w:rsid w:val="00050553"/>
    <w:rsid w:val="00051F73"/>
    <w:rsid w:val="00052956"/>
    <w:rsid w:val="0005391A"/>
    <w:rsid w:val="00054E52"/>
    <w:rsid w:val="00055622"/>
    <w:rsid w:val="00055F2E"/>
    <w:rsid w:val="00056063"/>
    <w:rsid w:val="000573D2"/>
    <w:rsid w:val="000605CD"/>
    <w:rsid w:val="000608E1"/>
    <w:rsid w:val="00061321"/>
    <w:rsid w:val="000617EA"/>
    <w:rsid w:val="000636B0"/>
    <w:rsid w:val="00064B2F"/>
    <w:rsid w:val="00065C33"/>
    <w:rsid w:val="00066384"/>
    <w:rsid w:val="00066A03"/>
    <w:rsid w:val="00066F0B"/>
    <w:rsid w:val="000673A9"/>
    <w:rsid w:val="0006789E"/>
    <w:rsid w:val="00067DA5"/>
    <w:rsid w:val="00067F11"/>
    <w:rsid w:val="00070181"/>
    <w:rsid w:val="00070774"/>
    <w:rsid w:val="000712BA"/>
    <w:rsid w:val="00071DE8"/>
    <w:rsid w:val="00072717"/>
    <w:rsid w:val="000732EF"/>
    <w:rsid w:val="00073F8A"/>
    <w:rsid w:val="000742E4"/>
    <w:rsid w:val="00074A92"/>
    <w:rsid w:val="00075E18"/>
    <w:rsid w:val="000760AB"/>
    <w:rsid w:val="00076254"/>
    <w:rsid w:val="000765A3"/>
    <w:rsid w:val="00076C29"/>
    <w:rsid w:val="00076CFA"/>
    <w:rsid w:val="00077375"/>
    <w:rsid w:val="000777E1"/>
    <w:rsid w:val="00077991"/>
    <w:rsid w:val="00080C8A"/>
    <w:rsid w:val="00081031"/>
    <w:rsid w:val="00082121"/>
    <w:rsid w:val="000821A9"/>
    <w:rsid w:val="000836C8"/>
    <w:rsid w:val="000836E3"/>
    <w:rsid w:val="00084F10"/>
    <w:rsid w:val="00085747"/>
    <w:rsid w:val="00086492"/>
    <w:rsid w:val="00087FC6"/>
    <w:rsid w:val="000902B8"/>
    <w:rsid w:val="00091905"/>
    <w:rsid w:val="00091A03"/>
    <w:rsid w:val="00091AA8"/>
    <w:rsid w:val="00092209"/>
    <w:rsid w:val="000926BC"/>
    <w:rsid w:val="000949F0"/>
    <w:rsid w:val="00095070"/>
    <w:rsid w:val="0009508B"/>
    <w:rsid w:val="000954E8"/>
    <w:rsid w:val="00095A1B"/>
    <w:rsid w:val="00095EF0"/>
    <w:rsid w:val="00096151"/>
    <w:rsid w:val="00096368"/>
    <w:rsid w:val="000964D7"/>
    <w:rsid w:val="00096732"/>
    <w:rsid w:val="00097A4E"/>
    <w:rsid w:val="000A06FA"/>
    <w:rsid w:val="000A177B"/>
    <w:rsid w:val="000A2328"/>
    <w:rsid w:val="000A27C1"/>
    <w:rsid w:val="000A2BD7"/>
    <w:rsid w:val="000A2F07"/>
    <w:rsid w:val="000A2FD9"/>
    <w:rsid w:val="000A311E"/>
    <w:rsid w:val="000A3613"/>
    <w:rsid w:val="000A3638"/>
    <w:rsid w:val="000A3E31"/>
    <w:rsid w:val="000A58D0"/>
    <w:rsid w:val="000A59C5"/>
    <w:rsid w:val="000A60F1"/>
    <w:rsid w:val="000A72EA"/>
    <w:rsid w:val="000A7D09"/>
    <w:rsid w:val="000B0026"/>
    <w:rsid w:val="000B0656"/>
    <w:rsid w:val="000B0FF2"/>
    <w:rsid w:val="000B1855"/>
    <w:rsid w:val="000B1865"/>
    <w:rsid w:val="000B200E"/>
    <w:rsid w:val="000B29BB"/>
    <w:rsid w:val="000B2A16"/>
    <w:rsid w:val="000B2C15"/>
    <w:rsid w:val="000B4BED"/>
    <w:rsid w:val="000B64B4"/>
    <w:rsid w:val="000B6BAE"/>
    <w:rsid w:val="000B6E2A"/>
    <w:rsid w:val="000B7018"/>
    <w:rsid w:val="000B70CA"/>
    <w:rsid w:val="000B7DD7"/>
    <w:rsid w:val="000C082B"/>
    <w:rsid w:val="000C0878"/>
    <w:rsid w:val="000C142B"/>
    <w:rsid w:val="000C1466"/>
    <w:rsid w:val="000C230C"/>
    <w:rsid w:val="000C2C43"/>
    <w:rsid w:val="000C345E"/>
    <w:rsid w:val="000C422C"/>
    <w:rsid w:val="000C4845"/>
    <w:rsid w:val="000C4DEF"/>
    <w:rsid w:val="000C6D37"/>
    <w:rsid w:val="000C786F"/>
    <w:rsid w:val="000C7F14"/>
    <w:rsid w:val="000D029F"/>
    <w:rsid w:val="000D02A2"/>
    <w:rsid w:val="000D03EA"/>
    <w:rsid w:val="000D227D"/>
    <w:rsid w:val="000D292C"/>
    <w:rsid w:val="000D2F46"/>
    <w:rsid w:val="000D4505"/>
    <w:rsid w:val="000D48BE"/>
    <w:rsid w:val="000D4CB0"/>
    <w:rsid w:val="000D5B2A"/>
    <w:rsid w:val="000D5B2D"/>
    <w:rsid w:val="000D5CF0"/>
    <w:rsid w:val="000D686F"/>
    <w:rsid w:val="000D6C6B"/>
    <w:rsid w:val="000D75EF"/>
    <w:rsid w:val="000E0407"/>
    <w:rsid w:val="000E0916"/>
    <w:rsid w:val="000E191D"/>
    <w:rsid w:val="000E1A2E"/>
    <w:rsid w:val="000E2407"/>
    <w:rsid w:val="000E2642"/>
    <w:rsid w:val="000E2BF7"/>
    <w:rsid w:val="000E3EDA"/>
    <w:rsid w:val="000E4167"/>
    <w:rsid w:val="000E4844"/>
    <w:rsid w:val="000E48EC"/>
    <w:rsid w:val="000E506D"/>
    <w:rsid w:val="000E5260"/>
    <w:rsid w:val="000E6155"/>
    <w:rsid w:val="000E63DC"/>
    <w:rsid w:val="000E679D"/>
    <w:rsid w:val="000E6A24"/>
    <w:rsid w:val="000E6B68"/>
    <w:rsid w:val="000E6C28"/>
    <w:rsid w:val="000E6C2E"/>
    <w:rsid w:val="000E7443"/>
    <w:rsid w:val="000E7A2C"/>
    <w:rsid w:val="000E7BDF"/>
    <w:rsid w:val="000E7FCE"/>
    <w:rsid w:val="000F040E"/>
    <w:rsid w:val="000F1047"/>
    <w:rsid w:val="000F1429"/>
    <w:rsid w:val="000F2F5E"/>
    <w:rsid w:val="000F2F9A"/>
    <w:rsid w:val="000F3D74"/>
    <w:rsid w:val="000F4267"/>
    <w:rsid w:val="000F4813"/>
    <w:rsid w:val="000F4B37"/>
    <w:rsid w:val="000F50CE"/>
    <w:rsid w:val="000F59F2"/>
    <w:rsid w:val="000F693B"/>
    <w:rsid w:val="000F6C36"/>
    <w:rsid w:val="000F732D"/>
    <w:rsid w:val="000F7522"/>
    <w:rsid w:val="000F7599"/>
    <w:rsid w:val="000F7712"/>
    <w:rsid w:val="000F7840"/>
    <w:rsid w:val="000F7DBF"/>
    <w:rsid w:val="000F7E2B"/>
    <w:rsid w:val="00100153"/>
    <w:rsid w:val="001006D7"/>
    <w:rsid w:val="00100924"/>
    <w:rsid w:val="00100D44"/>
    <w:rsid w:val="00101136"/>
    <w:rsid w:val="00101425"/>
    <w:rsid w:val="001015A3"/>
    <w:rsid w:val="00101784"/>
    <w:rsid w:val="00101A28"/>
    <w:rsid w:val="00102539"/>
    <w:rsid w:val="00102796"/>
    <w:rsid w:val="0010294B"/>
    <w:rsid w:val="001037C8"/>
    <w:rsid w:val="00103A1C"/>
    <w:rsid w:val="00103E0C"/>
    <w:rsid w:val="001042E0"/>
    <w:rsid w:val="00104B02"/>
    <w:rsid w:val="001054E2"/>
    <w:rsid w:val="00105C67"/>
    <w:rsid w:val="001060FC"/>
    <w:rsid w:val="001064D7"/>
    <w:rsid w:val="00106B6E"/>
    <w:rsid w:val="00110428"/>
    <w:rsid w:val="001104EF"/>
    <w:rsid w:val="00110DD7"/>
    <w:rsid w:val="00111E89"/>
    <w:rsid w:val="0011288E"/>
    <w:rsid w:val="00113204"/>
    <w:rsid w:val="00113919"/>
    <w:rsid w:val="00113EE8"/>
    <w:rsid w:val="00114166"/>
    <w:rsid w:val="0011434A"/>
    <w:rsid w:val="00114CC2"/>
    <w:rsid w:val="001151E7"/>
    <w:rsid w:val="001155E9"/>
    <w:rsid w:val="001160D0"/>
    <w:rsid w:val="001160D6"/>
    <w:rsid w:val="00116B40"/>
    <w:rsid w:val="00117803"/>
    <w:rsid w:val="00120520"/>
    <w:rsid w:val="00121294"/>
    <w:rsid w:val="001215BA"/>
    <w:rsid w:val="001234C5"/>
    <w:rsid w:val="00123938"/>
    <w:rsid w:val="0012436C"/>
    <w:rsid w:val="0012456F"/>
    <w:rsid w:val="0012477B"/>
    <w:rsid w:val="00125023"/>
    <w:rsid w:val="0012505D"/>
    <w:rsid w:val="0012522F"/>
    <w:rsid w:val="00125402"/>
    <w:rsid w:val="00125A26"/>
    <w:rsid w:val="00125BC6"/>
    <w:rsid w:val="0012632B"/>
    <w:rsid w:val="00126B43"/>
    <w:rsid w:val="0012753B"/>
    <w:rsid w:val="0012754E"/>
    <w:rsid w:val="00127ABD"/>
    <w:rsid w:val="00127B7C"/>
    <w:rsid w:val="001316A7"/>
    <w:rsid w:val="00132DB7"/>
    <w:rsid w:val="00133215"/>
    <w:rsid w:val="00133AD1"/>
    <w:rsid w:val="001346C5"/>
    <w:rsid w:val="0013471A"/>
    <w:rsid w:val="00134C6F"/>
    <w:rsid w:val="001368D7"/>
    <w:rsid w:val="00137E0A"/>
    <w:rsid w:val="00137EB1"/>
    <w:rsid w:val="00140548"/>
    <w:rsid w:val="001409B9"/>
    <w:rsid w:val="00140CE9"/>
    <w:rsid w:val="00140CF4"/>
    <w:rsid w:val="00141589"/>
    <w:rsid w:val="00141D80"/>
    <w:rsid w:val="00141EB9"/>
    <w:rsid w:val="00142023"/>
    <w:rsid w:val="001423E3"/>
    <w:rsid w:val="001425C5"/>
    <w:rsid w:val="001431C4"/>
    <w:rsid w:val="00143271"/>
    <w:rsid w:val="001436B1"/>
    <w:rsid w:val="001438AF"/>
    <w:rsid w:val="001442E8"/>
    <w:rsid w:val="001446DA"/>
    <w:rsid w:val="0014472E"/>
    <w:rsid w:val="001449DD"/>
    <w:rsid w:val="001450FF"/>
    <w:rsid w:val="001451D3"/>
    <w:rsid w:val="00145B3A"/>
    <w:rsid w:val="0014604C"/>
    <w:rsid w:val="001470ED"/>
    <w:rsid w:val="00147109"/>
    <w:rsid w:val="001472B0"/>
    <w:rsid w:val="001474C9"/>
    <w:rsid w:val="0014757E"/>
    <w:rsid w:val="00147DF0"/>
    <w:rsid w:val="00150312"/>
    <w:rsid w:val="001505B5"/>
    <w:rsid w:val="00150716"/>
    <w:rsid w:val="00150A96"/>
    <w:rsid w:val="00150AEA"/>
    <w:rsid w:val="00151524"/>
    <w:rsid w:val="00153766"/>
    <w:rsid w:val="00153B83"/>
    <w:rsid w:val="0015418A"/>
    <w:rsid w:val="0015443B"/>
    <w:rsid w:val="001545FE"/>
    <w:rsid w:val="00155340"/>
    <w:rsid w:val="001553CE"/>
    <w:rsid w:val="00156496"/>
    <w:rsid w:val="0015650C"/>
    <w:rsid w:val="001565AC"/>
    <w:rsid w:val="00157B6F"/>
    <w:rsid w:val="00157B86"/>
    <w:rsid w:val="00157C3C"/>
    <w:rsid w:val="00160102"/>
    <w:rsid w:val="00160920"/>
    <w:rsid w:val="00160B30"/>
    <w:rsid w:val="00160BAB"/>
    <w:rsid w:val="0016106E"/>
    <w:rsid w:val="00161E0F"/>
    <w:rsid w:val="00162070"/>
    <w:rsid w:val="00162501"/>
    <w:rsid w:val="00164DE3"/>
    <w:rsid w:val="00165390"/>
    <w:rsid w:val="001656DC"/>
    <w:rsid w:val="00165784"/>
    <w:rsid w:val="00165AC4"/>
    <w:rsid w:val="00166652"/>
    <w:rsid w:val="001669CB"/>
    <w:rsid w:val="00167639"/>
    <w:rsid w:val="0016764B"/>
    <w:rsid w:val="001706EE"/>
    <w:rsid w:val="00171807"/>
    <w:rsid w:val="00171F90"/>
    <w:rsid w:val="001721BC"/>
    <w:rsid w:val="00172593"/>
    <w:rsid w:val="00173664"/>
    <w:rsid w:val="00173694"/>
    <w:rsid w:val="001736D9"/>
    <w:rsid w:val="00174789"/>
    <w:rsid w:val="00176E02"/>
    <w:rsid w:val="0017721D"/>
    <w:rsid w:val="001774D1"/>
    <w:rsid w:val="00177532"/>
    <w:rsid w:val="00181573"/>
    <w:rsid w:val="001821CC"/>
    <w:rsid w:val="00183BD1"/>
    <w:rsid w:val="00184281"/>
    <w:rsid w:val="001843BA"/>
    <w:rsid w:val="001848FE"/>
    <w:rsid w:val="00184C2D"/>
    <w:rsid w:val="00185482"/>
    <w:rsid w:val="00185604"/>
    <w:rsid w:val="001856CF"/>
    <w:rsid w:val="00185AE2"/>
    <w:rsid w:val="00186556"/>
    <w:rsid w:val="00186F3F"/>
    <w:rsid w:val="00187141"/>
    <w:rsid w:val="0018794B"/>
    <w:rsid w:val="001910EA"/>
    <w:rsid w:val="0019123F"/>
    <w:rsid w:val="00191340"/>
    <w:rsid w:val="00191766"/>
    <w:rsid w:val="0019184C"/>
    <w:rsid w:val="001924EF"/>
    <w:rsid w:val="0019272D"/>
    <w:rsid w:val="00192790"/>
    <w:rsid w:val="00192D12"/>
    <w:rsid w:val="00193BEB"/>
    <w:rsid w:val="00194146"/>
    <w:rsid w:val="0019438B"/>
    <w:rsid w:val="001943B4"/>
    <w:rsid w:val="00194425"/>
    <w:rsid w:val="0019443B"/>
    <w:rsid w:val="001945FF"/>
    <w:rsid w:val="00195777"/>
    <w:rsid w:val="001966DD"/>
    <w:rsid w:val="0019680B"/>
    <w:rsid w:val="00196EDB"/>
    <w:rsid w:val="00197376"/>
    <w:rsid w:val="00197540"/>
    <w:rsid w:val="001A04E3"/>
    <w:rsid w:val="001A1203"/>
    <w:rsid w:val="001A1DCA"/>
    <w:rsid w:val="001A232A"/>
    <w:rsid w:val="001A27DB"/>
    <w:rsid w:val="001A3AFF"/>
    <w:rsid w:val="001A435B"/>
    <w:rsid w:val="001A4677"/>
    <w:rsid w:val="001A4FCA"/>
    <w:rsid w:val="001A53A2"/>
    <w:rsid w:val="001A5C69"/>
    <w:rsid w:val="001A5DB6"/>
    <w:rsid w:val="001A62B6"/>
    <w:rsid w:val="001A641E"/>
    <w:rsid w:val="001A6658"/>
    <w:rsid w:val="001A67F3"/>
    <w:rsid w:val="001A7D91"/>
    <w:rsid w:val="001A7E2B"/>
    <w:rsid w:val="001B00F7"/>
    <w:rsid w:val="001B122A"/>
    <w:rsid w:val="001B1429"/>
    <w:rsid w:val="001B1CA5"/>
    <w:rsid w:val="001B29D1"/>
    <w:rsid w:val="001B2AA1"/>
    <w:rsid w:val="001B2AA8"/>
    <w:rsid w:val="001B2F9E"/>
    <w:rsid w:val="001B3D7F"/>
    <w:rsid w:val="001B4384"/>
    <w:rsid w:val="001B49F9"/>
    <w:rsid w:val="001B4B22"/>
    <w:rsid w:val="001B4E57"/>
    <w:rsid w:val="001B50CC"/>
    <w:rsid w:val="001B5658"/>
    <w:rsid w:val="001B5C8A"/>
    <w:rsid w:val="001B673F"/>
    <w:rsid w:val="001B6F5D"/>
    <w:rsid w:val="001B750F"/>
    <w:rsid w:val="001B7DED"/>
    <w:rsid w:val="001B7F4A"/>
    <w:rsid w:val="001C05DD"/>
    <w:rsid w:val="001C1847"/>
    <w:rsid w:val="001C1D47"/>
    <w:rsid w:val="001C1F0C"/>
    <w:rsid w:val="001C2C17"/>
    <w:rsid w:val="001C32E0"/>
    <w:rsid w:val="001C33AF"/>
    <w:rsid w:val="001C354D"/>
    <w:rsid w:val="001C3914"/>
    <w:rsid w:val="001C4307"/>
    <w:rsid w:val="001C438A"/>
    <w:rsid w:val="001C4566"/>
    <w:rsid w:val="001C56E5"/>
    <w:rsid w:val="001C5727"/>
    <w:rsid w:val="001C5924"/>
    <w:rsid w:val="001C5C18"/>
    <w:rsid w:val="001C5FBA"/>
    <w:rsid w:val="001C66F8"/>
    <w:rsid w:val="001C6DD1"/>
    <w:rsid w:val="001C72CC"/>
    <w:rsid w:val="001C7425"/>
    <w:rsid w:val="001D080D"/>
    <w:rsid w:val="001D0B07"/>
    <w:rsid w:val="001D0CA5"/>
    <w:rsid w:val="001D0D1B"/>
    <w:rsid w:val="001D0DC5"/>
    <w:rsid w:val="001D0DEF"/>
    <w:rsid w:val="001D11A0"/>
    <w:rsid w:val="001D143A"/>
    <w:rsid w:val="001D1953"/>
    <w:rsid w:val="001D2CE4"/>
    <w:rsid w:val="001D36FC"/>
    <w:rsid w:val="001D4C99"/>
    <w:rsid w:val="001D685A"/>
    <w:rsid w:val="001D7068"/>
    <w:rsid w:val="001E16F7"/>
    <w:rsid w:val="001E17CD"/>
    <w:rsid w:val="001E1C15"/>
    <w:rsid w:val="001E1CB3"/>
    <w:rsid w:val="001E2413"/>
    <w:rsid w:val="001E29FA"/>
    <w:rsid w:val="001E2A7F"/>
    <w:rsid w:val="001E32AD"/>
    <w:rsid w:val="001E34A0"/>
    <w:rsid w:val="001E3F66"/>
    <w:rsid w:val="001E4424"/>
    <w:rsid w:val="001E44B0"/>
    <w:rsid w:val="001E44E5"/>
    <w:rsid w:val="001E4992"/>
    <w:rsid w:val="001E4CD6"/>
    <w:rsid w:val="001E503A"/>
    <w:rsid w:val="001E6F9F"/>
    <w:rsid w:val="001F0EEF"/>
    <w:rsid w:val="001F1111"/>
    <w:rsid w:val="001F1E48"/>
    <w:rsid w:val="001F1E88"/>
    <w:rsid w:val="001F2509"/>
    <w:rsid w:val="001F33B7"/>
    <w:rsid w:val="001F43B9"/>
    <w:rsid w:val="001F4BD1"/>
    <w:rsid w:val="001F5976"/>
    <w:rsid w:val="001F5A5A"/>
    <w:rsid w:val="001F61B1"/>
    <w:rsid w:val="001F6FE0"/>
    <w:rsid w:val="001F7AFB"/>
    <w:rsid w:val="002014D7"/>
    <w:rsid w:val="00201903"/>
    <w:rsid w:val="00201EC9"/>
    <w:rsid w:val="00202597"/>
    <w:rsid w:val="0020280E"/>
    <w:rsid w:val="00202AAD"/>
    <w:rsid w:val="00202AAF"/>
    <w:rsid w:val="00202B2E"/>
    <w:rsid w:val="00203113"/>
    <w:rsid w:val="002038AC"/>
    <w:rsid w:val="00203CA3"/>
    <w:rsid w:val="00204070"/>
    <w:rsid w:val="00204BA2"/>
    <w:rsid w:val="00204CCC"/>
    <w:rsid w:val="00205676"/>
    <w:rsid w:val="00205787"/>
    <w:rsid w:val="002060D2"/>
    <w:rsid w:val="002065B7"/>
    <w:rsid w:val="002067FF"/>
    <w:rsid w:val="00206B1F"/>
    <w:rsid w:val="0020741B"/>
    <w:rsid w:val="00210BF6"/>
    <w:rsid w:val="00211106"/>
    <w:rsid w:val="002115AE"/>
    <w:rsid w:val="00211D4A"/>
    <w:rsid w:val="0021295A"/>
    <w:rsid w:val="00214A10"/>
    <w:rsid w:val="00214CE4"/>
    <w:rsid w:val="002166D5"/>
    <w:rsid w:val="0021671A"/>
    <w:rsid w:val="00216D4A"/>
    <w:rsid w:val="00216E69"/>
    <w:rsid w:val="002202EA"/>
    <w:rsid w:val="00220435"/>
    <w:rsid w:val="00220716"/>
    <w:rsid w:val="00220E77"/>
    <w:rsid w:val="002221B6"/>
    <w:rsid w:val="00222EA1"/>
    <w:rsid w:val="002234E7"/>
    <w:rsid w:val="0022376C"/>
    <w:rsid w:val="00223AC9"/>
    <w:rsid w:val="00223EE7"/>
    <w:rsid w:val="002240A6"/>
    <w:rsid w:val="00224146"/>
    <w:rsid w:val="00225A52"/>
    <w:rsid w:val="00225BC7"/>
    <w:rsid w:val="00225BDB"/>
    <w:rsid w:val="002261B0"/>
    <w:rsid w:val="00227080"/>
    <w:rsid w:val="002273D1"/>
    <w:rsid w:val="0022760E"/>
    <w:rsid w:val="0023091F"/>
    <w:rsid w:val="00230B99"/>
    <w:rsid w:val="00230CDA"/>
    <w:rsid w:val="002314A7"/>
    <w:rsid w:val="002314C4"/>
    <w:rsid w:val="002318B8"/>
    <w:rsid w:val="00231973"/>
    <w:rsid w:val="00231A4F"/>
    <w:rsid w:val="00231DE8"/>
    <w:rsid w:val="00231E95"/>
    <w:rsid w:val="002321E1"/>
    <w:rsid w:val="00232341"/>
    <w:rsid w:val="0023266B"/>
    <w:rsid w:val="00233057"/>
    <w:rsid w:val="002363FA"/>
    <w:rsid w:val="0023699E"/>
    <w:rsid w:val="002401B1"/>
    <w:rsid w:val="002402C8"/>
    <w:rsid w:val="0024037B"/>
    <w:rsid w:val="00240B19"/>
    <w:rsid w:val="0024145B"/>
    <w:rsid w:val="00242FE8"/>
    <w:rsid w:val="00245236"/>
    <w:rsid w:val="002452A1"/>
    <w:rsid w:val="00246255"/>
    <w:rsid w:val="00246656"/>
    <w:rsid w:val="00246BE7"/>
    <w:rsid w:val="002472EF"/>
    <w:rsid w:val="00247389"/>
    <w:rsid w:val="00247996"/>
    <w:rsid w:val="0025024A"/>
    <w:rsid w:val="0025070E"/>
    <w:rsid w:val="00251314"/>
    <w:rsid w:val="00251C73"/>
    <w:rsid w:val="00251DDB"/>
    <w:rsid w:val="00251E15"/>
    <w:rsid w:val="00252236"/>
    <w:rsid w:val="0025268B"/>
    <w:rsid w:val="00252C4F"/>
    <w:rsid w:val="002531FD"/>
    <w:rsid w:val="00253B00"/>
    <w:rsid w:val="00253DF4"/>
    <w:rsid w:val="002542AF"/>
    <w:rsid w:val="00254688"/>
    <w:rsid w:val="0025771B"/>
    <w:rsid w:val="002579A3"/>
    <w:rsid w:val="00257CE0"/>
    <w:rsid w:val="00260010"/>
    <w:rsid w:val="00260FDC"/>
    <w:rsid w:val="0026128E"/>
    <w:rsid w:val="002614AF"/>
    <w:rsid w:val="002619D8"/>
    <w:rsid w:val="00262475"/>
    <w:rsid w:val="00262898"/>
    <w:rsid w:val="002635C1"/>
    <w:rsid w:val="0026375E"/>
    <w:rsid w:val="00263D39"/>
    <w:rsid w:val="00264F91"/>
    <w:rsid w:val="00265041"/>
    <w:rsid w:val="002658AE"/>
    <w:rsid w:val="00265D2A"/>
    <w:rsid w:val="0026626B"/>
    <w:rsid w:val="00266647"/>
    <w:rsid w:val="0026666D"/>
    <w:rsid w:val="002667E7"/>
    <w:rsid w:val="00266834"/>
    <w:rsid w:val="0026749A"/>
    <w:rsid w:val="00267CD5"/>
    <w:rsid w:val="0027096B"/>
    <w:rsid w:val="00270DD8"/>
    <w:rsid w:val="00270F24"/>
    <w:rsid w:val="0027197C"/>
    <w:rsid w:val="00271A03"/>
    <w:rsid w:val="002724FD"/>
    <w:rsid w:val="00273F1F"/>
    <w:rsid w:val="0027469B"/>
    <w:rsid w:val="00274D7C"/>
    <w:rsid w:val="00275D6A"/>
    <w:rsid w:val="00276774"/>
    <w:rsid w:val="002776A4"/>
    <w:rsid w:val="00277C18"/>
    <w:rsid w:val="002807C0"/>
    <w:rsid w:val="002809BA"/>
    <w:rsid w:val="0028184E"/>
    <w:rsid w:val="0028284D"/>
    <w:rsid w:val="00282DD4"/>
    <w:rsid w:val="0028331E"/>
    <w:rsid w:val="002836DA"/>
    <w:rsid w:val="002839BB"/>
    <w:rsid w:val="00283EB6"/>
    <w:rsid w:val="002844F8"/>
    <w:rsid w:val="00284BA6"/>
    <w:rsid w:val="00284F9C"/>
    <w:rsid w:val="00285156"/>
    <w:rsid w:val="00285340"/>
    <w:rsid w:val="002856F8"/>
    <w:rsid w:val="0028641D"/>
    <w:rsid w:val="002864BD"/>
    <w:rsid w:val="00286C4E"/>
    <w:rsid w:val="002875CA"/>
    <w:rsid w:val="00287900"/>
    <w:rsid w:val="00287A04"/>
    <w:rsid w:val="002907C3"/>
    <w:rsid w:val="00290E41"/>
    <w:rsid w:val="00291C85"/>
    <w:rsid w:val="00291E88"/>
    <w:rsid w:val="00291F3E"/>
    <w:rsid w:val="00292A37"/>
    <w:rsid w:val="00292CD6"/>
    <w:rsid w:val="00292D1B"/>
    <w:rsid w:val="0029391C"/>
    <w:rsid w:val="00293FBF"/>
    <w:rsid w:val="002940F9"/>
    <w:rsid w:val="00294C20"/>
    <w:rsid w:val="00295A11"/>
    <w:rsid w:val="00295A1A"/>
    <w:rsid w:val="002964F2"/>
    <w:rsid w:val="0029654D"/>
    <w:rsid w:val="0029696F"/>
    <w:rsid w:val="00296A49"/>
    <w:rsid w:val="00296A5C"/>
    <w:rsid w:val="00297100"/>
    <w:rsid w:val="0029771B"/>
    <w:rsid w:val="002A08C5"/>
    <w:rsid w:val="002A08CE"/>
    <w:rsid w:val="002A0B0A"/>
    <w:rsid w:val="002A0CCF"/>
    <w:rsid w:val="002A0F7C"/>
    <w:rsid w:val="002A13FC"/>
    <w:rsid w:val="002A2174"/>
    <w:rsid w:val="002A2244"/>
    <w:rsid w:val="002A2A11"/>
    <w:rsid w:val="002A2D85"/>
    <w:rsid w:val="002A2DF5"/>
    <w:rsid w:val="002A329F"/>
    <w:rsid w:val="002A35C3"/>
    <w:rsid w:val="002A3AE8"/>
    <w:rsid w:val="002A400C"/>
    <w:rsid w:val="002A4E7E"/>
    <w:rsid w:val="002A529D"/>
    <w:rsid w:val="002A5386"/>
    <w:rsid w:val="002A54F8"/>
    <w:rsid w:val="002A56DE"/>
    <w:rsid w:val="002A5F26"/>
    <w:rsid w:val="002A5FEB"/>
    <w:rsid w:val="002A61E9"/>
    <w:rsid w:val="002A6380"/>
    <w:rsid w:val="002A6692"/>
    <w:rsid w:val="002A66BB"/>
    <w:rsid w:val="002A6DF0"/>
    <w:rsid w:val="002A7475"/>
    <w:rsid w:val="002B029F"/>
    <w:rsid w:val="002B0B67"/>
    <w:rsid w:val="002B1655"/>
    <w:rsid w:val="002B168F"/>
    <w:rsid w:val="002B18DD"/>
    <w:rsid w:val="002B1C55"/>
    <w:rsid w:val="002B33B3"/>
    <w:rsid w:val="002B393A"/>
    <w:rsid w:val="002B3A24"/>
    <w:rsid w:val="002B3D6A"/>
    <w:rsid w:val="002B405D"/>
    <w:rsid w:val="002B4150"/>
    <w:rsid w:val="002B4D4D"/>
    <w:rsid w:val="002B52B4"/>
    <w:rsid w:val="002B5906"/>
    <w:rsid w:val="002B65E4"/>
    <w:rsid w:val="002B6741"/>
    <w:rsid w:val="002B6B9E"/>
    <w:rsid w:val="002B78D1"/>
    <w:rsid w:val="002B7CC2"/>
    <w:rsid w:val="002C0122"/>
    <w:rsid w:val="002C0603"/>
    <w:rsid w:val="002C0F95"/>
    <w:rsid w:val="002C126F"/>
    <w:rsid w:val="002C1CBA"/>
    <w:rsid w:val="002C1F9C"/>
    <w:rsid w:val="002C2247"/>
    <w:rsid w:val="002C3DD0"/>
    <w:rsid w:val="002C4404"/>
    <w:rsid w:val="002C44A4"/>
    <w:rsid w:val="002C5418"/>
    <w:rsid w:val="002C58AF"/>
    <w:rsid w:val="002C73EF"/>
    <w:rsid w:val="002C7ABC"/>
    <w:rsid w:val="002C7B5A"/>
    <w:rsid w:val="002D0598"/>
    <w:rsid w:val="002D0CA8"/>
    <w:rsid w:val="002D1AAC"/>
    <w:rsid w:val="002D22CA"/>
    <w:rsid w:val="002D2B4A"/>
    <w:rsid w:val="002D2CB6"/>
    <w:rsid w:val="002D311B"/>
    <w:rsid w:val="002D3125"/>
    <w:rsid w:val="002D3571"/>
    <w:rsid w:val="002D387C"/>
    <w:rsid w:val="002D4203"/>
    <w:rsid w:val="002D46A1"/>
    <w:rsid w:val="002D521E"/>
    <w:rsid w:val="002D56FF"/>
    <w:rsid w:val="002D6397"/>
    <w:rsid w:val="002D748E"/>
    <w:rsid w:val="002D784C"/>
    <w:rsid w:val="002E02DC"/>
    <w:rsid w:val="002E0B74"/>
    <w:rsid w:val="002E0BB4"/>
    <w:rsid w:val="002E0EA1"/>
    <w:rsid w:val="002E134C"/>
    <w:rsid w:val="002E1566"/>
    <w:rsid w:val="002E17A7"/>
    <w:rsid w:val="002E2358"/>
    <w:rsid w:val="002E368F"/>
    <w:rsid w:val="002E385E"/>
    <w:rsid w:val="002E398E"/>
    <w:rsid w:val="002E441F"/>
    <w:rsid w:val="002E4434"/>
    <w:rsid w:val="002E49DF"/>
    <w:rsid w:val="002E50CB"/>
    <w:rsid w:val="002E51BB"/>
    <w:rsid w:val="002E5CD0"/>
    <w:rsid w:val="002E5D7E"/>
    <w:rsid w:val="002E5DBB"/>
    <w:rsid w:val="002E6023"/>
    <w:rsid w:val="002E6AFE"/>
    <w:rsid w:val="002E77A4"/>
    <w:rsid w:val="002E7E67"/>
    <w:rsid w:val="002F0231"/>
    <w:rsid w:val="002F0A6F"/>
    <w:rsid w:val="002F0F09"/>
    <w:rsid w:val="002F0FA0"/>
    <w:rsid w:val="002F107F"/>
    <w:rsid w:val="002F1DD8"/>
    <w:rsid w:val="002F2110"/>
    <w:rsid w:val="002F2A18"/>
    <w:rsid w:val="002F2D11"/>
    <w:rsid w:val="002F3456"/>
    <w:rsid w:val="002F3769"/>
    <w:rsid w:val="002F3A5D"/>
    <w:rsid w:val="002F4347"/>
    <w:rsid w:val="002F4EF8"/>
    <w:rsid w:val="002F4FDF"/>
    <w:rsid w:val="002F53FE"/>
    <w:rsid w:val="002F5666"/>
    <w:rsid w:val="002F655F"/>
    <w:rsid w:val="00300F32"/>
    <w:rsid w:val="003015E1"/>
    <w:rsid w:val="0030198C"/>
    <w:rsid w:val="00301AE4"/>
    <w:rsid w:val="00301B67"/>
    <w:rsid w:val="003028D7"/>
    <w:rsid w:val="00303915"/>
    <w:rsid w:val="00304E9F"/>
    <w:rsid w:val="00305694"/>
    <w:rsid w:val="00305A4E"/>
    <w:rsid w:val="00305EED"/>
    <w:rsid w:val="003063BB"/>
    <w:rsid w:val="00306507"/>
    <w:rsid w:val="00306528"/>
    <w:rsid w:val="003066E9"/>
    <w:rsid w:val="00306A4A"/>
    <w:rsid w:val="00306F17"/>
    <w:rsid w:val="0030742F"/>
    <w:rsid w:val="00307536"/>
    <w:rsid w:val="00307EF1"/>
    <w:rsid w:val="00310184"/>
    <w:rsid w:val="0031173E"/>
    <w:rsid w:val="003117DB"/>
    <w:rsid w:val="003120D1"/>
    <w:rsid w:val="00312B6D"/>
    <w:rsid w:val="003136DA"/>
    <w:rsid w:val="0031372F"/>
    <w:rsid w:val="00313794"/>
    <w:rsid w:val="00313D08"/>
    <w:rsid w:val="00313F11"/>
    <w:rsid w:val="0031460C"/>
    <w:rsid w:val="00314E6B"/>
    <w:rsid w:val="0031620A"/>
    <w:rsid w:val="00316459"/>
    <w:rsid w:val="003176B7"/>
    <w:rsid w:val="00317F52"/>
    <w:rsid w:val="00320697"/>
    <w:rsid w:val="003210A3"/>
    <w:rsid w:val="003210E3"/>
    <w:rsid w:val="003211AE"/>
    <w:rsid w:val="003229EB"/>
    <w:rsid w:val="00323A54"/>
    <w:rsid w:val="003243DF"/>
    <w:rsid w:val="00324A65"/>
    <w:rsid w:val="00324FA6"/>
    <w:rsid w:val="003253A4"/>
    <w:rsid w:val="0032565E"/>
    <w:rsid w:val="003259D1"/>
    <w:rsid w:val="00326895"/>
    <w:rsid w:val="003268AB"/>
    <w:rsid w:val="00326DB5"/>
    <w:rsid w:val="00327119"/>
    <w:rsid w:val="0032731A"/>
    <w:rsid w:val="00327D78"/>
    <w:rsid w:val="00327FE0"/>
    <w:rsid w:val="00330AEA"/>
    <w:rsid w:val="003318BA"/>
    <w:rsid w:val="00331A9A"/>
    <w:rsid w:val="00331CBF"/>
    <w:rsid w:val="0033201D"/>
    <w:rsid w:val="003327F9"/>
    <w:rsid w:val="0033422B"/>
    <w:rsid w:val="0033436D"/>
    <w:rsid w:val="00334525"/>
    <w:rsid w:val="00334EB7"/>
    <w:rsid w:val="00335A01"/>
    <w:rsid w:val="00335A81"/>
    <w:rsid w:val="0033603B"/>
    <w:rsid w:val="003360E8"/>
    <w:rsid w:val="00336200"/>
    <w:rsid w:val="00337351"/>
    <w:rsid w:val="00337382"/>
    <w:rsid w:val="0033758B"/>
    <w:rsid w:val="00337F86"/>
    <w:rsid w:val="0034068B"/>
    <w:rsid w:val="00340A58"/>
    <w:rsid w:val="003411C7"/>
    <w:rsid w:val="00341655"/>
    <w:rsid w:val="00341B98"/>
    <w:rsid w:val="00341C9E"/>
    <w:rsid w:val="00341D97"/>
    <w:rsid w:val="00341EDB"/>
    <w:rsid w:val="00342C51"/>
    <w:rsid w:val="00342ECD"/>
    <w:rsid w:val="00344227"/>
    <w:rsid w:val="00344447"/>
    <w:rsid w:val="00344D28"/>
    <w:rsid w:val="003456A6"/>
    <w:rsid w:val="00345C0D"/>
    <w:rsid w:val="00345FFA"/>
    <w:rsid w:val="0034611F"/>
    <w:rsid w:val="00347980"/>
    <w:rsid w:val="003500EF"/>
    <w:rsid w:val="003504AC"/>
    <w:rsid w:val="00350FEA"/>
    <w:rsid w:val="00351288"/>
    <w:rsid w:val="0035151F"/>
    <w:rsid w:val="00352A64"/>
    <w:rsid w:val="0035353B"/>
    <w:rsid w:val="0035386F"/>
    <w:rsid w:val="00353AE2"/>
    <w:rsid w:val="00353E2E"/>
    <w:rsid w:val="00353E4E"/>
    <w:rsid w:val="00354098"/>
    <w:rsid w:val="00354D9C"/>
    <w:rsid w:val="0035564B"/>
    <w:rsid w:val="0035656F"/>
    <w:rsid w:val="00356B4B"/>
    <w:rsid w:val="00356FDE"/>
    <w:rsid w:val="00357D7D"/>
    <w:rsid w:val="003619FC"/>
    <w:rsid w:val="00361D0D"/>
    <w:rsid w:val="003623EF"/>
    <w:rsid w:val="0036347D"/>
    <w:rsid w:val="003635E0"/>
    <w:rsid w:val="00363B5B"/>
    <w:rsid w:val="00364757"/>
    <w:rsid w:val="00364966"/>
    <w:rsid w:val="00364C25"/>
    <w:rsid w:val="00365183"/>
    <w:rsid w:val="00365343"/>
    <w:rsid w:val="003656EF"/>
    <w:rsid w:val="00366612"/>
    <w:rsid w:val="0036707D"/>
    <w:rsid w:val="003678E7"/>
    <w:rsid w:val="00367D5E"/>
    <w:rsid w:val="00367D7D"/>
    <w:rsid w:val="00367E6A"/>
    <w:rsid w:val="003704B3"/>
    <w:rsid w:val="00370686"/>
    <w:rsid w:val="00370707"/>
    <w:rsid w:val="0037168B"/>
    <w:rsid w:val="00373075"/>
    <w:rsid w:val="003738B1"/>
    <w:rsid w:val="0037475C"/>
    <w:rsid w:val="00374DAA"/>
    <w:rsid w:val="00374F42"/>
    <w:rsid w:val="003769AB"/>
    <w:rsid w:val="00376A0B"/>
    <w:rsid w:val="00376B10"/>
    <w:rsid w:val="00377313"/>
    <w:rsid w:val="003800F7"/>
    <w:rsid w:val="00380285"/>
    <w:rsid w:val="003808E8"/>
    <w:rsid w:val="00380D07"/>
    <w:rsid w:val="00381101"/>
    <w:rsid w:val="0038120E"/>
    <w:rsid w:val="00381AA6"/>
    <w:rsid w:val="00382A2C"/>
    <w:rsid w:val="0038328F"/>
    <w:rsid w:val="00383401"/>
    <w:rsid w:val="0038398F"/>
    <w:rsid w:val="00383EA4"/>
    <w:rsid w:val="00384061"/>
    <w:rsid w:val="00384457"/>
    <w:rsid w:val="00384A4C"/>
    <w:rsid w:val="00384CB7"/>
    <w:rsid w:val="00385149"/>
    <w:rsid w:val="00385CA0"/>
    <w:rsid w:val="003860C6"/>
    <w:rsid w:val="00386F57"/>
    <w:rsid w:val="003871E0"/>
    <w:rsid w:val="00387294"/>
    <w:rsid w:val="00387723"/>
    <w:rsid w:val="003906D6"/>
    <w:rsid w:val="003914F6"/>
    <w:rsid w:val="00391B4E"/>
    <w:rsid w:val="003921DA"/>
    <w:rsid w:val="00392CB5"/>
    <w:rsid w:val="00393314"/>
    <w:rsid w:val="003935EC"/>
    <w:rsid w:val="00393B3F"/>
    <w:rsid w:val="003940AD"/>
    <w:rsid w:val="00394BDC"/>
    <w:rsid w:val="00394ED5"/>
    <w:rsid w:val="00396424"/>
    <w:rsid w:val="00396A4E"/>
    <w:rsid w:val="00396EBF"/>
    <w:rsid w:val="003974B7"/>
    <w:rsid w:val="003976AF"/>
    <w:rsid w:val="003979B9"/>
    <w:rsid w:val="00397E0B"/>
    <w:rsid w:val="003A0738"/>
    <w:rsid w:val="003A19C3"/>
    <w:rsid w:val="003A1ABF"/>
    <w:rsid w:val="003A1DF2"/>
    <w:rsid w:val="003A297A"/>
    <w:rsid w:val="003A2E92"/>
    <w:rsid w:val="003A3702"/>
    <w:rsid w:val="003A38E5"/>
    <w:rsid w:val="003A40F9"/>
    <w:rsid w:val="003A4662"/>
    <w:rsid w:val="003A46BE"/>
    <w:rsid w:val="003A4B0A"/>
    <w:rsid w:val="003A4F1C"/>
    <w:rsid w:val="003A4FFA"/>
    <w:rsid w:val="003A5147"/>
    <w:rsid w:val="003A7437"/>
    <w:rsid w:val="003A7F08"/>
    <w:rsid w:val="003B0175"/>
    <w:rsid w:val="003B03E9"/>
    <w:rsid w:val="003B0BC0"/>
    <w:rsid w:val="003B0D2D"/>
    <w:rsid w:val="003B125A"/>
    <w:rsid w:val="003B21C0"/>
    <w:rsid w:val="003B2B20"/>
    <w:rsid w:val="003B2F1B"/>
    <w:rsid w:val="003B4BDB"/>
    <w:rsid w:val="003B5008"/>
    <w:rsid w:val="003C0A8E"/>
    <w:rsid w:val="003C1170"/>
    <w:rsid w:val="003C12EE"/>
    <w:rsid w:val="003C17D4"/>
    <w:rsid w:val="003C18FA"/>
    <w:rsid w:val="003C1D02"/>
    <w:rsid w:val="003C2498"/>
    <w:rsid w:val="003C3149"/>
    <w:rsid w:val="003C3992"/>
    <w:rsid w:val="003C3C15"/>
    <w:rsid w:val="003C3E9E"/>
    <w:rsid w:val="003C4D09"/>
    <w:rsid w:val="003C50A1"/>
    <w:rsid w:val="003C56D1"/>
    <w:rsid w:val="003C5726"/>
    <w:rsid w:val="003C6026"/>
    <w:rsid w:val="003C6ADC"/>
    <w:rsid w:val="003C7064"/>
    <w:rsid w:val="003C749E"/>
    <w:rsid w:val="003C782E"/>
    <w:rsid w:val="003C7A65"/>
    <w:rsid w:val="003C7E4F"/>
    <w:rsid w:val="003C7FE5"/>
    <w:rsid w:val="003D0094"/>
    <w:rsid w:val="003D0B04"/>
    <w:rsid w:val="003D13EE"/>
    <w:rsid w:val="003D191E"/>
    <w:rsid w:val="003D1993"/>
    <w:rsid w:val="003D2560"/>
    <w:rsid w:val="003D3372"/>
    <w:rsid w:val="003D3454"/>
    <w:rsid w:val="003D44E1"/>
    <w:rsid w:val="003D49C3"/>
    <w:rsid w:val="003D4D1C"/>
    <w:rsid w:val="003D56FD"/>
    <w:rsid w:val="003D6624"/>
    <w:rsid w:val="003D6802"/>
    <w:rsid w:val="003D73E0"/>
    <w:rsid w:val="003D7988"/>
    <w:rsid w:val="003D7B22"/>
    <w:rsid w:val="003E004B"/>
    <w:rsid w:val="003E0599"/>
    <w:rsid w:val="003E0C6C"/>
    <w:rsid w:val="003E1368"/>
    <w:rsid w:val="003E18E5"/>
    <w:rsid w:val="003E1D63"/>
    <w:rsid w:val="003E1DAD"/>
    <w:rsid w:val="003E2231"/>
    <w:rsid w:val="003E2240"/>
    <w:rsid w:val="003E2856"/>
    <w:rsid w:val="003E34A4"/>
    <w:rsid w:val="003E395F"/>
    <w:rsid w:val="003E3C67"/>
    <w:rsid w:val="003E5873"/>
    <w:rsid w:val="003E5B4F"/>
    <w:rsid w:val="003E5CF2"/>
    <w:rsid w:val="003E629C"/>
    <w:rsid w:val="003E6984"/>
    <w:rsid w:val="003E78DA"/>
    <w:rsid w:val="003E7C60"/>
    <w:rsid w:val="003F08D3"/>
    <w:rsid w:val="003F128F"/>
    <w:rsid w:val="003F1A75"/>
    <w:rsid w:val="003F310A"/>
    <w:rsid w:val="003F3175"/>
    <w:rsid w:val="003F332E"/>
    <w:rsid w:val="003F344A"/>
    <w:rsid w:val="003F3E6F"/>
    <w:rsid w:val="003F45E7"/>
    <w:rsid w:val="003F46F7"/>
    <w:rsid w:val="003F56FA"/>
    <w:rsid w:val="003F5DE2"/>
    <w:rsid w:val="003F6470"/>
    <w:rsid w:val="003F6A20"/>
    <w:rsid w:val="003F7643"/>
    <w:rsid w:val="003F7A4B"/>
    <w:rsid w:val="003F7DE8"/>
    <w:rsid w:val="003F7F32"/>
    <w:rsid w:val="004000C2"/>
    <w:rsid w:val="0040019B"/>
    <w:rsid w:val="004007E8"/>
    <w:rsid w:val="004012E9"/>
    <w:rsid w:val="004015CC"/>
    <w:rsid w:val="004021D9"/>
    <w:rsid w:val="00402784"/>
    <w:rsid w:val="00402CCE"/>
    <w:rsid w:val="00402EE9"/>
    <w:rsid w:val="004033AE"/>
    <w:rsid w:val="004036B0"/>
    <w:rsid w:val="00403C87"/>
    <w:rsid w:val="004040D4"/>
    <w:rsid w:val="0040500D"/>
    <w:rsid w:val="0040583E"/>
    <w:rsid w:val="00405922"/>
    <w:rsid w:val="00405D86"/>
    <w:rsid w:val="0040743F"/>
    <w:rsid w:val="00410420"/>
    <w:rsid w:val="004107AC"/>
    <w:rsid w:val="00410A10"/>
    <w:rsid w:val="00410BD1"/>
    <w:rsid w:val="00410D6C"/>
    <w:rsid w:val="0041161A"/>
    <w:rsid w:val="004121EE"/>
    <w:rsid w:val="0041292A"/>
    <w:rsid w:val="00413FB6"/>
    <w:rsid w:val="004146F7"/>
    <w:rsid w:val="00414A1E"/>
    <w:rsid w:val="00416BAA"/>
    <w:rsid w:val="00416C4C"/>
    <w:rsid w:val="00416F42"/>
    <w:rsid w:val="00421C4D"/>
    <w:rsid w:val="00422936"/>
    <w:rsid w:val="00424C16"/>
    <w:rsid w:val="0042579D"/>
    <w:rsid w:val="004257BD"/>
    <w:rsid w:val="00425A8C"/>
    <w:rsid w:val="00426967"/>
    <w:rsid w:val="00426F1E"/>
    <w:rsid w:val="0042708D"/>
    <w:rsid w:val="004272A7"/>
    <w:rsid w:val="00427D8C"/>
    <w:rsid w:val="00431A4E"/>
    <w:rsid w:val="00431E3E"/>
    <w:rsid w:val="0043238C"/>
    <w:rsid w:val="004326DE"/>
    <w:rsid w:val="0043300C"/>
    <w:rsid w:val="0043409F"/>
    <w:rsid w:val="004353E6"/>
    <w:rsid w:val="00435760"/>
    <w:rsid w:val="00435999"/>
    <w:rsid w:val="00436674"/>
    <w:rsid w:val="00436BB1"/>
    <w:rsid w:val="0043743C"/>
    <w:rsid w:val="0044018A"/>
    <w:rsid w:val="004401FB"/>
    <w:rsid w:val="004406B8"/>
    <w:rsid w:val="004407EE"/>
    <w:rsid w:val="004410F9"/>
    <w:rsid w:val="00441FE8"/>
    <w:rsid w:val="00442215"/>
    <w:rsid w:val="004422FD"/>
    <w:rsid w:val="00442B51"/>
    <w:rsid w:val="00443F0E"/>
    <w:rsid w:val="0044479C"/>
    <w:rsid w:val="00444CBC"/>
    <w:rsid w:val="0044529E"/>
    <w:rsid w:val="0044574C"/>
    <w:rsid w:val="004459D1"/>
    <w:rsid w:val="00447C8A"/>
    <w:rsid w:val="004502C2"/>
    <w:rsid w:val="00450453"/>
    <w:rsid w:val="00452088"/>
    <w:rsid w:val="0045324F"/>
    <w:rsid w:val="0045436D"/>
    <w:rsid w:val="004544EA"/>
    <w:rsid w:val="00454D99"/>
    <w:rsid w:val="00456272"/>
    <w:rsid w:val="004569C4"/>
    <w:rsid w:val="004569C6"/>
    <w:rsid w:val="00456C86"/>
    <w:rsid w:val="00460723"/>
    <w:rsid w:val="0046103A"/>
    <w:rsid w:val="00462330"/>
    <w:rsid w:val="0046296E"/>
    <w:rsid w:val="00462CDF"/>
    <w:rsid w:val="00462ED2"/>
    <w:rsid w:val="00463A93"/>
    <w:rsid w:val="00464650"/>
    <w:rsid w:val="00464DA0"/>
    <w:rsid w:val="0046526B"/>
    <w:rsid w:val="00465A71"/>
    <w:rsid w:val="00465C6A"/>
    <w:rsid w:val="0046782A"/>
    <w:rsid w:val="00467E70"/>
    <w:rsid w:val="00471008"/>
    <w:rsid w:val="0047117F"/>
    <w:rsid w:val="0047189B"/>
    <w:rsid w:val="0047190E"/>
    <w:rsid w:val="00471F6A"/>
    <w:rsid w:val="00472136"/>
    <w:rsid w:val="00472D1B"/>
    <w:rsid w:val="00473761"/>
    <w:rsid w:val="00474299"/>
    <w:rsid w:val="00474AA0"/>
    <w:rsid w:val="00475574"/>
    <w:rsid w:val="00475C08"/>
    <w:rsid w:val="00475C15"/>
    <w:rsid w:val="00476927"/>
    <w:rsid w:val="00476BBC"/>
    <w:rsid w:val="0048007B"/>
    <w:rsid w:val="004809F3"/>
    <w:rsid w:val="00480D9D"/>
    <w:rsid w:val="00481451"/>
    <w:rsid w:val="00481EB2"/>
    <w:rsid w:val="00482155"/>
    <w:rsid w:val="004822FE"/>
    <w:rsid w:val="00482306"/>
    <w:rsid w:val="00482E0A"/>
    <w:rsid w:val="00483FCA"/>
    <w:rsid w:val="00485E60"/>
    <w:rsid w:val="0048748B"/>
    <w:rsid w:val="00487EBF"/>
    <w:rsid w:val="0049042F"/>
    <w:rsid w:val="0049155B"/>
    <w:rsid w:val="00491618"/>
    <w:rsid w:val="004917EE"/>
    <w:rsid w:val="0049188D"/>
    <w:rsid w:val="004919A2"/>
    <w:rsid w:val="00491CE4"/>
    <w:rsid w:val="0049235E"/>
    <w:rsid w:val="0049254E"/>
    <w:rsid w:val="004927EF"/>
    <w:rsid w:val="00492E1A"/>
    <w:rsid w:val="00492E3E"/>
    <w:rsid w:val="00492F00"/>
    <w:rsid w:val="00493075"/>
    <w:rsid w:val="004930F6"/>
    <w:rsid w:val="00493162"/>
    <w:rsid w:val="004945F9"/>
    <w:rsid w:val="00494F93"/>
    <w:rsid w:val="00495181"/>
    <w:rsid w:val="00495262"/>
    <w:rsid w:val="0049540A"/>
    <w:rsid w:val="004958E5"/>
    <w:rsid w:val="00496204"/>
    <w:rsid w:val="004973C2"/>
    <w:rsid w:val="00497FC3"/>
    <w:rsid w:val="004A0345"/>
    <w:rsid w:val="004A07D8"/>
    <w:rsid w:val="004A16D9"/>
    <w:rsid w:val="004A19C4"/>
    <w:rsid w:val="004A1ED1"/>
    <w:rsid w:val="004A307C"/>
    <w:rsid w:val="004A3B16"/>
    <w:rsid w:val="004A40E2"/>
    <w:rsid w:val="004A4D84"/>
    <w:rsid w:val="004A4D9A"/>
    <w:rsid w:val="004A57AD"/>
    <w:rsid w:val="004A59BD"/>
    <w:rsid w:val="004A5FFD"/>
    <w:rsid w:val="004A6EF1"/>
    <w:rsid w:val="004A70CF"/>
    <w:rsid w:val="004A754C"/>
    <w:rsid w:val="004B0A90"/>
    <w:rsid w:val="004B0E8A"/>
    <w:rsid w:val="004B2255"/>
    <w:rsid w:val="004B29C2"/>
    <w:rsid w:val="004B2AAC"/>
    <w:rsid w:val="004B2BAE"/>
    <w:rsid w:val="004B3955"/>
    <w:rsid w:val="004B3F3E"/>
    <w:rsid w:val="004B4065"/>
    <w:rsid w:val="004B5F9F"/>
    <w:rsid w:val="004B7728"/>
    <w:rsid w:val="004B7C0A"/>
    <w:rsid w:val="004C0AB8"/>
    <w:rsid w:val="004C11B7"/>
    <w:rsid w:val="004C1CF5"/>
    <w:rsid w:val="004C21F4"/>
    <w:rsid w:val="004C2525"/>
    <w:rsid w:val="004C2A8A"/>
    <w:rsid w:val="004C2BD0"/>
    <w:rsid w:val="004C3EAC"/>
    <w:rsid w:val="004C414B"/>
    <w:rsid w:val="004C4DBC"/>
    <w:rsid w:val="004C552D"/>
    <w:rsid w:val="004C5BAA"/>
    <w:rsid w:val="004C67C0"/>
    <w:rsid w:val="004C689F"/>
    <w:rsid w:val="004C7AAB"/>
    <w:rsid w:val="004D0F22"/>
    <w:rsid w:val="004D0FD4"/>
    <w:rsid w:val="004D14FE"/>
    <w:rsid w:val="004D1EBB"/>
    <w:rsid w:val="004D22E2"/>
    <w:rsid w:val="004D2B43"/>
    <w:rsid w:val="004D2F4A"/>
    <w:rsid w:val="004D3278"/>
    <w:rsid w:val="004D3D65"/>
    <w:rsid w:val="004D467E"/>
    <w:rsid w:val="004D4C75"/>
    <w:rsid w:val="004D5BEF"/>
    <w:rsid w:val="004D5CEE"/>
    <w:rsid w:val="004D6683"/>
    <w:rsid w:val="004D67E0"/>
    <w:rsid w:val="004D68B6"/>
    <w:rsid w:val="004D7778"/>
    <w:rsid w:val="004E00DF"/>
    <w:rsid w:val="004E14A8"/>
    <w:rsid w:val="004E1C93"/>
    <w:rsid w:val="004E21F3"/>
    <w:rsid w:val="004E229C"/>
    <w:rsid w:val="004E2952"/>
    <w:rsid w:val="004E3336"/>
    <w:rsid w:val="004E3A62"/>
    <w:rsid w:val="004E44AC"/>
    <w:rsid w:val="004E47C9"/>
    <w:rsid w:val="004E5409"/>
    <w:rsid w:val="004E548A"/>
    <w:rsid w:val="004E54CC"/>
    <w:rsid w:val="004E5905"/>
    <w:rsid w:val="004E5C20"/>
    <w:rsid w:val="004E6734"/>
    <w:rsid w:val="004E7B04"/>
    <w:rsid w:val="004E7EFE"/>
    <w:rsid w:val="004F0018"/>
    <w:rsid w:val="004F006B"/>
    <w:rsid w:val="004F0FC4"/>
    <w:rsid w:val="004F1503"/>
    <w:rsid w:val="004F193D"/>
    <w:rsid w:val="004F199B"/>
    <w:rsid w:val="004F23C6"/>
    <w:rsid w:val="004F246E"/>
    <w:rsid w:val="004F2967"/>
    <w:rsid w:val="004F2AB1"/>
    <w:rsid w:val="004F30FA"/>
    <w:rsid w:val="004F39E0"/>
    <w:rsid w:val="004F3EEA"/>
    <w:rsid w:val="004F3FAA"/>
    <w:rsid w:val="004F3FEC"/>
    <w:rsid w:val="004F40AB"/>
    <w:rsid w:val="004F5A74"/>
    <w:rsid w:val="004F5E82"/>
    <w:rsid w:val="004F5FD2"/>
    <w:rsid w:val="004F658F"/>
    <w:rsid w:val="004F7BF4"/>
    <w:rsid w:val="004F7C22"/>
    <w:rsid w:val="005006ED"/>
    <w:rsid w:val="00501637"/>
    <w:rsid w:val="0050219A"/>
    <w:rsid w:val="005021E1"/>
    <w:rsid w:val="0050277A"/>
    <w:rsid w:val="005035CD"/>
    <w:rsid w:val="005036CB"/>
    <w:rsid w:val="00503AF6"/>
    <w:rsid w:val="00504A8B"/>
    <w:rsid w:val="005056D9"/>
    <w:rsid w:val="005061C8"/>
    <w:rsid w:val="00506E22"/>
    <w:rsid w:val="005079AE"/>
    <w:rsid w:val="00507E6F"/>
    <w:rsid w:val="00507F4F"/>
    <w:rsid w:val="005107BC"/>
    <w:rsid w:val="00511CC3"/>
    <w:rsid w:val="00512126"/>
    <w:rsid w:val="005123D6"/>
    <w:rsid w:val="005123F7"/>
    <w:rsid w:val="005124F0"/>
    <w:rsid w:val="00512D44"/>
    <w:rsid w:val="00512FDA"/>
    <w:rsid w:val="005136CD"/>
    <w:rsid w:val="00513B9E"/>
    <w:rsid w:val="00513EFD"/>
    <w:rsid w:val="0051401C"/>
    <w:rsid w:val="00514A30"/>
    <w:rsid w:val="00514DA4"/>
    <w:rsid w:val="00515047"/>
    <w:rsid w:val="00515A70"/>
    <w:rsid w:val="00515A89"/>
    <w:rsid w:val="00516311"/>
    <w:rsid w:val="005172D2"/>
    <w:rsid w:val="005176D5"/>
    <w:rsid w:val="005178C5"/>
    <w:rsid w:val="00517C9E"/>
    <w:rsid w:val="00517CEC"/>
    <w:rsid w:val="00521186"/>
    <w:rsid w:val="005212BE"/>
    <w:rsid w:val="00521413"/>
    <w:rsid w:val="005215F4"/>
    <w:rsid w:val="00521802"/>
    <w:rsid w:val="005220B7"/>
    <w:rsid w:val="00522264"/>
    <w:rsid w:val="005226AC"/>
    <w:rsid w:val="005228FF"/>
    <w:rsid w:val="005232F4"/>
    <w:rsid w:val="00523CFE"/>
    <w:rsid w:val="00523FC3"/>
    <w:rsid w:val="005262E5"/>
    <w:rsid w:val="00526E6F"/>
    <w:rsid w:val="00527BBA"/>
    <w:rsid w:val="005300D8"/>
    <w:rsid w:val="005309CD"/>
    <w:rsid w:val="0053103A"/>
    <w:rsid w:val="005316A4"/>
    <w:rsid w:val="00532058"/>
    <w:rsid w:val="00532076"/>
    <w:rsid w:val="005322C3"/>
    <w:rsid w:val="00532540"/>
    <w:rsid w:val="00533A3D"/>
    <w:rsid w:val="00534103"/>
    <w:rsid w:val="0053448E"/>
    <w:rsid w:val="00534853"/>
    <w:rsid w:val="005355BB"/>
    <w:rsid w:val="00536032"/>
    <w:rsid w:val="00536E69"/>
    <w:rsid w:val="005379F8"/>
    <w:rsid w:val="00537AAE"/>
    <w:rsid w:val="0054069D"/>
    <w:rsid w:val="00540F56"/>
    <w:rsid w:val="00540F85"/>
    <w:rsid w:val="005414F1"/>
    <w:rsid w:val="00541525"/>
    <w:rsid w:val="00542E6A"/>
    <w:rsid w:val="00542F6D"/>
    <w:rsid w:val="0054339D"/>
    <w:rsid w:val="005436E1"/>
    <w:rsid w:val="00543B39"/>
    <w:rsid w:val="005446B4"/>
    <w:rsid w:val="00544877"/>
    <w:rsid w:val="00544AEC"/>
    <w:rsid w:val="00545006"/>
    <w:rsid w:val="00545173"/>
    <w:rsid w:val="00545603"/>
    <w:rsid w:val="0054614E"/>
    <w:rsid w:val="0054700B"/>
    <w:rsid w:val="00547EC0"/>
    <w:rsid w:val="00550A7F"/>
    <w:rsid w:val="00553170"/>
    <w:rsid w:val="00553D4C"/>
    <w:rsid w:val="00554783"/>
    <w:rsid w:val="0055478A"/>
    <w:rsid w:val="00555490"/>
    <w:rsid w:val="00555985"/>
    <w:rsid w:val="00555F10"/>
    <w:rsid w:val="00556318"/>
    <w:rsid w:val="005569C2"/>
    <w:rsid w:val="00556C08"/>
    <w:rsid w:val="00556F67"/>
    <w:rsid w:val="00557DF7"/>
    <w:rsid w:val="005607E5"/>
    <w:rsid w:val="00561799"/>
    <w:rsid w:val="00561911"/>
    <w:rsid w:val="00561E65"/>
    <w:rsid w:val="00561E66"/>
    <w:rsid w:val="005623DD"/>
    <w:rsid w:val="00562EA0"/>
    <w:rsid w:val="005632FE"/>
    <w:rsid w:val="00563CD2"/>
    <w:rsid w:val="005640F6"/>
    <w:rsid w:val="00564562"/>
    <w:rsid w:val="00564B7A"/>
    <w:rsid w:val="00565B50"/>
    <w:rsid w:val="0056652A"/>
    <w:rsid w:val="00566AAC"/>
    <w:rsid w:val="00566B79"/>
    <w:rsid w:val="0056782C"/>
    <w:rsid w:val="00567BB9"/>
    <w:rsid w:val="00570CCB"/>
    <w:rsid w:val="00571023"/>
    <w:rsid w:val="00572208"/>
    <w:rsid w:val="00572221"/>
    <w:rsid w:val="00572345"/>
    <w:rsid w:val="00572379"/>
    <w:rsid w:val="0057341A"/>
    <w:rsid w:val="0057355B"/>
    <w:rsid w:val="00573E60"/>
    <w:rsid w:val="005741A4"/>
    <w:rsid w:val="005741AE"/>
    <w:rsid w:val="005742BA"/>
    <w:rsid w:val="0057483A"/>
    <w:rsid w:val="00574A41"/>
    <w:rsid w:val="0057594A"/>
    <w:rsid w:val="00575BC5"/>
    <w:rsid w:val="0057665E"/>
    <w:rsid w:val="0057778B"/>
    <w:rsid w:val="005779AE"/>
    <w:rsid w:val="00577A04"/>
    <w:rsid w:val="00577F1B"/>
    <w:rsid w:val="0058040C"/>
    <w:rsid w:val="00580B82"/>
    <w:rsid w:val="00580BBF"/>
    <w:rsid w:val="00580C2C"/>
    <w:rsid w:val="0058103D"/>
    <w:rsid w:val="005815B1"/>
    <w:rsid w:val="00581733"/>
    <w:rsid w:val="00581960"/>
    <w:rsid w:val="00581D15"/>
    <w:rsid w:val="00581F45"/>
    <w:rsid w:val="0058337B"/>
    <w:rsid w:val="00583C1A"/>
    <w:rsid w:val="00583E2E"/>
    <w:rsid w:val="00583F37"/>
    <w:rsid w:val="00584D0E"/>
    <w:rsid w:val="00584E19"/>
    <w:rsid w:val="00585374"/>
    <w:rsid w:val="00585928"/>
    <w:rsid w:val="00585D71"/>
    <w:rsid w:val="00586146"/>
    <w:rsid w:val="0058659D"/>
    <w:rsid w:val="005870D9"/>
    <w:rsid w:val="0058738E"/>
    <w:rsid w:val="00587997"/>
    <w:rsid w:val="00587CF5"/>
    <w:rsid w:val="00587D30"/>
    <w:rsid w:val="0059040A"/>
    <w:rsid w:val="00591FF7"/>
    <w:rsid w:val="00592596"/>
    <w:rsid w:val="0059433C"/>
    <w:rsid w:val="005946AB"/>
    <w:rsid w:val="0059490F"/>
    <w:rsid w:val="0059498B"/>
    <w:rsid w:val="00595D09"/>
    <w:rsid w:val="0059601F"/>
    <w:rsid w:val="0059624A"/>
    <w:rsid w:val="00596B42"/>
    <w:rsid w:val="00596F83"/>
    <w:rsid w:val="00597275"/>
    <w:rsid w:val="005972AC"/>
    <w:rsid w:val="005979D0"/>
    <w:rsid w:val="00597E1E"/>
    <w:rsid w:val="005A0111"/>
    <w:rsid w:val="005A0436"/>
    <w:rsid w:val="005A15DF"/>
    <w:rsid w:val="005A1728"/>
    <w:rsid w:val="005A2455"/>
    <w:rsid w:val="005A2C29"/>
    <w:rsid w:val="005A50FA"/>
    <w:rsid w:val="005A5BB0"/>
    <w:rsid w:val="005A777B"/>
    <w:rsid w:val="005B014D"/>
    <w:rsid w:val="005B06F5"/>
    <w:rsid w:val="005B080A"/>
    <w:rsid w:val="005B1DF4"/>
    <w:rsid w:val="005B1FB3"/>
    <w:rsid w:val="005B2BDA"/>
    <w:rsid w:val="005B2F13"/>
    <w:rsid w:val="005B3D44"/>
    <w:rsid w:val="005B43DC"/>
    <w:rsid w:val="005B46BB"/>
    <w:rsid w:val="005B5FD3"/>
    <w:rsid w:val="005B6137"/>
    <w:rsid w:val="005B67E6"/>
    <w:rsid w:val="005B7A7E"/>
    <w:rsid w:val="005C1791"/>
    <w:rsid w:val="005C1B2F"/>
    <w:rsid w:val="005C1C69"/>
    <w:rsid w:val="005C21D6"/>
    <w:rsid w:val="005C21D8"/>
    <w:rsid w:val="005C3154"/>
    <w:rsid w:val="005C41C0"/>
    <w:rsid w:val="005C4511"/>
    <w:rsid w:val="005C4886"/>
    <w:rsid w:val="005C54B5"/>
    <w:rsid w:val="005C5EF7"/>
    <w:rsid w:val="005C6F0C"/>
    <w:rsid w:val="005C73FA"/>
    <w:rsid w:val="005C7CA2"/>
    <w:rsid w:val="005D034D"/>
    <w:rsid w:val="005D0742"/>
    <w:rsid w:val="005D0E29"/>
    <w:rsid w:val="005D1598"/>
    <w:rsid w:val="005D159C"/>
    <w:rsid w:val="005D28B6"/>
    <w:rsid w:val="005D2F69"/>
    <w:rsid w:val="005D308D"/>
    <w:rsid w:val="005D415D"/>
    <w:rsid w:val="005D4836"/>
    <w:rsid w:val="005D49CE"/>
    <w:rsid w:val="005D5152"/>
    <w:rsid w:val="005D52D2"/>
    <w:rsid w:val="005D5A41"/>
    <w:rsid w:val="005D5ABC"/>
    <w:rsid w:val="005D5C97"/>
    <w:rsid w:val="005D647C"/>
    <w:rsid w:val="005D6609"/>
    <w:rsid w:val="005D6621"/>
    <w:rsid w:val="005D6AC9"/>
    <w:rsid w:val="005D7067"/>
    <w:rsid w:val="005D7209"/>
    <w:rsid w:val="005D72AC"/>
    <w:rsid w:val="005D7A00"/>
    <w:rsid w:val="005D7BE3"/>
    <w:rsid w:val="005D7CF6"/>
    <w:rsid w:val="005D7D58"/>
    <w:rsid w:val="005E0556"/>
    <w:rsid w:val="005E063E"/>
    <w:rsid w:val="005E076D"/>
    <w:rsid w:val="005E0B28"/>
    <w:rsid w:val="005E13A6"/>
    <w:rsid w:val="005E2E60"/>
    <w:rsid w:val="005E33E1"/>
    <w:rsid w:val="005E3791"/>
    <w:rsid w:val="005E3D6D"/>
    <w:rsid w:val="005E411A"/>
    <w:rsid w:val="005E5D37"/>
    <w:rsid w:val="005E70F6"/>
    <w:rsid w:val="005E73F9"/>
    <w:rsid w:val="005E75A9"/>
    <w:rsid w:val="005E7BDD"/>
    <w:rsid w:val="005E7F98"/>
    <w:rsid w:val="005F0514"/>
    <w:rsid w:val="005F0A66"/>
    <w:rsid w:val="005F0B87"/>
    <w:rsid w:val="005F0E12"/>
    <w:rsid w:val="005F1077"/>
    <w:rsid w:val="005F1233"/>
    <w:rsid w:val="005F2376"/>
    <w:rsid w:val="005F2CA4"/>
    <w:rsid w:val="005F37E7"/>
    <w:rsid w:val="005F4280"/>
    <w:rsid w:val="005F4D4D"/>
    <w:rsid w:val="005F5204"/>
    <w:rsid w:val="005F59AC"/>
    <w:rsid w:val="005F5A14"/>
    <w:rsid w:val="005F7415"/>
    <w:rsid w:val="005F7CF6"/>
    <w:rsid w:val="006003DF"/>
    <w:rsid w:val="0060085A"/>
    <w:rsid w:val="0060108F"/>
    <w:rsid w:val="00601F95"/>
    <w:rsid w:val="00602696"/>
    <w:rsid w:val="0060276B"/>
    <w:rsid w:val="00602B66"/>
    <w:rsid w:val="00603039"/>
    <w:rsid w:val="00604073"/>
    <w:rsid w:val="00604124"/>
    <w:rsid w:val="00604341"/>
    <w:rsid w:val="006048E8"/>
    <w:rsid w:val="00606AFE"/>
    <w:rsid w:val="00607934"/>
    <w:rsid w:val="00610000"/>
    <w:rsid w:val="0061035E"/>
    <w:rsid w:val="00610611"/>
    <w:rsid w:val="00611005"/>
    <w:rsid w:val="00611326"/>
    <w:rsid w:val="006113C5"/>
    <w:rsid w:val="0061140E"/>
    <w:rsid w:val="006128BB"/>
    <w:rsid w:val="0061324B"/>
    <w:rsid w:val="00613629"/>
    <w:rsid w:val="006139B8"/>
    <w:rsid w:val="00614704"/>
    <w:rsid w:val="00617117"/>
    <w:rsid w:val="006172D0"/>
    <w:rsid w:val="00617E5E"/>
    <w:rsid w:val="00620893"/>
    <w:rsid w:val="00621719"/>
    <w:rsid w:val="00621C8D"/>
    <w:rsid w:val="00621D16"/>
    <w:rsid w:val="00621D8B"/>
    <w:rsid w:val="00621E63"/>
    <w:rsid w:val="00623064"/>
    <w:rsid w:val="00623499"/>
    <w:rsid w:val="006234E9"/>
    <w:rsid w:val="006234EF"/>
    <w:rsid w:val="00623A06"/>
    <w:rsid w:val="0062402F"/>
    <w:rsid w:val="0062422D"/>
    <w:rsid w:val="00624348"/>
    <w:rsid w:val="00624882"/>
    <w:rsid w:val="00624BCE"/>
    <w:rsid w:val="0062557A"/>
    <w:rsid w:val="006256A7"/>
    <w:rsid w:val="00625C1B"/>
    <w:rsid w:val="006272C1"/>
    <w:rsid w:val="00627949"/>
    <w:rsid w:val="0063042A"/>
    <w:rsid w:val="0063049A"/>
    <w:rsid w:val="0063119A"/>
    <w:rsid w:val="00631643"/>
    <w:rsid w:val="00631F97"/>
    <w:rsid w:val="00633A82"/>
    <w:rsid w:val="00633C08"/>
    <w:rsid w:val="0063443A"/>
    <w:rsid w:val="00634B2C"/>
    <w:rsid w:val="00634FE6"/>
    <w:rsid w:val="0063512C"/>
    <w:rsid w:val="006353FB"/>
    <w:rsid w:val="00635A87"/>
    <w:rsid w:val="006367EC"/>
    <w:rsid w:val="00636BDB"/>
    <w:rsid w:val="00637145"/>
    <w:rsid w:val="00637A27"/>
    <w:rsid w:val="00640953"/>
    <w:rsid w:val="00640CE3"/>
    <w:rsid w:val="00640F09"/>
    <w:rsid w:val="006428D2"/>
    <w:rsid w:val="006434E5"/>
    <w:rsid w:val="00643BBF"/>
    <w:rsid w:val="0064441F"/>
    <w:rsid w:val="00644425"/>
    <w:rsid w:val="0064462B"/>
    <w:rsid w:val="00645139"/>
    <w:rsid w:val="00645D6C"/>
    <w:rsid w:val="006472FA"/>
    <w:rsid w:val="00647849"/>
    <w:rsid w:val="00647DC9"/>
    <w:rsid w:val="006504A0"/>
    <w:rsid w:val="00650F68"/>
    <w:rsid w:val="006518D0"/>
    <w:rsid w:val="00651C79"/>
    <w:rsid w:val="00651D5F"/>
    <w:rsid w:val="00652DD5"/>
    <w:rsid w:val="006532B3"/>
    <w:rsid w:val="0065337E"/>
    <w:rsid w:val="00653480"/>
    <w:rsid w:val="0065373A"/>
    <w:rsid w:val="00654076"/>
    <w:rsid w:val="006544B8"/>
    <w:rsid w:val="0065457E"/>
    <w:rsid w:val="006545C4"/>
    <w:rsid w:val="0065470A"/>
    <w:rsid w:val="00654AF5"/>
    <w:rsid w:val="00654FB1"/>
    <w:rsid w:val="0065505B"/>
    <w:rsid w:val="00655EEE"/>
    <w:rsid w:val="00656183"/>
    <w:rsid w:val="006561CE"/>
    <w:rsid w:val="006563E8"/>
    <w:rsid w:val="00657A12"/>
    <w:rsid w:val="00657B00"/>
    <w:rsid w:val="006604D5"/>
    <w:rsid w:val="00662503"/>
    <w:rsid w:val="006627E8"/>
    <w:rsid w:val="006632F7"/>
    <w:rsid w:val="00663695"/>
    <w:rsid w:val="006644BD"/>
    <w:rsid w:val="006644E7"/>
    <w:rsid w:val="00664A43"/>
    <w:rsid w:val="00665157"/>
    <w:rsid w:val="00665212"/>
    <w:rsid w:val="00665577"/>
    <w:rsid w:val="006655F8"/>
    <w:rsid w:val="00665E23"/>
    <w:rsid w:val="006670CE"/>
    <w:rsid w:val="0066736B"/>
    <w:rsid w:val="006676F1"/>
    <w:rsid w:val="00667825"/>
    <w:rsid w:val="006701B9"/>
    <w:rsid w:val="0067064A"/>
    <w:rsid w:val="00670E44"/>
    <w:rsid w:val="00672077"/>
    <w:rsid w:val="00672A76"/>
    <w:rsid w:val="00672BF3"/>
    <w:rsid w:val="00672C2E"/>
    <w:rsid w:val="00672D98"/>
    <w:rsid w:val="00672F08"/>
    <w:rsid w:val="00672F48"/>
    <w:rsid w:val="00673FE0"/>
    <w:rsid w:val="00674216"/>
    <w:rsid w:val="00674262"/>
    <w:rsid w:val="0067663D"/>
    <w:rsid w:val="00676E0B"/>
    <w:rsid w:val="00680AAF"/>
    <w:rsid w:val="00680F00"/>
    <w:rsid w:val="00680F39"/>
    <w:rsid w:val="0068124D"/>
    <w:rsid w:val="006812DE"/>
    <w:rsid w:val="00681D76"/>
    <w:rsid w:val="00682840"/>
    <w:rsid w:val="00682AD1"/>
    <w:rsid w:val="00683140"/>
    <w:rsid w:val="00683848"/>
    <w:rsid w:val="006849EE"/>
    <w:rsid w:val="00684BBE"/>
    <w:rsid w:val="00684C66"/>
    <w:rsid w:val="00685653"/>
    <w:rsid w:val="0068631D"/>
    <w:rsid w:val="00686998"/>
    <w:rsid w:val="00686AC1"/>
    <w:rsid w:val="00686E6E"/>
    <w:rsid w:val="006906AD"/>
    <w:rsid w:val="006913B9"/>
    <w:rsid w:val="00691515"/>
    <w:rsid w:val="0069186C"/>
    <w:rsid w:val="00691DAD"/>
    <w:rsid w:val="006928AC"/>
    <w:rsid w:val="006933D6"/>
    <w:rsid w:val="00693866"/>
    <w:rsid w:val="00695141"/>
    <w:rsid w:val="006951E5"/>
    <w:rsid w:val="00695221"/>
    <w:rsid w:val="006964E6"/>
    <w:rsid w:val="00696C92"/>
    <w:rsid w:val="006976BE"/>
    <w:rsid w:val="006976EB"/>
    <w:rsid w:val="0069799C"/>
    <w:rsid w:val="006979BD"/>
    <w:rsid w:val="00697A8E"/>
    <w:rsid w:val="006A0440"/>
    <w:rsid w:val="006A0D5D"/>
    <w:rsid w:val="006A1AC4"/>
    <w:rsid w:val="006A1F68"/>
    <w:rsid w:val="006A2631"/>
    <w:rsid w:val="006A329B"/>
    <w:rsid w:val="006A372F"/>
    <w:rsid w:val="006A40DD"/>
    <w:rsid w:val="006A464A"/>
    <w:rsid w:val="006A4DDC"/>
    <w:rsid w:val="006A624B"/>
    <w:rsid w:val="006A762F"/>
    <w:rsid w:val="006A765B"/>
    <w:rsid w:val="006B0C16"/>
    <w:rsid w:val="006B1001"/>
    <w:rsid w:val="006B168A"/>
    <w:rsid w:val="006B1711"/>
    <w:rsid w:val="006B1DAD"/>
    <w:rsid w:val="006B218B"/>
    <w:rsid w:val="006B37E9"/>
    <w:rsid w:val="006B5D01"/>
    <w:rsid w:val="006B6CCB"/>
    <w:rsid w:val="006B6E45"/>
    <w:rsid w:val="006B771F"/>
    <w:rsid w:val="006B783E"/>
    <w:rsid w:val="006C052B"/>
    <w:rsid w:val="006C2306"/>
    <w:rsid w:val="006C350F"/>
    <w:rsid w:val="006C3AB1"/>
    <w:rsid w:val="006C3E72"/>
    <w:rsid w:val="006C41AC"/>
    <w:rsid w:val="006C5348"/>
    <w:rsid w:val="006C54CF"/>
    <w:rsid w:val="006C578A"/>
    <w:rsid w:val="006C74D2"/>
    <w:rsid w:val="006C7BE6"/>
    <w:rsid w:val="006D1016"/>
    <w:rsid w:val="006D2B91"/>
    <w:rsid w:val="006D5150"/>
    <w:rsid w:val="006D5251"/>
    <w:rsid w:val="006D5690"/>
    <w:rsid w:val="006D5B6F"/>
    <w:rsid w:val="006D5DDF"/>
    <w:rsid w:val="006D6046"/>
    <w:rsid w:val="006D62EE"/>
    <w:rsid w:val="006D66E2"/>
    <w:rsid w:val="006D6981"/>
    <w:rsid w:val="006D7211"/>
    <w:rsid w:val="006D7593"/>
    <w:rsid w:val="006D7B57"/>
    <w:rsid w:val="006E0312"/>
    <w:rsid w:val="006E0DD3"/>
    <w:rsid w:val="006E10AA"/>
    <w:rsid w:val="006E1E26"/>
    <w:rsid w:val="006E2E63"/>
    <w:rsid w:val="006E31EA"/>
    <w:rsid w:val="006E32D8"/>
    <w:rsid w:val="006E3DEB"/>
    <w:rsid w:val="006E3EF4"/>
    <w:rsid w:val="006E458E"/>
    <w:rsid w:val="006E496A"/>
    <w:rsid w:val="006E4E70"/>
    <w:rsid w:val="006E5057"/>
    <w:rsid w:val="006E5643"/>
    <w:rsid w:val="006E56E6"/>
    <w:rsid w:val="006E6238"/>
    <w:rsid w:val="006E6A21"/>
    <w:rsid w:val="006E7218"/>
    <w:rsid w:val="006E74BD"/>
    <w:rsid w:val="006E760C"/>
    <w:rsid w:val="006E7E6E"/>
    <w:rsid w:val="006F0297"/>
    <w:rsid w:val="006F0679"/>
    <w:rsid w:val="006F0771"/>
    <w:rsid w:val="006F0A58"/>
    <w:rsid w:val="006F224D"/>
    <w:rsid w:val="006F2260"/>
    <w:rsid w:val="006F2F9E"/>
    <w:rsid w:val="006F31C8"/>
    <w:rsid w:val="006F41E5"/>
    <w:rsid w:val="006F4B7F"/>
    <w:rsid w:val="006F521D"/>
    <w:rsid w:val="006F6820"/>
    <w:rsid w:val="006F6B14"/>
    <w:rsid w:val="006F72E5"/>
    <w:rsid w:val="007001DF"/>
    <w:rsid w:val="007002DF"/>
    <w:rsid w:val="007008B0"/>
    <w:rsid w:val="007009E2"/>
    <w:rsid w:val="00700E81"/>
    <w:rsid w:val="00701063"/>
    <w:rsid w:val="007011A4"/>
    <w:rsid w:val="007021B4"/>
    <w:rsid w:val="00702317"/>
    <w:rsid w:val="0070268D"/>
    <w:rsid w:val="00702C38"/>
    <w:rsid w:val="0070336A"/>
    <w:rsid w:val="00703760"/>
    <w:rsid w:val="007044B8"/>
    <w:rsid w:val="00704586"/>
    <w:rsid w:val="00704F7F"/>
    <w:rsid w:val="0070548B"/>
    <w:rsid w:val="00705A7E"/>
    <w:rsid w:val="00705AA2"/>
    <w:rsid w:val="007073BE"/>
    <w:rsid w:val="00707453"/>
    <w:rsid w:val="007100C7"/>
    <w:rsid w:val="00711E87"/>
    <w:rsid w:val="0071254F"/>
    <w:rsid w:val="007133E9"/>
    <w:rsid w:val="00713837"/>
    <w:rsid w:val="00713AA9"/>
    <w:rsid w:val="00713D96"/>
    <w:rsid w:val="007142A8"/>
    <w:rsid w:val="00714ABC"/>
    <w:rsid w:val="007159E7"/>
    <w:rsid w:val="007170D0"/>
    <w:rsid w:val="007176E3"/>
    <w:rsid w:val="007176EB"/>
    <w:rsid w:val="00717AD8"/>
    <w:rsid w:val="00720321"/>
    <w:rsid w:val="007203A6"/>
    <w:rsid w:val="00720928"/>
    <w:rsid w:val="00721A7D"/>
    <w:rsid w:val="00722845"/>
    <w:rsid w:val="007239B0"/>
    <w:rsid w:val="00723A3F"/>
    <w:rsid w:val="00723EE3"/>
    <w:rsid w:val="007240C3"/>
    <w:rsid w:val="007247B4"/>
    <w:rsid w:val="007252A3"/>
    <w:rsid w:val="0072590E"/>
    <w:rsid w:val="00726906"/>
    <w:rsid w:val="00726A5C"/>
    <w:rsid w:val="00727028"/>
    <w:rsid w:val="00727B9D"/>
    <w:rsid w:val="00727F56"/>
    <w:rsid w:val="00730312"/>
    <w:rsid w:val="00730912"/>
    <w:rsid w:val="007315B8"/>
    <w:rsid w:val="00731FAA"/>
    <w:rsid w:val="007321DA"/>
    <w:rsid w:val="007331F4"/>
    <w:rsid w:val="007332DC"/>
    <w:rsid w:val="007333DC"/>
    <w:rsid w:val="007335C8"/>
    <w:rsid w:val="00733F13"/>
    <w:rsid w:val="00733F99"/>
    <w:rsid w:val="00734684"/>
    <w:rsid w:val="00735B67"/>
    <w:rsid w:val="00735D45"/>
    <w:rsid w:val="00736994"/>
    <w:rsid w:val="00736B48"/>
    <w:rsid w:val="00736E34"/>
    <w:rsid w:val="007374E0"/>
    <w:rsid w:val="00737A69"/>
    <w:rsid w:val="00737AAA"/>
    <w:rsid w:val="00737C27"/>
    <w:rsid w:val="00740D4B"/>
    <w:rsid w:val="00740F64"/>
    <w:rsid w:val="0074104B"/>
    <w:rsid w:val="007410AE"/>
    <w:rsid w:val="007413FC"/>
    <w:rsid w:val="00742A69"/>
    <w:rsid w:val="00742A9D"/>
    <w:rsid w:val="0074310D"/>
    <w:rsid w:val="00743231"/>
    <w:rsid w:val="00743267"/>
    <w:rsid w:val="00744E44"/>
    <w:rsid w:val="00745FD2"/>
    <w:rsid w:val="00746BCF"/>
    <w:rsid w:val="007470B0"/>
    <w:rsid w:val="00747A29"/>
    <w:rsid w:val="007513C4"/>
    <w:rsid w:val="007515F3"/>
    <w:rsid w:val="00751669"/>
    <w:rsid w:val="00751C44"/>
    <w:rsid w:val="007529B5"/>
    <w:rsid w:val="0075346A"/>
    <w:rsid w:val="00753A6D"/>
    <w:rsid w:val="00753BB6"/>
    <w:rsid w:val="007542C2"/>
    <w:rsid w:val="0075470E"/>
    <w:rsid w:val="00754BFF"/>
    <w:rsid w:val="00754CD5"/>
    <w:rsid w:val="007551C2"/>
    <w:rsid w:val="0075578A"/>
    <w:rsid w:val="00755816"/>
    <w:rsid w:val="00755AD3"/>
    <w:rsid w:val="00755FFC"/>
    <w:rsid w:val="00756293"/>
    <w:rsid w:val="00760FF3"/>
    <w:rsid w:val="007610FB"/>
    <w:rsid w:val="0076180D"/>
    <w:rsid w:val="00762947"/>
    <w:rsid w:val="007630A3"/>
    <w:rsid w:val="0076316E"/>
    <w:rsid w:val="007631D5"/>
    <w:rsid w:val="007632DE"/>
    <w:rsid w:val="00763719"/>
    <w:rsid w:val="00763FF9"/>
    <w:rsid w:val="00765E27"/>
    <w:rsid w:val="00766661"/>
    <w:rsid w:val="00766BA5"/>
    <w:rsid w:val="00766DE0"/>
    <w:rsid w:val="007675BA"/>
    <w:rsid w:val="007702B5"/>
    <w:rsid w:val="0077076A"/>
    <w:rsid w:val="0077087B"/>
    <w:rsid w:val="00770954"/>
    <w:rsid w:val="0077096E"/>
    <w:rsid w:val="007709BF"/>
    <w:rsid w:val="007712E2"/>
    <w:rsid w:val="007713BE"/>
    <w:rsid w:val="00771448"/>
    <w:rsid w:val="00771B4D"/>
    <w:rsid w:val="0077253C"/>
    <w:rsid w:val="0077340E"/>
    <w:rsid w:val="007734E8"/>
    <w:rsid w:val="00773CDD"/>
    <w:rsid w:val="00773D7C"/>
    <w:rsid w:val="00773E65"/>
    <w:rsid w:val="00774057"/>
    <w:rsid w:val="0077436B"/>
    <w:rsid w:val="00775FEF"/>
    <w:rsid w:val="00776062"/>
    <w:rsid w:val="0077667B"/>
    <w:rsid w:val="007768BB"/>
    <w:rsid w:val="00776A4B"/>
    <w:rsid w:val="00777390"/>
    <w:rsid w:val="007773E7"/>
    <w:rsid w:val="00777492"/>
    <w:rsid w:val="00777EA7"/>
    <w:rsid w:val="007809D4"/>
    <w:rsid w:val="00780EBC"/>
    <w:rsid w:val="00780EF5"/>
    <w:rsid w:val="00780FD3"/>
    <w:rsid w:val="00781171"/>
    <w:rsid w:val="00781186"/>
    <w:rsid w:val="00781A26"/>
    <w:rsid w:val="007822A5"/>
    <w:rsid w:val="00783E05"/>
    <w:rsid w:val="0078596F"/>
    <w:rsid w:val="00785E11"/>
    <w:rsid w:val="00786D69"/>
    <w:rsid w:val="00787460"/>
    <w:rsid w:val="00790BED"/>
    <w:rsid w:val="00790D75"/>
    <w:rsid w:val="00792C47"/>
    <w:rsid w:val="00793354"/>
    <w:rsid w:val="00793380"/>
    <w:rsid w:val="00793791"/>
    <w:rsid w:val="00793B35"/>
    <w:rsid w:val="00793CB8"/>
    <w:rsid w:val="00793F99"/>
    <w:rsid w:val="0079416F"/>
    <w:rsid w:val="007955F6"/>
    <w:rsid w:val="007959DC"/>
    <w:rsid w:val="00795AA6"/>
    <w:rsid w:val="007961EA"/>
    <w:rsid w:val="007962C0"/>
    <w:rsid w:val="00796E12"/>
    <w:rsid w:val="0079753F"/>
    <w:rsid w:val="00797AB5"/>
    <w:rsid w:val="00797B9A"/>
    <w:rsid w:val="00797E06"/>
    <w:rsid w:val="007A0ADF"/>
    <w:rsid w:val="007A18DC"/>
    <w:rsid w:val="007A2650"/>
    <w:rsid w:val="007A2F34"/>
    <w:rsid w:val="007A3306"/>
    <w:rsid w:val="007A34C8"/>
    <w:rsid w:val="007A3A7C"/>
    <w:rsid w:val="007A3F16"/>
    <w:rsid w:val="007A4BB5"/>
    <w:rsid w:val="007A5229"/>
    <w:rsid w:val="007A5779"/>
    <w:rsid w:val="007A5A8F"/>
    <w:rsid w:val="007A5BE5"/>
    <w:rsid w:val="007A5EED"/>
    <w:rsid w:val="007A66CA"/>
    <w:rsid w:val="007A6853"/>
    <w:rsid w:val="007A6897"/>
    <w:rsid w:val="007A766E"/>
    <w:rsid w:val="007A7DB4"/>
    <w:rsid w:val="007B0297"/>
    <w:rsid w:val="007B0ACE"/>
    <w:rsid w:val="007B15F6"/>
    <w:rsid w:val="007B1B55"/>
    <w:rsid w:val="007B2B9D"/>
    <w:rsid w:val="007B2CAC"/>
    <w:rsid w:val="007B308B"/>
    <w:rsid w:val="007B31B0"/>
    <w:rsid w:val="007B41EB"/>
    <w:rsid w:val="007B4250"/>
    <w:rsid w:val="007B42A1"/>
    <w:rsid w:val="007B4F92"/>
    <w:rsid w:val="007B5010"/>
    <w:rsid w:val="007B5720"/>
    <w:rsid w:val="007B5BB5"/>
    <w:rsid w:val="007B6219"/>
    <w:rsid w:val="007B62E3"/>
    <w:rsid w:val="007B6BD7"/>
    <w:rsid w:val="007B6F82"/>
    <w:rsid w:val="007B707A"/>
    <w:rsid w:val="007B708B"/>
    <w:rsid w:val="007B7264"/>
    <w:rsid w:val="007B78E9"/>
    <w:rsid w:val="007B7CF6"/>
    <w:rsid w:val="007C0BE2"/>
    <w:rsid w:val="007C1561"/>
    <w:rsid w:val="007C17AC"/>
    <w:rsid w:val="007C1E27"/>
    <w:rsid w:val="007C4593"/>
    <w:rsid w:val="007C4683"/>
    <w:rsid w:val="007C4CA5"/>
    <w:rsid w:val="007C4CB2"/>
    <w:rsid w:val="007C60DB"/>
    <w:rsid w:val="007C67C1"/>
    <w:rsid w:val="007C6FCE"/>
    <w:rsid w:val="007C7445"/>
    <w:rsid w:val="007D10D9"/>
    <w:rsid w:val="007D123B"/>
    <w:rsid w:val="007D1948"/>
    <w:rsid w:val="007D195F"/>
    <w:rsid w:val="007D1C07"/>
    <w:rsid w:val="007D2A5E"/>
    <w:rsid w:val="007D2FE3"/>
    <w:rsid w:val="007D319D"/>
    <w:rsid w:val="007D34BD"/>
    <w:rsid w:val="007D4A3A"/>
    <w:rsid w:val="007D5FCC"/>
    <w:rsid w:val="007D6330"/>
    <w:rsid w:val="007D6470"/>
    <w:rsid w:val="007D793A"/>
    <w:rsid w:val="007E01A6"/>
    <w:rsid w:val="007E035F"/>
    <w:rsid w:val="007E05E2"/>
    <w:rsid w:val="007E0976"/>
    <w:rsid w:val="007E0C48"/>
    <w:rsid w:val="007E0D50"/>
    <w:rsid w:val="007E0D62"/>
    <w:rsid w:val="007E0F49"/>
    <w:rsid w:val="007E158B"/>
    <w:rsid w:val="007E20B8"/>
    <w:rsid w:val="007E20C9"/>
    <w:rsid w:val="007E2EB9"/>
    <w:rsid w:val="007E32B0"/>
    <w:rsid w:val="007E374B"/>
    <w:rsid w:val="007E4BEE"/>
    <w:rsid w:val="007E50D2"/>
    <w:rsid w:val="007E5824"/>
    <w:rsid w:val="007E5DB8"/>
    <w:rsid w:val="007F009E"/>
    <w:rsid w:val="007F0331"/>
    <w:rsid w:val="007F087F"/>
    <w:rsid w:val="007F0897"/>
    <w:rsid w:val="007F0945"/>
    <w:rsid w:val="007F0B71"/>
    <w:rsid w:val="007F0C9E"/>
    <w:rsid w:val="007F15A6"/>
    <w:rsid w:val="007F1688"/>
    <w:rsid w:val="007F19E7"/>
    <w:rsid w:val="007F2448"/>
    <w:rsid w:val="007F26E9"/>
    <w:rsid w:val="007F3251"/>
    <w:rsid w:val="007F3992"/>
    <w:rsid w:val="007F4C45"/>
    <w:rsid w:val="007F4E2A"/>
    <w:rsid w:val="007F6ADE"/>
    <w:rsid w:val="007F73B8"/>
    <w:rsid w:val="007F7519"/>
    <w:rsid w:val="007F76D0"/>
    <w:rsid w:val="007F76FC"/>
    <w:rsid w:val="007F78C1"/>
    <w:rsid w:val="0080004A"/>
    <w:rsid w:val="00801045"/>
    <w:rsid w:val="00801668"/>
    <w:rsid w:val="008017BC"/>
    <w:rsid w:val="00802ACD"/>
    <w:rsid w:val="00803E46"/>
    <w:rsid w:val="00803ECB"/>
    <w:rsid w:val="00804A96"/>
    <w:rsid w:val="00804FA9"/>
    <w:rsid w:val="008055D1"/>
    <w:rsid w:val="0080576C"/>
    <w:rsid w:val="00805C43"/>
    <w:rsid w:val="00805C87"/>
    <w:rsid w:val="00805F8D"/>
    <w:rsid w:val="00806D9D"/>
    <w:rsid w:val="0080729A"/>
    <w:rsid w:val="00807724"/>
    <w:rsid w:val="00811030"/>
    <w:rsid w:val="008111BF"/>
    <w:rsid w:val="00812B1F"/>
    <w:rsid w:val="00812BA1"/>
    <w:rsid w:val="00812EAA"/>
    <w:rsid w:val="008138DB"/>
    <w:rsid w:val="00814D05"/>
    <w:rsid w:val="0081506F"/>
    <w:rsid w:val="0081595A"/>
    <w:rsid w:val="00815A9B"/>
    <w:rsid w:val="00816BBF"/>
    <w:rsid w:val="0081727B"/>
    <w:rsid w:val="008176B6"/>
    <w:rsid w:val="00817CF9"/>
    <w:rsid w:val="00820391"/>
    <w:rsid w:val="00820E3D"/>
    <w:rsid w:val="00821F0B"/>
    <w:rsid w:val="00821FDA"/>
    <w:rsid w:val="0082317A"/>
    <w:rsid w:val="00823222"/>
    <w:rsid w:val="008236F9"/>
    <w:rsid w:val="00824AFB"/>
    <w:rsid w:val="00824DE9"/>
    <w:rsid w:val="0082523F"/>
    <w:rsid w:val="00825BC3"/>
    <w:rsid w:val="00826578"/>
    <w:rsid w:val="00826D20"/>
    <w:rsid w:val="00827206"/>
    <w:rsid w:val="00827ABD"/>
    <w:rsid w:val="00827E5E"/>
    <w:rsid w:val="00827EA2"/>
    <w:rsid w:val="008317D0"/>
    <w:rsid w:val="00831C5B"/>
    <w:rsid w:val="00832423"/>
    <w:rsid w:val="00832872"/>
    <w:rsid w:val="008329D1"/>
    <w:rsid w:val="00832EB9"/>
    <w:rsid w:val="00833007"/>
    <w:rsid w:val="00833278"/>
    <w:rsid w:val="00833450"/>
    <w:rsid w:val="00833473"/>
    <w:rsid w:val="0083449F"/>
    <w:rsid w:val="008349A7"/>
    <w:rsid w:val="00836181"/>
    <w:rsid w:val="00837136"/>
    <w:rsid w:val="0083776F"/>
    <w:rsid w:val="00837CBB"/>
    <w:rsid w:val="00837DC7"/>
    <w:rsid w:val="00837DEE"/>
    <w:rsid w:val="00837F5D"/>
    <w:rsid w:val="00840066"/>
    <w:rsid w:val="0084052A"/>
    <w:rsid w:val="00840812"/>
    <w:rsid w:val="00840880"/>
    <w:rsid w:val="00840BD9"/>
    <w:rsid w:val="00840C9D"/>
    <w:rsid w:val="00841454"/>
    <w:rsid w:val="0084155E"/>
    <w:rsid w:val="00841E55"/>
    <w:rsid w:val="00842938"/>
    <w:rsid w:val="00842C8A"/>
    <w:rsid w:val="00843958"/>
    <w:rsid w:val="00843B6A"/>
    <w:rsid w:val="00843FA7"/>
    <w:rsid w:val="0084486C"/>
    <w:rsid w:val="00844BC8"/>
    <w:rsid w:val="00845187"/>
    <w:rsid w:val="008451E2"/>
    <w:rsid w:val="0084554D"/>
    <w:rsid w:val="0084563A"/>
    <w:rsid w:val="00845983"/>
    <w:rsid w:val="00845B83"/>
    <w:rsid w:val="00846076"/>
    <w:rsid w:val="008461D0"/>
    <w:rsid w:val="0084685A"/>
    <w:rsid w:val="00846931"/>
    <w:rsid w:val="00847907"/>
    <w:rsid w:val="00850741"/>
    <w:rsid w:val="0085182B"/>
    <w:rsid w:val="00851FA2"/>
    <w:rsid w:val="00852E1E"/>
    <w:rsid w:val="008531C7"/>
    <w:rsid w:val="00853343"/>
    <w:rsid w:val="008539C4"/>
    <w:rsid w:val="00854B45"/>
    <w:rsid w:val="008554A6"/>
    <w:rsid w:val="008578A2"/>
    <w:rsid w:val="00857CE9"/>
    <w:rsid w:val="00860EF3"/>
    <w:rsid w:val="00861DC8"/>
    <w:rsid w:val="008629E2"/>
    <w:rsid w:val="00863D59"/>
    <w:rsid w:val="00863FA4"/>
    <w:rsid w:val="008641B7"/>
    <w:rsid w:val="00864B5E"/>
    <w:rsid w:val="008656A4"/>
    <w:rsid w:val="00865E00"/>
    <w:rsid w:val="0086714A"/>
    <w:rsid w:val="00867C01"/>
    <w:rsid w:val="00867E42"/>
    <w:rsid w:val="00870279"/>
    <w:rsid w:val="0087428A"/>
    <w:rsid w:val="008744EE"/>
    <w:rsid w:val="008745B7"/>
    <w:rsid w:val="00874856"/>
    <w:rsid w:val="00874D04"/>
    <w:rsid w:val="008750B2"/>
    <w:rsid w:val="00875FCB"/>
    <w:rsid w:val="008761D2"/>
    <w:rsid w:val="00876A62"/>
    <w:rsid w:val="00876AC2"/>
    <w:rsid w:val="008804E1"/>
    <w:rsid w:val="00881BFC"/>
    <w:rsid w:val="00882850"/>
    <w:rsid w:val="00882EB9"/>
    <w:rsid w:val="008839CC"/>
    <w:rsid w:val="00884581"/>
    <w:rsid w:val="0088477C"/>
    <w:rsid w:val="008847B2"/>
    <w:rsid w:val="0088494B"/>
    <w:rsid w:val="00884FFA"/>
    <w:rsid w:val="008853F5"/>
    <w:rsid w:val="00885E28"/>
    <w:rsid w:val="008869F4"/>
    <w:rsid w:val="00887029"/>
    <w:rsid w:val="008877DF"/>
    <w:rsid w:val="00887F6A"/>
    <w:rsid w:val="0089015E"/>
    <w:rsid w:val="00890AD4"/>
    <w:rsid w:val="00890DBE"/>
    <w:rsid w:val="00891269"/>
    <w:rsid w:val="00891F91"/>
    <w:rsid w:val="008923E9"/>
    <w:rsid w:val="008926C0"/>
    <w:rsid w:val="00892AFC"/>
    <w:rsid w:val="00892ECD"/>
    <w:rsid w:val="008932CB"/>
    <w:rsid w:val="00893EA3"/>
    <w:rsid w:val="00893FB0"/>
    <w:rsid w:val="008944F3"/>
    <w:rsid w:val="00894E91"/>
    <w:rsid w:val="00894FA8"/>
    <w:rsid w:val="00895AC2"/>
    <w:rsid w:val="00896F3E"/>
    <w:rsid w:val="008A0164"/>
    <w:rsid w:val="008A095D"/>
    <w:rsid w:val="008A0D6B"/>
    <w:rsid w:val="008A0ED0"/>
    <w:rsid w:val="008A141A"/>
    <w:rsid w:val="008A18B7"/>
    <w:rsid w:val="008A1FEE"/>
    <w:rsid w:val="008A24DF"/>
    <w:rsid w:val="008A2CBD"/>
    <w:rsid w:val="008A315D"/>
    <w:rsid w:val="008A3560"/>
    <w:rsid w:val="008A4586"/>
    <w:rsid w:val="008A4D73"/>
    <w:rsid w:val="008A500A"/>
    <w:rsid w:val="008A54B2"/>
    <w:rsid w:val="008A5894"/>
    <w:rsid w:val="008A5DDB"/>
    <w:rsid w:val="008A5FB1"/>
    <w:rsid w:val="008A6AC7"/>
    <w:rsid w:val="008A7303"/>
    <w:rsid w:val="008B0420"/>
    <w:rsid w:val="008B0559"/>
    <w:rsid w:val="008B131F"/>
    <w:rsid w:val="008B1493"/>
    <w:rsid w:val="008B23A2"/>
    <w:rsid w:val="008B2B0F"/>
    <w:rsid w:val="008B38A7"/>
    <w:rsid w:val="008B3AEB"/>
    <w:rsid w:val="008B487D"/>
    <w:rsid w:val="008B5098"/>
    <w:rsid w:val="008B5282"/>
    <w:rsid w:val="008B5306"/>
    <w:rsid w:val="008B55CF"/>
    <w:rsid w:val="008B5DDC"/>
    <w:rsid w:val="008B6266"/>
    <w:rsid w:val="008B746E"/>
    <w:rsid w:val="008B79EE"/>
    <w:rsid w:val="008B7AE9"/>
    <w:rsid w:val="008C026A"/>
    <w:rsid w:val="008C0504"/>
    <w:rsid w:val="008C0E1A"/>
    <w:rsid w:val="008C0E47"/>
    <w:rsid w:val="008C14FE"/>
    <w:rsid w:val="008C157D"/>
    <w:rsid w:val="008C1A48"/>
    <w:rsid w:val="008C1A67"/>
    <w:rsid w:val="008C1FEB"/>
    <w:rsid w:val="008C2466"/>
    <w:rsid w:val="008C2E5F"/>
    <w:rsid w:val="008C37B2"/>
    <w:rsid w:val="008C37F3"/>
    <w:rsid w:val="008C3E57"/>
    <w:rsid w:val="008C4D9B"/>
    <w:rsid w:val="008C55A3"/>
    <w:rsid w:val="008C5C76"/>
    <w:rsid w:val="008C6083"/>
    <w:rsid w:val="008C6E3D"/>
    <w:rsid w:val="008D03F6"/>
    <w:rsid w:val="008D0636"/>
    <w:rsid w:val="008D0D3C"/>
    <w:rsid w:val="008D25CB"/>
    <w:rsid w:val="008D3728"/>
    <w:rsid w:val="008D385A"/>
    <w:rsid w:val="008D3ABB"/>
    <w:rsid w:val="008D3D16"/>
    <w:rsid w:val="008D3F97"/>
    <w:rsid w:val="008D4145"/>
    <w:rsid w:val="008D51A4"/>
    <w:rsid w:val="008D5540"/>
    <w:rsid w:val="008D5876"/>
    <w:rsid w:val="008D5DF5"/>
    <w:rsid w:val="008D63B5"/>
    <w:rsid w:val="008D6DC0"/>
    <w:rsid w:val="008D7155"/>
    <w:rsid w:val="008D7984"/>
    <w:rsid w:val="008D7AC7"/>
    <w:rsid w:val="008D7D0A"/>
    <w:rsid w:val="008E0EB4"/>
    <w:rsid w:val="008E1533"/>
    <w:rsid w:val="008E16C8"/>
    <w:rsid w:val="008E1947"/>
    <w:rsid w:val="008E28FB"/>
    <w:rsid w:val="008E3BA4"/>
    <w:rsid w:val="008E3FE5"/>
    <w:rsid w:val="008E60EB"/>
    <w:rsid w:val="008E62E2"/>
    <w:rsid w:val="008E6492"/>
    <w:rsid w:val="008E6583"/>
    <w:rsid w:val="008E6B67"/>
    <w:rsid w:val="008E6BA4"/>
    <w:rsid w:val="008E6F1C"/>
    <w:rsid w:val="008E76D9"/>
    <w:rsid w:val="008F0387"/>
    <w:rsid w:val="008F0BB7"/>
    <w:rsid w:val="008F3157"/>
    <w:rsid w:val="008F3598"/>
    <w:rsid w:val="008F4E59"/>
    <w:rsid w:val="008F5612"/>
    <w:rsid w:val="008F6D4A"/>
    <w:rsid w:val="008F70CB"/>
    <w:rsid w:val="009001A5"/>
    <w:rsid w:val="0090196F"/>
    <w:rsid w:val="00902A3C"/>
    <w:rsid w:val="0090364E"/>
    <w:rsid w:val="00903730"/>
    <w:rsid w:val="00903E74"/>
    <w:rsid w:val="00903F6C"/>
    <w:rsid w:val="0090429A"/>
    <w:rsid w:val="00904320"/>
    <w:rsid w:val="009046C1"/>
    <w:rsid w:val="009049D3"/>
    <w:rsid w:val="00905049"/>
    <w:rsid w:val="00905ECA"/>
    <w:rsid w:val="0090734C"/>
    <w:rsid w:val="00907A5A"/>
    <w:rsid w:val="00907B05"/>
    <w:rsid w:val="00907F2D"/>
    <w:rsid w:val="00910DD0"/>
    <w:rsid w:val="00910F13"/>
    <w:rsid w:val="00911B0D"/>
    <w:rsid w:val="00912CA4"/>
    <w:rsid w:val="00913852"/>
    <w:rsid w:val="00913AFE"/>
    <w:rsid w:val="00914314"/>
    <w:rsid w:val="00914D77"/>
    <w:rsid w:val="00914DBD"/>
    <w:rsid w:val="009151B6"/>
    <w:rsid w:val="009152C9"/>
    <w:rsid w:val="009153AE"/>
    <w:rsid w:val="009159EF"/>
    <w:rsid w:val="00915A66"/>
    <w:rsid w:val="00916E3F"/>
    <w:rsid w:val="009179D3"/>
    <w:rsid w:val="00917D58"/>
    <w:rsid w:val="0092022D"/>
    <w:rsid w:val="00920D67"/>
    <w:rsid w:val="0092177F"/>
    <w:rsid w:val="00921F6C"/>
    <w:rsid w:val="00922001"/>
    <w:rsid w:val="0092245E"/>
    <w:rsid w:val="00922A35"/>
    <w:rsid w:val="00922D66"/>
    <w:rsid w:val="00922FC2"/>
    <w:rsid w:val="00923266"/>
    <w:rsid w:val="00923316"/>
    <w:rsid w:val="00924464"/>
    <w:rsid w:val="00926ABD"/>
    <w:rsid w:val="00926F7C"/>
    <w:rsid w:val="00927215"/>
    <w:rsid w:val="009274F7"/>
    <w:rsid w:val="0093005C"/>
    <w:rsid w:val="00930AE2"/>
    <w:rsid w:val="00930CBB"/>
    <w:rsid w:val="0093129F"/>
    <w:rsid w:val="00932769"/>
    <w:rsid w:val="00932E86"/>
    <w:rsid w:val="009332CA"/>
    <w:rsid w:val="00933674"/>
    <w:rsid w:val="00933842"/>
    <w:rsid w:val="00933F3B"/>
    <w:rsid w:val="0093439D"/>
    <w:rsid w:val="009347A3"/>
    <w:rsid w:val="009357FC"/>
    <w:rsid w:val="009358F9"/>
    <w:rsid w:val="00935916"/>
    <w:rsid w:val="00935B72"/>
    <w:rsid w:val="00935EA0"/>
    <w:rsid w:val="009360C0"/>
    <w:rsid w:val="00937847"/>
    <w:rsid w:val="00937A59"/>
    <w:rsid w:val="00937C04"/>
    <w:rsid w:val="0094051B"/>
    <w:rsid w:val="009405D2"/>
    <w:rsid w:val="009407AB"/>
    <w:rsid w:val="009408D4"/>
    <w:rsid w:val="00941730"/>
    <w:rsid w:val="00942348"/>
    <w:rsid w:val="00942899"/>
    <w:rsid w:val="0094297F"/>
    <w:rsid w:val="00942ADB"/>
    <w:rsid w:val="009434CF"/>
    <w:rsid w:val="009434D9"/>
    <w:rsid w:val="0094360C"/>
    <w:rsid w:val="00943672"/>
    <w:rsid w:val="00943740"/>
    <w:rsid w:val="00944433"/>
    <w:rsid w:val="009448E3"/>
    <w:rsid w:val="00944DB6"/>
    <w:rsid w:val="00945812"/>
    <w:rsid w:val="009458C3"/>
    <w:rsid w:val="009468BF"/>
    <w:rsid w:val="00946EA4"/>
    <w:rsid w:val="00947FA6"/>
    <w:rsid w:val="00950B1A"/>
    <w:rsid w:val="00951603"/>
    <w:rsid w:val="00951A2D"/>
    <w:rsid w:val="00951C18"/>
    <w:rsid w:val="00951EAE"/>
    <w:rsid w:val="009523F0"/>
    <w:rsid w:val="0095245D"/>
    <w:rsid w:val="00952CFC"/>
    <w:rsid w:val="009534B7"/>
    <w:rsid w:val="00953911"/>
    <w:rsid w:val="00954B48"/>
    <w:rsid w:val="0095500B"/>
    <w:rsid w:val="009550D9"/>
    <w:rsid w:val="00955437"/>
    <w:rsid w:val="00955A43"/>
    <w:rsid w:val="00955C9D"/>
    <w:rsid w:val="00956584"/>
    <w:rsid w:val="00957790"/>
    <w:rsid w:val="009603A3"/>
    <w:rsid w:val="0096059B"/>
    <w:rsid w:val="00960767"/>
    <w:rsid w:val="00960827"/>
    <w:rsid w:val="009612A8"/>
    <w:rsid w:val="00961AA3"/>
    <w:rsid w:val="00961CFE"/>
    <w:rsid w:val="009621BC"/>
    <w:rsid w:val="009632FE"/>
    <w:rsid w:val="00963CDF"/>
    <w:rsid w:val="009649D7"/>
    <w:rsid w:val="00964C75"/>
    <w:rsid w:val="009652A7"/>
    <w:rsid w:val="00965DF9"/>
    <w:rsid w:val="009663A6"/>
    <w:rsid w:val="0096759B"/>
    <w:rsid w:val="00967B66"/>
    <w:rsid w:val="00967D7A"/>
    <w:rsid w:val="00967F37"/>
    <w:rsid w:val="00967F4F"/>
    <w:rsid w:val="00970C8C"/>
    <w:rsid w:val="0097262A"/>
    <w:rsid w:val="009726C6"/>
    <w:rsid w:val="009728A7"/>
    <w:rsid w:val="00973DFC"/>
    <w:rsid w:val="00974BB9"/>
    <w:rsid w:val="009752AC"/>
    <w:rsid w:val="009754AB"/>
    <w:rsid w:val="00975507"/>
    <w:rsid w:val="00975CF7"/>
    <w:rsid w:val="00975FD9"/>
    <w:rsid w:val="00976D36"/>
    <w:rsid w:val="0097758A"/>
    <w:rsid w:val="0097774E"/>
    <w:rsid w:val="009777B2"/>
    <w:rsid w:val="0098088F"/>
    <w:rsid w:val="00980BD3"/>
    <w:rsid w:val="009810F9"/>
    <w:rsid w:val="009813F1"/>
    <w:rsid w:val="00981621"/>
    <w:rsid w:val="0098174D"/>
    <w:rsid w:val="00984072"/>
    <w:rsid w:val="009841B9"/>
    <w:rsid w:val="00984296"/>
    <w:rsid w:val="009844B0"/>
    <w:rsid w:val="009844EA"/>
    <w:rsid w:val="00984707"/>
    <w:rsid w:val="00984F7C"/>
    <w:rsid w:val="00984FD5"/>
    <w:rsid w:val="00986D26"/>
    <w:rsid w:val="00986EB8"/>
    <w:rsid w:val="00987C87"/>
    <w:rsid w:val="0099134C"/>
    <w:rsid w:val="00991E32"/>
    <w:rsid w:val="00991FE0"/>
    <w:rsid w:val="00992F99"/>
    <w:rsid w:val="009930A9"/>
    <w:rsid w:val="0099361E"/>
    <w:rsid w:val="0099395B"/>
    <w:rsid w:val="009942E2"/>
    <w:rsid w:val="00994887"/>
    <w:rsid w:val="00995077"/>
    <w:rsid w:val="0099604F"/>
    <w:rsid w:val="009965A1"/>
    <w:rsid w:val="00997F54"/>
    <w:rsid w:val="009A01E7"/>
    <w:rsid w:val="009A04E1"/>
    <w:rsid w:val="009A05B7"/>
    <w:rsid w:val="009A0D96"/>
    <w:rsid w:val="009A1EDD"/>
    <w:rsid w:val="009A224E"/>
    <w:rsid w:val="009A2AD5"/>
    <w:rsid w:val="009A301C"/>
    <w:rsid w:val="009A3E94"/>
    <w:rsid w:val="009A3F8B"/>
    <w:rsid w:val="009A4B53"/>
    <w:rsid w:val="009A4BD5"/>
    <w:rsid w:val="009A5366"/>
    <w:rsid w:val="009A545C"/>
    <w:rsid w:val="009A573C"/>
    <w:rsid w:val="009A7A75"/>
    <w:rsid w:val="009A7E2E"/>
    <w:rsid w:val="009B25AC"/>
    <w:rsid w:val="009B25F3"/>
    <w:rsid w:val="009B2F5E"/>
    <w:rsid w:val="009B2FB9"/>
    <w:rsid w:val="009B3844"/>
    <w:rsid w:val="009B38F3"/>
    <w:rsid w:val="009B3CB3"/>
    <w:rsid w:val="009B3CF6"/>
    <w:rsid w:val="009B4284"/>
    <w:rsid w:val="009B4343"/>
    <w:rsid w:val="009B4A60"/>
    <w:rsid w:val="009B4EEE"/>
    <w:rsid w:val="009B52A6"/>
    <w:rsid w:val="009B57BA"/>
    <w:rsid w:val="009B5A6C"/>
    <w:rsid w:val="009B6042"/>
    <w:rsid w:val="009B60CF"/>
    <w:rsid w:val="009B6277"/>
    <w:rsid w:val="009B6FE0"/>
    <w:rsid w:val="009B75FF"/>
    <w:rsid w:val="009C0276"/>
    <w:rsid w:val="009C1149"/>
    <w:rsid w:val="009C1C1D"/>
    <w:rsid w:val="009C2407"/>
    <w:rsid w:val="009C2BA8"/>
    <w:rsid w:val="009C4311"/>
    <w:rsid w:val="009C432D"/>
    <w:rsid w:val="009C46AB"/>
    <w:rsid w:val="009C4AF9"/>
    <w:rsid w:val="009C5299"/>
    <w:rsid w:val="009C5499"/>
    <w:rsid w:val="009C5546"/>
    <w:rsid w:val="009C6184"/>
    <w:rsid w:val="009C644E"/>
    <w:rsid w:val="009C6A60"/>
    <w:rsid w:val="009C751F"/>
    <w:rsid w:val="009C7C39"/>
    <w:rsid w:val="009D00A0"/>
    <w:rsid w:val="009D015E"/>
    <w:rsid w:val="009D0242"/>
    <w:rsid w:val="009D03C2"/>
    <w:rsid w:val="009D1104"/>
    <w:rsid w:val="009D1C67"/>
    <w:rsid w:val="009D2ADC"/>
    <w:rsid w:val="009D2AE3"/>
    <w:rsid w:val="009D3749"/>
    <w:rsid w:val="009D4175"/>
    <w:rsid w:val="009D4425"/>
    <w:rsid w:val="009D4548"/>
    <w:rsid w:val="009D51DC"/>
    <w:rsid w:val="009D5465"/>
    <w:rsid w:val="009D547B"/>
    <w:rsid w:val="009D6848"/>
    <w:rsid w:val="009D6DEF"/>
    <w:rsid w:val="009E012E"/>
    <w:rsid w:val="009E01EA"/>
    <w:rsid w:val="009E10ED"/>
    <w:rsid w:val="009E15D0"/>
    <w:rsid w:val="009E2B85"/>
    <w:rsid w:val="009E354B"/>
    <w:rsid w:val="009E3715"/>
    <w:rsid w:val="009E4292"/>
    <w:rsid w:val="009E4688"/>
    <w:rsid w:val="009E5E00"/>
    <w:rsid w:val="009E6076"/>
    <w:rsid w:val="009E64D5"/>
    <w:rsid w:val="009E6519"/>
    <w:rsid w:val="009E6E53"/>
    <w:rsid w:val="009E7C10"/>
    <w:rsid w:val="009F02F1"/>
    <w:rsid w:val="009F040E"/>
    <w:rsid w:val="009F0CD1"/>
    <w:rsid w:val="009F1ABA"/>
    <w:rsid w:val="009F1E71"/>
    <w:rsid w:val="009F318F"/>
    <w:rsid w:val="009F3377"/>
    <w:rsid w:val="009F397B"/>
    <w:rsid w:val="009F40B5"/>
    <w:rsid w:val="009F4A3B"/>
    <w:rsid w:val="009F4F68"/>
    <w:rsid w:val="009F52B9"/>
    <w:rsid w:val="009F52C1"/>
    <w:rsid w:val="009F5C06"/>
    <w:rsid w:val="009F5CCF"/>
    <w:rsid w:val="009F6770"/>
    <w:rsid w:val="009F7ADB"/>
    <w:rsid w:val="009F7B63"/>
    <w:rsid w:val="00A004C0"/>
    <w:rsid w:val="00A0096A"/>
    <w:rsid w:val="00A00A6F"/>
    <w:rsid w:val="00A01A9D"/>
    <w:rsid w:val="00A01E36"/>
    <w:rsid w:val="00A024D9"/>
    <w:rsid w:val="00A03B45"/>
    <w:rsid w:val="00A03F3D"/>
    <w:rsid w:val="00A04306"/>
    <w:rsid w:val="00A04762"/>
    <w:rsid w:val="00A058A1"/>
    <w:rsid w:val="00A05923"/>
    <w:rsid w:val="00A06E82"/>
    <w:rsid w:val="00A1090B"/>
    <w:rsid w:val="00A11083"/>
    <w:rsid w:val="00A11486"/>
    <w:rsid w:val="00A12046"/>
    <w:rsid w:val="00A12575"/>
    <w:rsid w:val="00A138C8"/>
    <w:rsid w:val="00A14915"/>
    <w:rsid w:val="00A14DBD"/>
    <w:rsid w:val="00A14E51"/>
    <w:rsid w:val="00A1623B"/>
    <w:rsid w:val="00A163DD"/>
    <w:rsid w:val="00A164FD"/>
    <w:rsid w:val="00A16BE8"/>
    <w:rsid w:val="00A17B60"/>
    <w:rsid w:val="00A2054F"/>
    <w:rsid w:val="00A20830"/>
    <w:rsid w:val="00A221C2"/>
    <w:rsid w:val="00A2221A"/>
    <w:rsid w:val="00A22EE9"/>
    <w:rsid w:val="00A23A95"/>
    <w:rsid w:val="00A24AAC"/>
    <w:rsid w:val="00A24FF6"/>
    <w:rsid w:val="00A25098"/>
    <w:rsid w:val="00A2544C"/>
    <w:rsid w:val="00A25679"/>
    <w:rsid w:val="00A25939"/>
    <w:rsid w:val="00A2606F"/>
    <w:rsid w:val="00A264E9"/>
    <w:rsid w:val="00A26686"/>
    <w:rsid w:val="00A27963"/>
    <w:rsid w:val="00A32018"/>
    <w:rsid w:val="00A3215B"/>
    <w:rsid w:val="00A32493"/>
    <w:rsid w:val="00A324C2"/>
    <w:rsid w:val="00A32AFB"/>
    <w:rsid w:val="00A3377A"/>
    <w:rsid w:val="00A33F1B"/>
    <w:rsid w:val="00A34028"/>
    <w:rsid w:val="00A34928"/>
    <w:rsid w:val="00A34D92"/>
    <w:rsid w:val="00A3511C"/>
    <w:rsid w:val="00A3550E"/>
    <w:rsid w:val="00A35C42"/>
    <w:rsid w:val="00A35D7E"/>
    <w:rsid w:val="00A35DC3"/>
    <w:rsid w:val="00A3670F"/>
    <w:rsid w:val="00A36C84"/>
    <w:rsid w:val="00A40B9D"/>
    <w:rsid w:val="00A4102D"/>
    <w:rsid w:val="00A41FFA"/>
    <w:rsid w:val="00A4261E"/>
    <w:rsid w:val="00A42AF0"/>
    <w:rsid w:val="00A42DE9"/>
    <w:rsid w:val="00A43040"/>
    <w:rsid w:val="00A4308B"/>
    <w:rsid w:val="00A43491"/>
    <w:rsid w:val="00A43E13"/>
    <w:rsid w:val="00A43EB4"/>
    <w:rsid w:val="00A4442A"/>
    <w:rsid w:val="00A444E5"/>
    <w:rsid w:val="00A45461"/>
    <w:rsid w:val="00A45F8F"/>
    <w:rsid w:val="00A46AD7"/>
    <w:rsid w:val="00A471D8"/>
    <w:rsid w:val="00A50450"/>
    <w:rsid w:val="00A5084D"/>
    <w:rsid w:val="00A50D0D"/>
    <w:rsid w:val="00A51974"/>
    <w:rsid w:val="00A51C3D"/>
    <w:rsid w:val="00A5212B"/>
    <w:rsid w:val="00A5225D"/>
    <w:rsid w:val="00A52A91"/>
    <w:rsid w:val="00A53AD7"/>
    <w:rsid w:val="00A53B0E"/>
    <w:rsid w:val="00A53EF7"/>
    <w:rsid w:val="00A54513"/>
    <w:rsid w:val="00A54903"/>
    <w:rsid w:val="00A54B16"/>
    <w:rsid w:val="00A55145"/>
    <w:rsid w:val="00A5565C"/>
    <w:rsid w:val="00A55B1D"/>
    <w:rsid w:val="00A55EFB"/>
    <w:rsid w:val="00A5604A"/>
    <w:rsid w:val="00A5729F"/>
    <w:rsid w:val="00A5768E"/>
    <w:rsid w:val="00A57C44"/>
    <w:rsid w:val="00A60071"/>
    <w:rsid w:val="00A605A7"/>
    <w:rsid w:val="00A60670"/>
    <w:rsid w:val="00A60E2D"/>
    <w:rsid w:val="00A6101C"/>
    <w:rsid w:val="00A61514"/>
    <w:rsid w:val="00A6221A"/>
    <w:rsid w:val="00A6297A"/>
    <w:rsid w:val="00A6319E"/>
    <w:rsid w:val="00A63A00"/>
    <w:rsid w:val="00A6403A"/>
    <w:rsid w:val="00A64F79"/>
    <w:rsid w:val="00A64FFB"/>
    <w:rsid w:val="00A6517E"/>
    <w:rsid w:val="00A65A4E"/>
    <w:rsid w:val="00A65C1F"/>
    <w:rsid w:val="00A666B7"/>
    <w:rsid w:val="00A674A7"/>
    <w:rsid w:val="00A676E8"/>
    <w:rsid w:val="00A67F17"/>
    <w:rsid w:val="00A7047B"/>
    <w:rsid w:val="00A70ECC"/>
    <w:rsid w:val="00A717BA"/>
    <w:rsid w:val="00A71829"/>
    <w:rsid w:val="00A71A46"/>
    <w:rsid w:val="00A724A8"/>
    <w:rsid w:val="00A72991"/>
    <w:rsid w:val="00A72CAD"/>
    <w:rsid w:val="00A73D7C"/>
    <w:rsid w:val="00A754BA"/>
    <w:rsid w:val="00A7603E"/>
    <w:rsid w:val="00A7667D"/>
    <w:rsid w:val="00A77866"/>
    <w:rsid w:val="00A779F7"/>
    <w:rsid w:val="00A77ADB"/>
    <w:rsid w:val="00A809CD"/>
    <w:rsid w:val="00A80BDD"/>
    <w:rsid w:val="00A81B19"/>
    <w:rsid w:val="00A82581"/>
    <w:rsid w:val="00A83EEB"/>
    <w:rsid w:val="00A83F52"/>
    <w:rsid w:val="00A8429A"/>
    <w:rsid w:val="00A84B08"/>
    <w:rsid w:val="00A84D8A"/>
    <w:rsid w:val="00A85268"/>
    <w:rsid w:val="00A85F1A"/>
    <w:rsid w:val="00A862A4"/>
    <w:rsid w:val="00A8644F"/>
    <w:rsid w:val="00A867E5"/>
    <w:rsid w:val="00A90714"/>
    <w:rsid w:val="00A909FF"/>
    <w:rsid w:val="00A90B5C"/>
    <w:rsid w:val="00A911B3"/>
    <w:rsid w:val="00A91A45"/>
    <w:rsid w:val="00A91A9B"/>
    <w:rsid w:val="00A91D12"/>
    <w:rsid w:val="00A91F0E"/>
    <w:rsid w:val="00A91F47"/>
    <w:rsid w:val="00A9228C"/>
    <w:rsid w:val="00A92563"/>
    <w:rsid w:val="00A93D33"/>
    <w:rsid w:val="00A94073"/>
    <w:rsid w:val="00A94222"/>
    <w:rsid w:val="00A94330"/>
    <w:rsid w:val="00A95910"/>
    <w:rsid w:val="00A962B2"/>
    <w:rsid w:val="00A966F7"/>
    <w:rsid w:val="00A96D92"/>
    <w:rsid w:val="00A970CA"/>
    <w:rsid w:val="00A9745B"/>
    <w:rsid w:val="00A97978"/>
    <w:rsid w:val="00A97D74"/>
    <w:rsid w:val="00AA16B0"/>
    <w:rsid w:val="00AA196C"/>
    <w:rsid w:val="00AA1D96"/>
    <w:rsid w:val="00AA20EA"/>
    <w:rsid w:val="00AA27C6"/>
    <w:rsid w:val="00AA2D5B"/>
    <w:rsid w:val="00AA2E86"/>
    <w:rsid w:val="00AA2EA4"/>
    <w:rsid w:val="00AA2EF3"/>
    <w:rsid w:val="00AA36CB"/>
    <w:rsid w:val="00AA3AC3"/>
    <w:rsid w:val="00AA3CBB"/>
    <w:rsid w:val="00AA4315"/>
    <w:rsid w:val="00AA4EDF"/>
    <w:rsid w:val="00AA5347"/>
    <w:rsid w:val="00AA58AF"/>
    <w:rsid w:val="00AA5C38"/>
    <w:rsid w:val="00AA6398"/>
    <w:rsid w:val="00AA6A0C"/>
    <w:rsid w:val="00AA70CA"/>
    <w:rsid w:val="00AA7EA4"/>
    <w:rsid w:val="00AA7F4E"/>
    <w:rsid w:val="00AB1462"/>
    <w:rsid w:val="00AB17C8"/>
    <w:rsid w:val="00AB193B"/>
    <w:rsid w:val="00AB1E9A"/>
    <w:rsid w:val="00AB33CF"/>
    <w:rsid w:val="00AB3FCF"/>
    <w:rsid w:val="00AB44F6"/>
    <w:rsid w:val="00AB47F8"/>
    <w:rsid w:val="00AB4897"/>
    <w:rsid w:val="00AB633B"/>
    <w:rsid w:val="00AB661A"/>
    <w:rsid w:val="00AB6AB1"/>
    <w:rsid w:val="00AB714F"/>
    <w:rsid w:val="00AB7171"/>
    <w:rsid w:val="00AC0853"/>
    <w:rsid w:val="00AC1262"/>
    <w:rsid w:val="00AC1C1D"/>
    <w:rsid w:val="00AC2097"/>
    <w:rsid w:val="00AC2CFB"/>
    <w:rsid w:val="00AC3255"/>
    <w:rsid w:val="00AC34ED"/>
    <w:rsid w:val="00AC3625"/>
    <w:rsid w:val="00AC368C"/>
    <w:rsid w:val="00AC3F03"/>
    <w:rsid w:val="00AC4FB3"/>
    <w:rsid w:val="00AC583A"/>
    <w:rsid w:val="00AC5BBF"/>
    <w:rsid w:val="00AC7042"/>
    <w:rsid w:val="00AC7723"/>
    <w:rsid w:val="00AC7862"/>
    <w:rsid w:val="00AD1347"/>
    <w:rsid w:val="00AD1BEE"/>
    <w:rsid w:val="00AD1D44"/>
    <w:rsid w:val="00AD35C5"/>
    <w:rsid w:val="00AD3CD2"/>
    <w:rsid w:val="00AD40F1"/>
    <w:rsid w:val="00AD4E10"/>
    <w:rsid w:val="00AD5785"/>
    <w:rsid w:val="00AD6558"/>
    <w:rsid w:val="00AD7DB0"/>
    <w:rsid w:val="00AE0C66"/>
    <w:rsid w:val="00AE0FBD"/>
    <w:rsid w:val="00AE1677"/>
    <w:rsid w:val="00AE1827"/>
    <w:rsid w:val="00AE1D1D"/>
    <w:rsid w:val="00AE1F33"/>
    <w:rsid w:val="00AE215F"/>
    <w:rsid w:val="00AE2486"/>
    <w:rsid w:val="00AE2577"/>
    <w:rsid w:val="00AE2EED"/>
    <w:rsid w:val="00AE384E"/>
    <w:rsid w:val="00AE3AC8"/>
    <w:rsid w:val="00AE4686"/>
    <w:rsid w:val="00AE47C5"/>
    <w:rsid w:val="00AE5484"/>
    <w:rsid w:val="00AE5925"/>
    <w:rsid w:val="00AE5D9F"/>
    <w:rsid w:val="00AE6061"/>
    <w:rsid w:val="00AE6269"/>
    <w:rsid w:val="00AF0223"/>
    <w:rsid w:val="00AF0284"/>
    <w:rsid w:val="00AF26BC"/>
    <w:rsid w:val="00AF31B1"/>
    <w:rsid w:val="00AF3234"/>
    <w:rsid w:val="00AF45B3"/>
    <w:rsid w:val="00AF4829"/>
    <w:rsid w:val="00AF5B66"/>
    <w:rsid w:val="00AF6CD3"/>
    <w:rsid w:val="00AF74C2"/>
    <w:rsid w:val="00AF761D"/>
    <w:rsid w:val="00AF7A2E"/>
    <w:rsid w:val="00AF7B97"/>
    <w:rsid w:val="00B003FD"/>
    <w:rsid w:val="00B00BDC"/>
    <w:rsid w:val="00B01067"/>
    <w:rsid w:val="00B018A2"/>
    <w:rsid w:val="00B01A9F"/>
    <w:rsid w:val="00B01B0B"/>
    <w:rsid w:val="00B01B14"/>
    <w:rsid w:val="00B01BD8"/>
    <w:rsid w:val="00B01CA9"/>
    <w:rsid w:val="00B023B7"/>
    <w:rsid w:val="00B03076"/>
    <w:rsid w:val="00B045BA"/>
    <w:rsid w:val="00B04876"/>
    <w:rsid w:val="00B0532B"/>
    <w:rsid w:val="00B05857"/>
    <w:rsid w:val="00B05E82"/>
    <w:rsid w:val="00B05F12"/>
    <w:rsid w:val="00B06CCA"/>
    <w:rsid w:val="00B076F9"/>
    <w:rsid w:val="00B07832"/>
    <w:rsid w:val="00B07D1C"/>
    <w:rsid w:val="00B07FE0"/>
    <w:rsid w:val="00B103D3"/>
    <w:rsid w:val="00B104D2"/>
    <w:rsid w:val="00B1070F"/>
    <w:rsid w:val="00B10B0E"/>
    <w:rsid w:val="00B1130A"/>
    <w:rsid w:val="00B114F4"/>
    <w:rsid w:val="00B11A39"/>
    <w:rsid w:val="00B11B5D"/>
    <w:rsid w:val="00B11C31"/>
    <w:rsid w:val="00B12592"/>
    <w:rsid w:val="00B140C9"/>
    <w:rsid w:val="00B1427F"/>
    <w:rsid w:val="00B14486"/>
    <w:rsid w:val="00B14518"/>
    <w:rsid w:val="00B14581"/>
    <w:rsid w:val="00B15834"/>
    <w:rsid w:val="00B15C5A"/>
    <w:rsid w:val="00B1600E"/>
    <w:rsid w:val="00B164BC"/>
    <w:rsid w:val="00B16528"/>
    <w:rsid w:val="00B16572"/>
    <w:rsid w:val="00B1663F"/>
    <w:rsid w:val="00B16B8E"/>
    <w:rsid w:val="00B17195"/>
    <w:rsid w:val="00B17A69"/>
    <w:rsid w:val="00B17B2F"/>
    <w:rsid w:val="00B20218"/>
    <w:rsid w:val="00B2086F"/>
    <w:rsid w:val="00B20BD5"/>
    <w:rsid w:val="00B216E0"/>
    <w:rsid w:val="00B217EB"/>
    <w:rsid w:val="00B21A66"/>
    <w:rsid w:val="00B21FB3"/>
    <w:rsid w:val="00B22430"/>
    <w:rsid w:val="00B22481"/>
    <w:rsid w:val="00B23FB1"/>
    <w:rsid w:val="00B244EE"/>
    <w:rsid w:val="00B2467D"/>
    <w:rsid w:val="00B24914"/>
    <w:rsid w:val="00B26136"/>
    <w:rsid w:val="00B26518"/>
    <w:rsid w:val="00B26901"/>
    <w:rsid w:val="00B27A2D"/>
    <w:rsid w:val="00B3079D"/>
    <w:rsid w:val="00B30B19"/>
    <w:rsid w:val="00B30B94"/>
    <w:rsid w:val="00B31C14"/>
    <w:rsid w:val="00B31E21"/>
    <w:rsid w:val="00B32784"/>
    <w:rsid w:val="00B33640"/>
    <w:rsid w:val="00B343DF"/>
    <w:rsid w:val="00B34432"/>
    <w:rsid w:val="00B34767"/>
    <w:rsid w:val="00B34FF4"/>
    <w:rsid w:val="00B363D8"/>
    <w:rsid w:val="00B36B04"/>
    <w:rsid w:val="00B36D02"/>
    <w:rsid w:val="00B402B2"/>
    <w:rsid w:val="00B406DB"/>
    <w:rsid w:val="00B4131F"/>
    <w:rsid w:val="00B4136C"/>
    <w:rsid w:val="00B41D06"/>
    <w:rsid w:val="00B43CB9"/>
    <w:rsid w:val="00B44693"/>
    <w:rsid w:val="00B449FF"/>
    <w:rsid w:val="00B44C0A"/>
    <w:rsid w:val="00B4578C"/>
    <w:rsid w:val="00B460DC"/>
    <w:rsid w:val="00B463B8"/>
    <w:rsid w:val="00B466C6"/>
    <w:rsid w:val="00B46DD4"/>
    <w:rsid w:val="00B47A4F"/>
    <w:rsid w:val="00B47B85"/>
    <w:rsid w:val="00B50367"/>
    <w:rsid w:val="00B50446"/>
    <w:rsid w:val="00B504ED"/>
    <w:rsid w:val="00B51035"/>
    <w:rsid w:val="00B5124B"/>
    <w:rsid w:val="00B517B4"/>
    <w:rsid w:val="00B51856"/>
    <w:rsid w:val="00B525C0"/>
    <w:rsid w:val="00B52838"/>
    <w:rsid w:val="00B52D81"/>
    <w:rsid w:val="00B536FC"/>
    <w:rsid w:val="00B53E6D"/>
    <w:rsid w:val="00B54834"/>
    <w:rsid w:val="00B55646"/>
    <w:rsid w:val="00B5613B"/>
    <w:rsid w:val="00B56D44"/>
    <w:rsid w:val="00B57428"/>
    <w:rsid w:val="00B5771A"/>
    <w:rsid w:val="00B57DD0"/>
    <w:rsid w:val="00B61A02"/>
    <w:rsid w:val="00B61E74"/>
    <w:rsid w:val="00B6291E"/>
    <w:rsid w:val="00B62BC5"/>
    <w:rsid w:val="00B62E28"/>
    <w:rsid w:val="00B630B7"/>
    <w:rsid w:val="00B63433"/>
    <w:rsid w:val="00B634B4"/>
    <w:rsid w:val="00B63E7E"/>
    <w:rsid w:val="00B64CA4"/>
    <w:rsid w:val="00B652B1"/>
    <w:rsid w:val="00B663B4"/>
    <w:rsid w:val="00B66506"/>
    <w:rsid w:val="00B66645"/>
    <w:rsid w:val="00B666E5"/>
    <w:rsid w:val="00B669E0"/>
    <w:rsid w:val="00B672EC"/>
    <w:rsid w:val="00B67CFD"/>
    <w:rsid w:val="00B704C1"/>
    <w:rsid w:val="00B70540"/>
    <w:rsid w:val="00B711B8"/>
    <w:rsid w:val="00B711DF"/>
    <w:rsid w:val="00B7178C"/>
    <w:rsid w:val="00B71F27"/>
    <w:rsid w:val="00B72154"/>
    <w:rsid w:val="00B7241E"/>
    <w:rsid w:val="00B72DC8"/>
    <w:rsid w:val="00B7331C"/>
    <w:rsid w:val="00B737DA"/>
    <w:rsid w:val="00B73A5E"/>
    <w:rsid w:val="00B74DA3"/>
    <w:rsid w:val="00B7607A"/>
    <w:rsid w:val="00B7610E"/>
    <w:rsid w:val="00B762D6"/>
    <w:rsid w:val="00B767A4"/>
    <w:rsid w:val="00B77C07"/>
    <w:rsid w:val="00B77C25"/>
    <w:rsid w:val="00B77D72"/>
    <w:rsid w:val="00B77F5D"/>
    <w:rsid w:val="00B80623"/>
    <w:rsid w:val="00B80FE2"/>
    <w:rsid w:val="00B8114F"/>
    <w:rsid w:val="00B81187"/>
    <w:rsid w:val="00B81732"/>
    <w:rsid w:val="00B82FAF"/>
    <w:rsid w:val="00B83768"/>
    <w:rsid w:val="00B840DA"/>
    <w:rsid w:val="00B8424C"/>
    <w:rsid w:val="00B8488F"/>
    <w:rsid w:val="00B84CB0"/>
    <w:rsid w:val="00B84D1E"/>
    <w:rsid w:val="00B84F26"/>
    <w:rsid w:val="00B854E7"/>
    <w:rsid w:val="00B85A8F"/>
    <w:rsid w:val="00B85E26"/>
    <w:rsid w:val="00B8618D"/>
    <w:rsid w:val="00B86AFB"/>
    <w:rsid w:val="00B86B5D"/>
    <w:rsid w:val="00B86B9F"/>
    <w:rsid w:val="00B87196"/>
    <w:rsid w:val="00B87717"/>
    <w:rsid w:val="00B87D72"/>
    <w:rsid w:val="00B9023A"/>
    <w:rsid w:val="00B9079E"/>
    <w:rsid w:val="00B90C8B"/>
    <w:rsid w:val="00B91039"/>
    <w:rsid w:val="00B92454"/>
    <w:rsid w:val="00B93650"/>
    <w:rsid w:val="00B949DC"/>
    <w:rsid w:val="00B94E90"/>
    <w:rsid w:val="00B94F8D"/>
    <w:rsid w:val="00B950DE"/>
    <w:rsid w:val="00B95122"/>
    <w:rsid w:val="00B951F6"/>
    <w:rsid w:val="00B9573C"/>
    <w:rsid w:val="00B9578B"/>
    <w:rsid w:val="00B9676C"/>
    <w:rsid w:val="00B96978"/>
    <w:rsid w:val="00B96A40"/>
    <w:rsid w:val="00B978B3"/>
    <w:rsid w:val="00B97F5C"/>
    <w:rsid w:val="00BA037D"/>
    <w:rsid w:val="00BA0E4B"/>
    <w:rsid w:val="00BA20CF"/>
    <w:rsid w:val="00BA2CFB"/>
    <w:rsid w:val="00BA394E"/>
    <w:rsid w:val="00BA396D"/>
    <w:rsid w:val="00BA4D32"/>
    <w:rsid w:val="00BA5367"/>
    <w:rsid w:val="00BA5808"/>
    <w:rsid w:val="00BA652D"/>
    <w:rsid w:val="00BA696E"/>
    <w:rsid w:val="00BA7475"/>
    <w:rsid w:val="00BA7698"/>
    <w:rsid w:val="00BA7C95"/>
    <w:rsid w:val="00BB01BE"/>
    <w:rsid w:val="00BB0656"/>
    <w:rsid w:val="00BB099E"/>
    <w:rsid w:val="00BB0D7C"/>
    <w:rsid w:val="00BB1B00"/>
    <w:rsid w:val="00BB2E8A"/>
    <w:rsid w:val="00BB3822"/>
    <w:rsid w:val="00BB383F"/>
    <w:rsid w:val="00BB4204"/>
    <w:rsid w:val="00BB45D8"/>
    <w:rsid w:val="00BB47D4"/>
    <w:rsid w:val="00BB4A43"/>
    <w:rsid w:val="00BB5C08"/>
    <w:rsid w:val="00BB5E59"/>
    <w:rsid w:val="00BB7AAF"/>
    <w:rsid w:val="00BC0F61"/>
    <w:rsid w:val="00BC127D"/>
    <w:rsid w:val="00BC18E2"/>
    <w:rsid w:val="00BC29DA"/>
    <w:rsid w:val="00BC327D"/>
    <w:rsid w:val="00BC3917"/>
    <w:rsid w:val="00BC440D"/>
    <w:rsid w:val="00BC466C"/>
    <w:rsid w:val="00BC4E1E"/>
    <w:rsid w:val="00BC5937"/>
    <w:rsid w:val="00BC5FE5"/>
    <w:rsid w:val="00BC72C9"/>
    <w:rsid w:val="00BC7BD7"/>
    <w:rsid w:val="00BC7DA9"/>
    <w:rsid w:val="00BC7F94"/>
    <w:rsid w:val="00BD0F13"/>
    <w:rsid w:val="00BD1F5A"/>
    <w:rsid w:val="00BD306E"/>
    <w:rsid w:val="00BD32BA"/>
    <w:rsid w:val="00BD3519"/>
    <w:rsid w:val="00BD3644"/>
    <w:rsid w:val="00BD3709"/>
    <w:rsid w:val="00BD3D6A"/>
    <w:rsid w:val="00BD4ED4"/>
    <w:rsid w:val="00BD4FD0"/>
    <w:rsid w:val="00BD6173"/>
    <w:rsid w:val="00BD6AF0"/>
    <w:rsid w:val="00BD776B"/>
    <w:rsid w:val="00BD778F"/>
    <w:rsid w:val="00BD7893"/>
    <w:rsid w:val="00BD7C31"/>
    <w:rsid w:val="00BD7D7D"/>
    <w:rsid w:val="00BE02CB"/>
    <w:rsid w:val="00BE0F8E"/>
    <w:rsid w:val="00BE1984"/>
    <w:rsid w:val="00BE1989"/>
    <w:rsid w:val="00BE1DBC"/>
    <w:rsid w:val="00BE23DA"/>
    <w:rsid w:val="00BE27FC"/>
    <w:rsid w:val="00BE2A8D"/>
    <w:rsid w:val="00BE3723"/>
    <w:rsid w:val="00BE436B"/>
    <w:rsid w:val="00BE4810"/>
    <w:rsid w:val="00BE4DBB"/>
    <w:rsid w:val="00BE5B3D"/>
    <w:rsid w:val="00BE5F8E"/>
    <w:rsid w:val="00BE6597"/>
    <w:rsid w:val="00BE6840"/>
    <w:rsid w:val="00BE6D58"/>
    <w:rsid w:val="00BE6F3A"/>
    <w:rsid w:val="00BE7E8E"/>
    <w:rsid w:val="00BF0117"/>
    <w:rsid w:val="00BF01CE"/>
    <w:rsid w:val="00BF03F3"/>
    <w:rsid w:val="00BF0610"/>
    <w:rsid w:val="00BF0C46"/>
    <w:rsid w:val="00BF144D"/>
    <w:rsid w:val="00BF1B7F"/>
    <w:rsid w:val="00BF2FD9"/>
    <w:rsid w:val="00BF3F83"/>
    <w:rsid w:val="00BF44FF"/>
    <w:rsid w:val="00BF4811"/>
    <w:rsid w:val="00BF5045"/>
    <w:rsid w:val="00BF54CF"/>
    <w:rsid w:val="00BF54D1"/>
    <w:rsid w:val="00BF5C34"/>
    <w:rsid w:val="00BF5CE6"/>
    <w:rsid w:val="00BF5D6C"/>
    <w:rsid w:val="00BF6243"/>
    <w:rsid w:val="00BF68A9"/>
    <w:rsid w:val="00BF717F"/>
    <w:rsid w:val="00BF7E0B"/>
    <w:rsid w:val="00C001FB"/>
    <w:rsid w:val="00C005AB"/>
    <w:rsid w:val="00C01460"/>
    <w:rsid w:val="00C018DD"/>
    <w:rsid w:val="00C019C6"/>
    <w:rsid w:val="00C025E4"/>
    <w:rsid w:val="00C0269B"/>
    <w:rsid w:val="00C026C6"/>
    <w:rsid w:val="00C02B52"/>
    <w:rsid w:val="00C02CD2"/>
    <w:rsid w:val="00C037B4"/>
    <w:rsid w:val="00C03956"/>
    <w:rsid w:val="00C03BCF"/>
    <w:rsid w:val="00C04328"/>
    <w:rsid w:val="00C0485F"/>
    <w:rsid w:val="00C057CF"/>
    <w:rsid w:val="00C05876"/>
    <w:rsid w:val="00C06120"/>
    <w:rsid w:val="00C06739"/>
    <w:rsid w:val="00C0674A"/>
    <w:rsid w:val="00C06BF3"/>
    <w:rsid w:val="00C0710F"/>
    <w:rsid w:val="00C0746E"/>
    <w:rsid w:val="00C07D1B"/>
    <w:rsid w:val="00C10340"/>
    <w:rsid w:val="00C1081B"/>
    <w:rsid w:val="00C10998"/>
    <w:rsid w:val="00C11AE8"/>
    <w:rsid w:val="00C12F6B"/>
    <w:rsid w:val="00C1312A"/>
    <w:rsid w:val="00C151D1"/>
    <w:rsid w:val="00C15556"/>
    <w:rsid w:val="00C15BA0"/>
    <w:rsid w:val="00C15EDA"/>
    <w:rsid w:val="00C167B8"/>
    <w:rsid w:val="00C16FCE"/>
    <w:rsid w:val="00C1715A"/>
    <w:rsid w:val="00C174A5"/>
    <w:rsid w:val="00C1792D"/>
    <w:rsid w:val="00C214B2"/>
    <w:rsid w:val="00C2162D"/>
    <w:rsid w:val="00C219CA"/>
    <w:rsid w:val="00C230F1"/>
    <w:rsid w:val="00C238CE"/>
    <w:rsid w:val="00C23C4E"/>
    <w:rsid w:val="00C23DE4"/>
    <w:rsid w:val="00C23DF6"/>
    <w:rsid w:val="00C2447E"/>
    <w:rsid w:val="00C24CBB"/>
    <w:rsid w:val="00C25AEB"/>
    <w:rsid w:val="00C269A5"/>
    <w:rsid w:val="00C26D83"/>
    <w:rsid w:val="00C270AE"/>
    <w:rsid w:val="00C3195D"/>
    <w:rsid w:val="00C31B0B"/>
    <w:rsid w:val="00C32116"/>
    <w:rsid w:val="00C32DA2"/>
    <w:rsid w:val="00C33362"/>
    <w:rsid w:val="00C33CBE"/>
    <w:rsid w:val="00C3431C"/>
    <w:rsid w:val="00C344B1"/>
    <w:rsid w:val="00C34BC8"/>
    <w:rsid w:val="00C34DC1"/>
    <w:rsid w:val="00C3504B"/>
    <w:rsid w:val="00C353C8"/>
    <w:rsid w:val="00C356EB"/>
    <w:rsid w:val="00C35CF3"/>
    <w:rsid w:val="00C35DF4"/>
    <w:rsid w:val="00C3650D"/>
    <w:rsid w:val="00C36575"/>
    <w:rsid w:val="00C365A6"/>
    <w:rsid w:val="00C368CE"/>
    <w:rsid w:val="00C36E8C"/>
    <w:rsid w:val="00C37543"/>
    <w:rsid w:val="00C37829"/>
    <w:rsid w:val="00C403A6"/>
    <w:rsid w:val="00C403E3"/>
    <w:rsid w:val="00C40BA1"/>
    <w:rsid w:val="00C41230"/>
    <w:rsid w:val="00C41B84"/>
    <w:rsid w:val="00C429B4"/>
    <w:rsid w:val="00C42A9A"/>
    <w:rsid w:val="00C42FC5"/>
    <w:rsid w:val="00C434E5"/>
    <w:rsid w:val="00C43A64"/>
    <w:rsid w:val="00C43EFA"/>
    <w:rsid w:val="00C45FEB"/>
    <w:rsid w:val="00C46605"/>
    <w:rsid w:val="00C474ED"/>
    <w:rsid w:val="00C50093"/>
    <w:rsid w:val="00C509A4"/>
    <w:rsid w:val="00C50B64"/>
    <w:rsid w:val="00C51774"/>
    <w:rsid w:val="00C51BB4"/>
    <w:rsid w:val="00C51EF2"/>
    <w:rsid w:val="00C52EFF"/>
    <w:rsid w:val="00C532B2"/>
    <w:rsid w:val="00C53FA2"/>
    <w:rsid w:val="00C54186"/>
    <w:rsid w:val="00C545A8"/>
    <w:rsid w:val="00C5509C"/>
    <w:rsid w:val="00C56297"/>
    <w:rsid w:val="00C56911"/>
    <w:rsid w:val="00C56967"/>
    <w:rsid w:val="00C57439"/>
    <w:rsid w:val="00C6043F"/>
    <w:rsid w:val="00C60B69"/>
    <w:rsid w:val="00C60DB6"/>
    <w:rsid w:val="00C62F28"/>
    <w:rsid w:val="00C632A9"/>
    <w:rsid w:val="00C63613"/>
    <w:rsid w:val="00C63909"/>
    <w:rsid w:val="00C63FAB"/>
    <w:rsid w:val="00C64E15"/>
    <w:rsid w:val="00C64EA5"/>
    <w:rsid w:val="00C6625D"/>
    <w:rsid w:val="00C6645F"/>
    <w:rsid w:val="00C67246"/>
    <w:rsid w:val="00C67395"/>
    <w:rsid w:val="00C67851"/>
    <w:rsid w:val="00C67956"/>
    <w:rsid w:val="00C67AEB"/>
    <w:rsid w:val="00C70E1E"/>
    <w:rsid w:val="00C70F69"/>
    <w:rsid w:val="00C711EE"/>
    <w:rsid w:val="00C713A4"/>
    <w:rsid w:val="00C7148C"/>
    <w:rsid w:val="00C7190B"/>
    <w:rsid w:val="00C71B6E"/>
    <w:rsid w:val="00C72083"/>
    <w:rsid w:val="00C72ED4"/>
    <w:rsid w:val="00C733CC"/>
    <w:rsid w:val="00C73C74"/>
    <w:rsid w:val="00C73E51"/>
    <w:rsid w:val="00C7500E"/>
    <w:rsid w:val="00C762D9"/>
    <w:rsid w:val="00C77869"/>
    <w:rsid w:val="00C77910"/>
    <w:rsid w:val="00C77C87"/>
    <w:rsid w:val="00C804AA"/>
    <w:rsid w:val="00C80BF3"/>
    <w:rsid w:val="00C81307"/>
    <w:rsid w:val="00C81615"/>
    <w:rsid w:val="00C8179A"/>
    <w:rsid w:val="00C82732"/>
    <w:rsid w:val="00C82908"/>
    <w:rsid w:val="00C82C23"/>
    <w:rsid w:val="00C831AF"/>
    <w:rsid w:val="00C8411A"/>
    <w:rsid w:val="00C8424B"/>
    <w:rsid w:val="00C84A21"/>
    <w:rsid w:val="00C85982"/>
    <w:rsid w:val="00C860B7"/>
    <w:rsid w:val="00C86629"/>
    <w:rsid w:val="00C8727A"/>
    <w:rsid w:val="00C87905"/>
    <w:rsid w:val="00C87DD7"/>
    <w:rsid w:val="00C9001C"/>
    <w:rsid w:val="00C9083C"/>
    <w:rsid w:val="00C926F4"/>
    <w:rsid w:val="00C93C13"/>
    <w:rsid w:val="00C942E8"/>
    <w:rsid w:val="00C94434"/>
    <w:rsid w:val="00C94C75"/>
    <w:rsid w:val="00C94F20"/>
    <w:rsid w:val="00C9522E"/>
    <w:rsid w:val="00C96E3E"/>
    <w:rsid w:val="00C97224"/>
    <w:rsid w:val="00C97734"/>
    <w:rsid w:val="00C97E3D"/>
    <w:rsid w:val="00CA0964"/>
    <w:rsid w:val="00CA1DD6"/>
    <w:rsid w:val="00CA2372"/>
    <w:rsid w:val="00CA2EDC"/>
    <w:rsid w:val="00CA3342"/>
    <w:rsid w:val="00CA396E"/>
    <w:rsid w:val="00CA4244"/>
    <w:rsid w:val="00CA443C"/>
    <w:rsid w:val="00CA4E4F"/>
    <w:rsid w:val="00CA6036"/>
    <w:rsid w:val="00CA6E11"/>
    <w:rsid w:val="00CA74BB"/>
    <w:rsid w:val="00CB0729"/>
    <w:rsid w:val="00CB076D"/>
    <w:rsid w:val="00CB094B"/>
    <w:rsid w:val="00CB18D0"/>
    <w:rsid w:val="00CB1E6D"/>
    <w:rsid w:val="00CB2409"/>
    <w:rsid w:val="00CB3F76"/>
    <w:rsid w:val="00CB3F93"/>
    <w:rsid w:val="00CB4EEE"/>
    <w:rsid w:val="00CB5626"/>
    <w:rsid w:val="00CB5B67"/>
    <w:rsid w:val="00CB61B4"/>
    <w:rsid w:val="00CB7176"/>
    <w:rsid w:val="00CB7371"/>
    <w:rsid w:val="00CB7A7A"/>
    <w:rsid w:val="00CB7AF1"/>
    <w:rsid w:val="00CC04F1"/>
    <w:rsid w:val="00CC18CB"/>
    <w:rsid w:val="00CC1B66"/>
    <w:rsid w:val="00CC24CE"/>
    <w:rsid w:val="00CC2BFD"/>
    <w:rsid w:val="00CC36C8"/>
    <w:rsid w:val="00CC3ADF"/>
    <w:rsid w:val="00CC3FCC"/>
    <w:rsid w:val="00CC4F96"/>
    <w:rsid w:val="00CC52DA"/>
    <w:rsid w:val="00CC69C0"/>
    <w:rsid w:val="00CC6C1C"/>
    <w:rsid w:val="00CC6D47"/>
    <w:rsid w:val="00CC771B"/>
    <w:rsid w:val="00CD0174"/>
    <w:rsid w:val="00CD02CD"/>
    <w:rsid w:val="00CD0C86"/>
    <w:rsid w:val="00CD1000"/>
    <w:rsid w:val="00CD16DC"/>
    <w:rsid w:val="00CD28D0"/>
    <w:rsid w:val="00CD396C"/>
    <w:rsid w:val="00CD39B7"/>
    <w:rsid w:val="00CD3C22"/>
    <w:rsid w:val="00CD419F"/>
    <w:rsid w:val="00CD48D5"/>
    <w:rsid w:val="00CD4F28"/>
    <w:rsid w:val="00CD50C8"/>
    <w:rsid w:val="00CD526F"/>
    <w:rsid w:val="00CD63CD"/>
    <w:rsid w:val="00CD678F"/>
    <w:rsid w:val="00CD692B"/>
    <w:rsid w:val="00CD6EA7"/>
    <w:rsid w:val="00CE040B"/>
    <w:rsid w:val="00CE049F"/>
    <w:rsid w:val="00CE0C1A"/>
    <w:rsid w:val="00CE128F"/>
    <w:rsid w:val="00CE158E"/>
    <w:rsid w:val="00CE17B5"/>
    <w:rsid w:val="00CE1BE0"/>
    <w:rsid w:val="00CE21B8"/>
    <w:rsid w:val="00CE34BD"/>
    <w:rsid w:val="00CE38B2"/>
    <w:rsid w:val="00CE3A08"/>
    <w:rsid w:val="00CE420E"/>
    <w:rsid w:val="00CE49EC"/>
    <w:rsid w:val="00CE4D59"/>
    <w:rsid w:val="00CE50A0"/>
    <w:rsid w:val="00CE54BE"/>
    <w:rsid w:val="00CE5FC9"/>
    <w:rsid w:val="00CE66DF"/>
    <w:rsid w:val="00CE6A90"/>
    <w:rsid w:val="00CE7924"/>
    <w:rsid w:val="00CF0510"/>
    <w:rsid w:val="00CF2826"/>
    <w:rsid w:val="00CF295C"/>
    <w:rsid w:val="00CF2BC5"/>
    <w:rsid w:val="00CF2C41"/>
    <w:rsid w:val="00CF3859"/>
    <w:rsid w:val="00CF4F01"/>
    <w:rsid w:val="00CF571C"/>
    <w:rsid w:val="00D00357"/>
    <w:rsid w:val="00D018C0"/>
    <w:rsid w:val="00D01BDC"/>
    <w:rsid w:val="00D02466"/>
    <w:rsid w:val="00D0373E"/>
    <w:rsid w:val="00D04131"/>
    <w:rsid w:val="00D04318"/>
    <w:rsid w:val="00D044FA"/>
    <w:rsid w:val="00D04AE2"/>
    <w:rsid w:val="00D051C5"/>
    <w:rsid w:val="00D05313"/>
    <w:rsid w:val="00D059EF"/>
    <w:rsid w:val="00D06C04"/>
    <w:rsid w:val="00D06FE8"/>
    <w:rsid w:val="00D07295"/>
    <w:rsid w:val="00D07DF0"/>
    <w:rsid w:val="00D10B7A"/>
    <w:rsid w:val="00D10F2D"/>
    <w:rsid w:val="00D11578"/>
    <w:rsid w:val="00D11788"/>
    <w:rsid w:val="00D117E3"/>
    <w:rsid w:val="00D11DD6"/>
    <w:rsid w:val="00D12689"/>
    <w:rsid w:val="00D12A8B"/>
    <w:rsid w:val="00D12F9A"/>
    <w:rsid w:val="00D130B2"/>
    <w:rsid w:val="00D132D6"/>
    <w:rsid w:val="00D13330"/>
    <w:rsid w:val="00D13B50"/>
    <w:rsid w:val="00D140F6"/>
    <w:rsid w:val="00D153A7"/>
    <w:rsid w:val="00D156AE"/>
    <w:rsid w:val="00D17276"/>
    <w:rsid w:val="00D17489"/>
    <w:rsid w:val="00D2008F"/>
    <w:rsid w:val="00D207BC"/>
    <w:rsid w:val="00D21E68"/>
    <w:rsid w:val="00D224C4"/>
    <w:rsid w:val="00D24615"/>
    <w:rsid w:val="00D24983"/>
    <w:rsid w:val="00D25E96"/>
    <w:rsid w:val="00D26126"/>
    <w:rsid w:val="00D26808"/>
    <w:rsid w:val="00D27099"/>
    <w:rsid w:val="00D27DC9"/>
    <w:rsid w:val="00D308B9"/>
    <w:rsid w:val="00D312FD"/>
    <w:rsid w:val="00D31327"/>
    <w:rsid w:val="00D314AD"/>
    <w:rsid w:val="00D325CD"/>
    <w:rsid w:val="00D32CE5"/>
    <w:rsid w:val="00D337E0"/>
    <w:rsid w:val="00D337FD"/>
    <w:rsid w:val="00D33CA7"/>
    <w:rsid w:val="00D342BE"/>
    <w:rsid w:val="00D358B5"/>
    <w:rsid w:val="00D36EFE"/>
    <w:rsid w:val="00D37214"/>
    <w:rsid w:val="00D37D99"/>
    <w:rsid w:val="00D37E6B"/>
    <w:rsid w:val="00D40BAF"/>
    <w:rsid w:val="00D41537"/>
    <w:rsid w:val="00D41890"/>
    <w:rsid w:val="00D42996"/>
    <w:rsid w:val="00D42A28"/>
    <w:rsid w:val="00D43805"/>
    <w:rsid w:val="00D4439E"/>
    <w:rsid w:val="00D45070"/>
    <w:rsid w:val="00D45186"/>
    <w:rsid w:val="00D452D7"/>
    <w:rsid w:val="00D45BB7"/>
    <w:rsid w:val="00D4647C"/>
    <w:rsid w:val="00D467F7"/>
    <w:rsid w:val="00D46C8D"/>
    <w:rsid w:val="00D4725B"/>
    <w:rsid w:val="00D47EAA"/>
    <w:rsid w:val="00D50394"/>
    <w:rsid w:val="00D5064A"/>
    <w:rsid w:val="00D509A4"/>
    <w:rsid w:val="00D50D0F"/>
    <w:rsid w:val="00D50FA9"/>
    <w:rsid w:val="00D515FC"/>
    <w:rsid w:val="00D51C47"/>
    <w:rsid w:val="00D52AD8"/>
    <w:rsid w:val="00D5406E"/>
    <w:rsid w:val="00D54B4B"/>
    <w:rsid w:val="00D5536B"/>
    <w:rsid w:val="00D55888"/>
    <w:rsid w:val="00D558FA"/>
    <w:rsid w:val="00D55E30"/>
    <w:rsid w:val="00D56E57"/>
    <w:rsid w:val="00D570FC"/>
    <w:rsid w:val="00D57A87"/>
    <w:rsid w:val="00D57EF9"/>
    <w:rsid w:val="00D6028C"/>
    <w:rsid w:val="00D608CE"/>
    <w:rsid w:val="00D609F8"/>
    <w:rsid w:val="00D61945"/>
    <w:rsid w:val="00D620AD"/>
    <w:rsid w:val="00D62202"/>
    <w:rsid w:val="00D62626"/>
    <w:rsid w:val="00D627E8"/>
    <w:rsid w:val="00D632A0"/>
    <w:rsid w:val="00D632E5"/>
    <w:rsid w:val="00D63826"/>
    <w:rsid w:val="00D6432F"/>
    <w:rsid w:val="00D64AB4"/>
    <w:rsid w:val="00D6587F"/>
    <w:rsid w:val="00D65CE3"/>
    <w:rsid w:val="00D66010"/>
    <w:rsid w:val="00D6686C"/>
    <w:rsid w:val="00D671C6"/>
    <w:rsid w:val="00D67A7A"/>
    <w:rsid w:val="00D67BC4"/>
    <w:rsid w:val="00D67C5B"/>
    <w:rsid w:val="00D70009"/>
    <w:rsid w:val="00D70CD3"/>
    <w:rsid w:val="00D70E62"/>
    <w:rsid w:val="00D7166F"/>
    <w:rsid w:val="00D72CCB"/>
    <w:rsid w:val="00D72DDA"/>
    <w:rsid w:val="00D73C22"/>
    <w:rsid w:val="00D7469B"/>
    <w:rsid w:val="00D748C9"/>
    <w:rsid w:val="00D75099"/>
    <w:rsid w:val="00D76288"/>
    <w:rsid w:val="00D77271"/>
    <w:rsid w:val="00D77435"/>
    <w:rsid w:val="00D77C7B"/>
    <w:rsid w:val="00D77EE1"/>
    <w:rsid w:val="00D80126"/>
    <w:rsid w:val="00D81C94"/>
    <w:rsid w:val="00D81DBF"/>
    <w:rsid w:val="00D8236B"/>
    <w:rsid w:val="00D82D2B"/>
    <w:rsid w:val="00D83000"/>
    <w:rsid w:val="00D8348F"/>
    <w:rsid w:val="00D83B64"/>
    <w:rsid w:val="00D84841"/>
    <w:rsid w:val="00D84846"/>
    <w:rsid w:val="00D85A67"/>
    <w:rsid w:val="00D85C71"/>
    <w:rsid w:val="00D85D57"/>
    <w:rsid w:val="00D86289"/>
    <w:rsid w:val="00D867DC"/>
    <w:rsid w:val="00D90E45"/>
    <w:rsid w:val="00D91273"/>
    <w:rsid w:val="00D91504"/>
    <w:rsid w:val="00D91722"/>
    <w:rsid w:val="00D9232E"/>
    <w:rsid w:val="00D9280A"/>
    <w:rsid w:val="00D929C0"/>
    <w:rsid w:val="00D93648"/>
    <w:rsid w:val="00D936E8"/>
    <w:rsid w:val="00D948F3"/>
    <w:rsid w:val="00D94C87"/>
    <w:rsid w:val="00D94F3B"/>
    <w:rsid w:val="00D94FEE"/>
    <w:rsid w:val="00D951B0"/>
    <w:rsid w:val="00D95EC3"/>
    <w:rsid w:val="00D97170"/>
    <w:rsid w:val="00D972D1"/>
    <w:rsid w:val="00D9736A"/>
    <w:rsid w:val="00D976E7"/>
    <w:rsid w:val="00D97B3C"/>
    <w:rsid w:val="00DA0031"/>
    <w:rsid w:val="00DA27AA"/>
    <w:rsid w:val="00DA28D1"/>
    <w:rsid w:val="00DA2C1B"/>
    <w:rsid w:val="00DA35A2"/>
    <w:rsid w:val="00DA4298"/>
    <w:rsid w:val="00DA595F"/>
    <w:rsid w:val="00DA59C2"/>
    <w:rsid w:val="00DA6DD3"/>
    <w:rsid w:val="00DA7CC2"/>
    <w:rsid w:val="00DB045D"/>
    <w:rsid w:val="00DB0A9D"/>
    <w:rsid w:val="00DB0BD2"/>
    <w:rsid w:val="00DB0E90"/>
    <w:rsid w:val="00DB1BFB"/>
    <w:rsid w:val="00DB1F9F"/>
    <w:rsid w:val="00DB1FD4"/>
    <w:rsid w:val="00DB2638"/>
    <w:rsid w:val="00DB290A"/>
    <w:rsid w:val="00DB35F7"/>
    <w:rsid w:val="00DB3809"/>
    <w:rsid w:val="00DB3B00"/>
    <w:rsid w:val="00DB3B20"/>
    <w:rsid w:val="00DB51FE"/>
    <w:rsid w:val="00DB55E1"/>
    <w:rsid w:val="00DB6A8C"/>
    <w:rsid w:val="00DB6B17"/>
    <w:rsid w:val="00DB7496"/>
    <w:rsid w:val="00DB76AF"/>
    <w:rsid w:val="00DB77A9"/>
    <w:rsid w:val="00DC028B"/>
    <w:rsid w:val="00DC35B7"/>
    <w:rsid w:val="00DC36F1"/>
    <w:rsid w:val="00DC3D8E"/>
    <w:rsid w:val="00DC4106"/>
    <w:rsid w:val="00DC4AA5"/>
    <w:rsid w:val="00DC4F21"/>
    <w:rsid w:val="00DC4F68"/>
    <w:rsid w:val="00DC529B"/>
    <w:rsid w:val="00DC56DC"/>
    <w:rsid w:val="00DC5CC9"/>
    <w:rsid w:val="00DC6038"/>
    <w:rsid w:val="00DC6224"/>
    <w:rsid w:val="00DC68A4"/>
    <w:rsid w:val="00DC71E4"/>
    <w:rsid w:val="00DC7478"/>
    <w:rsid w:val="00DC7D53"/>
    <w:rsid w:val="00DD00E2"/>
    <w:rsid w:val="00DD02B1"/>
    <w:rsid w:val="00DD0CEE"/>
    <w:rsid w:val="00DD0E59"/>
    <w:rsid w:val="00DD1406"/>
    <w:rsid w:val="00DD1639"/>
    <w:rsid w:val="00DD1E78"/>
    <w:rsid w:val="00DD2EC6"/>
    <w:rsid w:val="00DD3F22"/>
    <w:rsid w:val="00DD4251"/>
    <w:rsid w:val="00DD49AA"/>
    <w:rsid w:val="00DD4D58"/>
    <w:rsid w:val="00DD6971"/>
    <w:rsid w:val="00DD79F9"/>
    <w:rsid w:val="00DE1113"/>
    <w:rsid w:val="00DE13C9"/>
    <w:rsid w:val="00DE187A"/>
    <w:rsid w:val="00DE2B2B"/>
    <w:rsid w:val="00DE366B"/>
    <w:rsid w:val="00DE46B9"/>
    <w:rsid w:val="00DE4A1B"/>
    <w:rsid w:val="00DE4AE2"/>
    <w:rsid w:val="00DE4F23"/>
    <w:rsid w:val="00DE66C6"/>
    <w:rsid w:val="00DE6A64"/>
    <w:rsid w:val="00DE7128"/>
    <w:rsid w:val="00DE7ED7"/>
    <w:rsid w:val="00DF0C34"/>
    <w:rsid w:val="00DF1CAE"/>
    <w:rsid w:val="00DF1E54"/>
    <w:rsid w:val="00DF2929"/>
    <w:rsid w:val="00DF2D6C"/>
    <w:rsid w:val="00DF3D78"/>
    <w:rsid w:val="00DF446E"/>
    <w:rsid w:val="00DF44D9"/>
    <w:rsid w:val="00DF4BD1"/>
    <w:rsid w:val="00DF4DAA"/>
    <w:rsid w:val="00DF521A"/>
    <w:rsid w:val="00DF5493"/>
    <w:rsid w:val="00DF5CF8"/>
    <w:rsid w:val="00DF5EBC"/>
    <w:rsid w:val="00DF6072"/>
    <w:rsid w:val="00DF6CF8"/>
    <w:rsid w:val="00DF77BA"/>
    <w:rsid w:val="00DF7974"/>
    <w:rsid w:val="00DF79C4"/>
    <w:rsid w:val="00E00034"/>
    <w:rsid w:val="00E00718"/>
    <w:rsid w:val="00E012D3"/>
    <w:rsid w:val="00E017DF"/>
    <w:rsid w:val="00E02A80"/>
    <w:rsid w:val="00E02C1F"/>
    <w:rsid w:val="00E0329D"/>
    <w:rsid w:val="00E034A8"/>
    <w:rsid w:val="00E03FCC"/>
    <w:rsid w:val="00E04472"/>
    <w:rsid w:val="00E04495"/>
    <w:rsid w:val="00E04518"/>
    <w:rsid w:val="00E0495D"/>
    <w:rsid w:val="00E04CC2"/>
    <w:rsid w:val="00E0589E"/>
    <w:rsid w:val="00E0615F"/>
    <w:rsid w:val="00E06684"/>
    <w:rsid w:val="00E07435"/>
    <w:rsid w:val="00E103FC"/>
    <w:rsid w:val="00E1065D"/>
    <w:rsid w:val="00E110FF"/>
    <w:rsid w:val="00E11349"/>
    <w:rsid w:val="00E1164E"/>
    <w:rsid w:val="00E128AC"/>
    <w:rsid w:val="00E12ACD"/>
    <w:rsid w:val="00E131C2"/>
    <w:rsid w:val="00E1448D"/>
    <w:rsid w:val="00E148F7"/>
    <w:rsid w:val="00E14992"/>
    <w:rsid w:val="00E15C97"/>
    <w:rsid w:val="00E15E88"/>
    <w:rsid w:val="00E16576"/>
    <w:rsid w:val="00E16616"/>
    <w:rsid w:val="00E1683E"/>
    <w:rsid w:val="00E16A76"/>
    <w:rsid w:val="00E2027B"/>
    <w:rsid w:val="00E21517"/>
    <w:rsid w:val="00E219A0"/>
    <w:rsid w:val="00E21E72"/>
    <w:rsid w:val="00E222F1"/>
    <w:rsid w:val="00E22D35"/>
    <w:rsid w:val="00E23695"/>
    <w:rsid w:val="00E23698"/>
    <w:rsid w:val="00E23C0D"/>
    <w:rsid w:val="00E24875"/>
    <w:rsid w:val="00E24D5F"/>
    <w:rsid w:val="00E25784"/>
    <w:rsid w:val="00E264CF"/>
    <w:rsid w:val="00E270D4"/>
    <w:rsid w:val="00E2716E"/>
    <w:rsid w:val="00E27354"/>
    <w:rsid w:val="00E27917"/>
    <w:rsid w:val="00E30AF2"/>
    <w:rsid w:val="00E31B8C"/>
    <w:rsid w:val="00E322E1"/>
    <w:rsid w:val="00E324F9"/>
    <w:rsid w:val="00E329AF"/>
    <w:rsid w:val="00E32B47"/>
    <w:rsid w:val="00E33AED"/>
    <w:rsid w:val="00E351A4"/>
    <w:rsid w:val="00E373EB"/>
    <w:rsid w:val="00E377DB"/>
    <w:rsid w:val="00E37AC5"/>
    <w:rsid w:val="00E37C7E"/>
    <w:rsid w:val="00E37E88"/>
    <w:rsid w:val="00E37FC5"/>
    <w:rsid w:val="00E405F3"/>
    <w:rsid w:val="00E40B3E"/>
    <w:rsid w:val="00E41340"/>
    <w:rsid w:val="00E416BE"/>
    <w:rsid w:val="00E41D9C"/>
    <w:rsid w:val="00E42398"/>
    <w:rsid w:val="00E42416"/>
    <w:rsid w:val="00E4277F"/>
    <w:rsid w:val="00E43C55"/>
    <w:rsid w:val="00E44CEF"/>
    <w:rsid w:val="00E44CF0"/>
    <w:rsid w:val="00E45624"/>
    <w:rsid w:val="00E46067"/>
    <w:rsid w:val="00E468DC"/>
    <w:rsid w:val="00E46FB5"/>
    <w:rsid w:val="00E4734A"/>
    <w:rsid w:val="00E4753D"/>
    <w:rsid w:val="00E476F2"/>
    <w:rsid w:val="00E47A2F"/>
    <w:rsid w:val="00E47FB7"/>
    <w:rsid w:val="00E50BDC"/>
    <w:rsid w:val="00E51921"/>
    <w:rsid w:val="00E51BFE"/>
    <w:rsid w:val="00E52073"/>
    <w:rsid w:val="00E52C51"/>
    <w:rsid w:val="00E52CDB"/>
    <w:rsid w:val="00E53586"/>
    <w:rsid w:val="00E53644"/>
    <w:rsid w:val="00E53733"/>
    <w:rsid w:val="00E53F3C"/>
    <w:rsid w:val="00E541F0"/>
    <w:rsid w:val="00E542A9"/>
    <w:rsid w:val="00E542B2"/>
    <w:rsid w:val="00E54A17"/>
    <w:rsid w:val="00E54F73"/>
    <w:rsid w:val="00E564F5"/>
    <w:rsid w:val="00E56CEB"/>
    <w:rsid w:val="00E5776A"/>
    <w:rsid w:val="00E57E7B"/>
    <w:rsid w:val="00E60693"/>
    <w:rsid w:val="00E606DC"/>
    <w:rsid w:val="00E60E06"/>
    <w:rsid w:val="00E60EE4"/>
    <w:rsid w:val="00E61EEB"/>
    <w:rsid w:val="00E61FBC"/>
    <w:rsid w:val="00E62560"/>
    <w:rsid w:val="00E62D0C"/>
    <w:rsid w:val="00E634D2"/>
    <w:rsid w:val="00E63A8F"/>
    <w:rsid w:val="00E64D7D"/>
    <w:rsid w:val="00E65300"/>
    <w:rsid w:val="00E656BC"/>
    <w:rsid w:val="00E66664"/>
    <w:rsid w:val="00E66B15"/>
    <w:rsid w:val="00E66DFA"/>
    <w:rsid w:val="00E6703A"/>
    <w:rsid w:val="00E6773F"/>
    <w:rsid w:val="00E70FA2"/>
    <w:rsid w:val="00E7181B"/>
    <w:rsid w:val="00E71EC1"/>
    <w:rsid w:val="00E725D0"/>
    <w:rsid w:val="00E728F9"/>
    <w:rsid w:val="00E73238"/>
    <w:rsid w:val="00E7378E"/>
    <w:rsid w:val="00E73AEE"/>
    <w:rsid w:val="00E73DB5"/>
    <w:rsid w:val="00E740ED"/>
    <w:rsid w:val="00E75EEF"/>
    <w:rsid w:val="00E766BF"/>
    <w:rsid w:val="00E77037"/>
    <w:rsid w:val="00E77123"/>
    <w:rsid w:val="00E77CE2"/>
    <w:rsid w:val="00E819C0"/>
    <w:rsid w:val="00E81B73"/>
    <w:rsid w:val="00E81E9B"/>
    <w:rsid w:val="00E82472"/>
    <w:rsid w:val="00E82F05"/>
    <w:rsid w:val="00E838F7"/>
    <w:rsid w:val="00E8462B"/>
    <w:rsid w:val="00E8464F"/>
    <w:rsid w:val="00E84B10"/>
    <w:rsid w:val="00E851EB"/>
    <w:rsid w:val="00E85324"/>
    <w:rsid w:val="00E85CA3"/>
    <w:rsid w:val="00E86E32"/>
    <w:rsid w:val="00E90169"/>
    <w:rsid w:val="00E902C9"/>
    <w:rsid w:val="00E907D3"/>
    <w:rsid w:val="00E9195E"/>
    <w:rsid w:val="00E91E6B"/>
    <w:rsid w:val="00E923D6"/>
    <w:rsid w:val="00E9373A"/>
    <w:rsid w:val="00E93DBD"/>
    <w:rsid w:val="00E945D5"/>
    <w:rsid w:val="00E94A1E"/>
    <w:rsid w:val="00E94ADD"/>
    <w:rsid w:val="00E95205"/>
    <w:rsid w:val="00E954FF"/>
    <w:rsid w:val="00E95513"/>
    <w:rsid w:val="00E955FB"/>
    <w:rsid w:val="00E95B9D"/>
    <w:rsid w:val="00E95FC5"/>
    <w:rsid w:val="00E96B36"/>
    <w:rsid w:val="00E971E9"/>
    <w:rsid w:val="00E97433"/>
    <w:rsid w:val="00E976E3"/>
    <w:rsid w:val="00E97E3F"/>
    <w:rsid w:val="00E97FF3"/>
    <w:rsid w:val="00EA00F4"/>
    <w:rsid w:val="00EA0192"/>
    <w:rsid w:val="00EA1664"/>
    <w:rsid w:val="00EA18AA"/>
    <w:rsid w:val="00EA1CA2"/>
    <w:rsid w:val="00EA1EBC"/>
    <w:rsid w:val="00EA2849"/>
    <w:rsid w:val="00EA3A39"/>
    <w:rsid w:val="00EA3D78"/>
    <w:rsid w:val="00EA42D7"/>
    <w:rsid w:val="00EA48B3"/>
    <w:rsid w:val="00EA4924"/>
    <w:rsid w:val="00EA59D2"/>
    <w:rsid w:val="00EA5C56"/>
    <w:rsid w:val="00EA694C"/>
    <w:rsid w:val="00EA71A0"/>
    <w:rsid w:val="00EB09EB"/>
    <w:rsid w:val="00EB11BA"/>
    <w:rsid w:val="00EB2079"/>
    <w:rsid w:val="00EB2AA7"/>
    <w:rsid w:val="00EB30DA"/>
    <w:rsid w:val="00EB326D"/>
    <w:rsid w:val="00EB34DE"/>
    <w:rsid w:val="00EB39F0"/>
    <w:rsid w:val="00EB4139"/>
    <w:rsid w:val="00EB53D7"/>
    <w:rsid w:val="00EB56E0"/>
    <w:rsid w:val="00EB6727"/>
    <w:rsid w:val="00EB700F"/>
    <w:rsid w:val="00EB707B"/>
    <w:rsid w:val="00EB773F"/>
    <w:rsid w:val="00EC02E8"/>
    <w:rsid w:val="00EC11B5"/>
    <w:rsid w:val="00EC11F5"/>
    <w:rsid w:val="00EC12D7"/>
    <w:rsid w:val="00EC1608"/>
    <w:rsid w:val="00EC25A6"/>
    <w:rsid w:val="00EC2B8B"/>
    <w:rsid w:val="00EC33FF"/>
    <w:rsid w:val="00EC3556"/>
    <w:rsid w:val="00EC38E3"/>
    <w:rsid w:val="00EC40D8"/>
    <w:rsid w:val="00EC41E7"/>
    <w:rsid w:val="00EC4588"/>
    <w:rsid w:val="00EC4625"/>
    <w:rsid w:val="00EC62DF"/>
    <w:rsid w:val="00EC6F41"/>
    <w:rsid w:val="00EC7881"/>
    <w:rsid w:val="00EC7A96"/>
    <w:rsid w:val="00ED182F"/>
    <w:rsid w:val="00ED283C"/>
    <w:rsid w:val="00ED313A"/>
    <w:rsid w:val="00ED4D86"/>
    <w:rsid w:val="00ED4E5E"/>
    <w:rsid w:val="00ED7542"/>
    <w:rsid w:val="00EE09D1"/>
    <w:rsid w:val="00EE0BFA"/>
    <w:rsid w:val="00EE120F"/>
    <w:rsid w:val="00EE1411"/>
    <w:rsid w:val="00EE152F"/>
    <w:rsid w:val="00EE1C21"/>
    <w:rsid w:val="00EE1EFE"/>
    <w:rsid w:val="00EE1F83"/>
    <w:rsid w:val="00EE2BE6"/>
    <w:rsid w:val="00EE2F03"/>
    <w:rsid w:val="00EE2F23"/>
    <w:rsid w:val="00EE365C"/>
    <w:rsid w:val="00EE3B16"/>
    <w:rsid w:val="00EE4CB9"/>
    <w:rsid w:val="00EE4E14"/>
    <w:rsid w:val="00EE581A"/>
    <w:rsid w:val="00EE5853"/>
    <w:rsid w:val="00EE58EA"/>
    <w:rsid w:val="00EE64BC"/>
    <w:rsid w:val="00EE6FCF"/>
    <w:rsid w:val="00EE79CF"/>
    <w:rsid w:val="00EE7EE5"/>
    <w:rsid w:val="00EF1F4D"/>
    <w:rsid w:val="00EF223D"/>
    <w:rsid w:val="00EF2340"/>
    <w:rsid w:val="00EF25F7"/>
    <w:rsid w:val="00EF2719"/>
    <w:rsid w:val="00EF2B32"/>
    <w:rsid w:val="00EF2DBA"/>
    <w:rsid w:val="00EF3602"/>
    <w:rsid w:val="00EF372B"/>
    <w:rsid w:val="00EF3752"/>
    <w:rsid w:val="00EF3880"/>
    <w:rsid w:val="00EF3B35"/>
    <w:rsid w:val="00EF4A20"/>
    <w:rsid w:val="00EF4A28"/>
    <w:rsid w:val="00EF58FA"/>
    <w:rsid w:val="00EF7434"/>
    <w:rsid w:val="00EF74F7"/>
    <w:rsid w:val="00EF7893"/>
    <w:rsid w:val="00F00245"/>
    <w:rsid w:val="00F00A46"/>
    <w:rsid w:val="00F00D34"/>
    <w:rsid w:val="00F01595"/>
    <w:rsid w:val="00F015C7"/>
    <w:rsid w:val="00F02490"/>
    <w:rsid w:val="00F026A5"/>
    <w:rsid w:val="00F027B1"/>
    <w:rsid w:val="00F0283A"/>
    <w:rsid w:val="00F028E1"/>
    <w:rsid w:val="00F036DE"/>
    <w:rsid w:val="00F03A11"/>
    <w:rsid w:val="00F0444E"/>
    <w:rsid w:val="00F04BD8"/>
    <w:rsid w:val="00F06114"/>
    <w:rsid w:val="00F06B90"/>
    <w:rsid w:val="00F07755"/>
    <w:rsid w:val="00F07978"/>
    <w:rsid w:val="00F079C5"/>
    <w:rsid w:val="00F102F7"/>
    <w:rsid w:val="00F113BF"/>
    <w:rsid w:val="00F127EA"/>
    <w:rsid w:val="00F12879"/>
    <w:rsid w:val="00F12C48"/>
    <w:rsid w:val="00F12E88"/>
    <w:rsid w:val="00F148B1"/>
    <w:rsid w:val="00F14EAB"/>
    <w:rsid w:val="00F14FCB"/>
    <w:rsid w:val="00F1595C"/>
    <w:rsid w:val="00F164EA"/>
    <w:rsid w:val="00F16B86"/>
    <w:rsid w:val="00F179B6"/>
    <w:rsid w:val="00F2011C"/>
    <w:rsid w:val="00F204BC"/>
    <w:rsid w:val="00F20F8B"/>
    <w:rsid w:val="00F2161F"/>
    <w:rsid w:val="00F216B8"/>
    <w:rsid w:val="00F21A60"/>
    <w:rsid w:val="00F220FB"/>
    <w:rsid w:val="00F22628"/>
    <w:rsid w:val="00F22B0A"/>
    <w:rsid w:val="00F230BD"/>
    <w:rsid w:val="00F240D7"/>
    <w:rsid w:val="00F241CB"/>
    <w:rsid w:val="00F24583"/>
    <w:rsid w:val="00F24D3C"/>
    <w:rsid w:val="00F2542E"/>
    <w:rsid w:val="00F26219"/>
    <w:rsid w:val="00F264E3"/>
    <w:rsid w:val="00F26813"/>
    <w:rsid w:val="00F26A61"/>
    <w:rsid w:val="00F26DBB"/>
    <w:rsid w:val="00F2745D"/>
    <w:rsid w:val="00F27F3B"/>
    <w:rsid w:val="00F27F70"/>
    <w:rsid w:val="00F3018C"/>
    <w:rsid w:val="00F3056C"/>
    <w:rsid w:val="00F310D9"/>
    <w:rsid w:val="00F313F6"/>
    <w:rsid w:val="00F31499"/>
    <w:rsid w:val="00F3188B"/>
    <w:rsid w:val="00F31E61"/>
    <w:rsid w:val="00F326C7"/>
    <w:rsid w:val="00F329D9"/>
    <w:rsid w:val="00F33FA0"/>
    <w:rsid w:val="00F34B29"/>
    <w:rsid w:val="00F35203"/>
    <w:rsid w:val="00F352FF"/>
    <w:rsid w:val="00F35482"/>
    <w:rsid w:val="00F358A4"/>
    <w:rsid w:val="00F3646B"/>
    <w:rsid w:val="00F37961"/>
    <w:rsid w:val="00F379B2"/>
    <w:rsid w:val="00F37EBE"/>
    <w:rsid w:val="00F40E5A"/>
    <w:rsid w:val="00F40F50"/>
    <w:rsid w:val="00F4127B"/>
    <w:rsid w:val="00F41C71"/>
    <w:rsid w:val="00F42F11"/>
    <w:rsid w:val="00F442E2"/>
    <w:rsid w:val="00F443DA"/>
    <w:rsid w:val="00F457A0"/>
    <w:rsid w:val="00F45E11"/>
    <w:rsid w:val="00F45E42"/>
    <w:rsid w:val="00F4645A"/>
    <w:rsid w:val="00F4651E"/>
    <w:rsid w:val="00F468B3"/>
    <w:rsid w:val="00F47727"/>
    <w:rsid w:val="00F47753"/>
    <w:rsid w:val="00F50133"/>
    <w:rsid w:val="00F50F3B"/>
    <w:rsid w:val="00F51062"/>
    <w:rsid w:val="00F51474"/>
    <w:rsid w:val="00F51F46"/>
    <w:rsid w:val="00F5202E"/>
    <w:rsid w:val="00F52384"/>
    <w:rsid w:val="00F52894"/>
    <w:rsid w:val="00F53130"/>
    <w:rsid w:val="00F5366A"/>
    <w:rsid w:val="00F537C8"/>
    <w:rsid w:val="00F54069"/>
    <w:rsid w:val="00F54489"/>
    <w:rsid w:val="00F54E44"/>
    <w:rsid w:val="00F5588E"/>
    <w:rsid w:val="00F558A4"/>
    <w:rsid w:val="00F55B6A"/>
    <w:rsid w:val="00F56779"/>
    <w:rsid w:val="00F578C5"/>
    <w:rsid w:val="00F57BDF"/>
    <w:rsid w:val="00F607D9"/>
    <w:rsid w:val="00F60F84"/>
    <w:rsid w:val="00F61433"/>
    <w:rsid w:val="00F61B3E"/>
    <w:rsid w:val="00F61F30"/>
    <w:rsid w:val="00F62843"/>
    <w:rsid w:val="00F63F97"/>
    <w:rsid w:val="00F64F83"/>
    <w:rsid w:val="00F669AB"/>
    <w:rsid w:val="00F670A0"/>
    <w:rsid w:val="00F6740A"/>
    <w:rsid w:val="00F67DCB"/>
    <w:rsid w:val="00F70F52"/>
    <w:rsid w:val="00F7156F"/>
    <w:rsid w:val="00F71802"/>
    <w:rsid w:val="00F71A1D"/>
    <w:rsid w:val="00F7217B"/>
    <w:rsid w:val="00F72C99"/>
    <w:rsid w:val="00F73011"/>
    <w:rsid w:val="00F734F9"/>
    <w:rsid w:val="00F7391B"/>
    <w:rsid w:val="00F7394D"/>
    <w:rsid w:val="00F73C5E"/>
    <w:rsid w:val="00F7473D"/>
    <w:rsid w:val="00F74B9D"/>
    <w:rsid w:val="00F74DDF"/>
    <w:rsid w:val="00F7577A"/>
    <w:rsid w:val="00F759B5"/>
    <w:rsid w:val="00F75A56"/>
    <w:rsid w:val="00F763D7"/>
    <w:rsid w:val="00F76FD7"/>
    <w:rsid w:val="00F77067"/>
    <w:rsid w:val="00F775B5"/>
    <w:rsid w:val="00F80076"/>
    <w:rsid w:val="00F80510"/>
    <w:rsid w:val="00F81AED"/>
    <w:rsid w:val="00F83114"/>
    <w:rsid w:val="00F8315F"/>
    <w:rsid w:val="00F84ADC"/>
    <w:rsid w:val="00F85845"/>
    <w:rsid w:val="00F8633B"/>
    <w:rsid w:val="00F87047"/>
    <w:rsid w:val="00F87630"/>
    <w:rsid w:val="00F877D6"/>
    <w:rsid w:val="00F90316"/>
    <w:rsid w:val="00F90744"/>
    <w:rsid w:val="00F90B53"/>
    <w:rsid w:val="00F90D4F"/>
    <w:rsid w:val="00F916BC"/>
    <w:rsid w:val="00F9189D"/>
    <w:rsid w:val="00F91B53"/>
    <w:rsid w:val="00F92A14"/>
    <w:rsid w:val="00F92AB0"/>
    <w:rsid w:val="00F92B2B"/>
    <w:rsid w:val="00F93A90"/>
    <w:rsid w:val="00F9415F"/>
    <w:rsid w:val="00F94718"/>
    <w:rsid w:val="00F95E83"/>
    <w:rsid w:val="00F965F3"/>
    <w:rsid w:val="00F97B53"/>
    <w:rsid w:val="00FA0042"/>
    <w:rsid w:val="00FA24D2"/>
    <w:rsid w:val="00FA2C99"/>
    <w:rsid w:val="00FA2EB5"/>
    <w:rsid w:val="00FA3155"/>
    <w:rsid w:val="00FA32F6"/>
    <w:rsid w:val="00FA331F"/>
    <w:rsid w:val="00FA38E1"/>
    <w:rsid w:val="00FA39D8"/>
    <w:rsid w:val="00FA4C2F"/>
    <w:rsid w:val="00FA5406"/>
    <w:rsid w:val="00FA5EE1"/>
    <w:rsid w:val="00FA5F6F"/>
    <w:rsid w:val="00FA69A4"/>
    <w:rsid w:val="00FA6E0B"/>
    <w:rsid w:val="00FA71F8"/>
    <w:rsid w:val="00FA7CE0"/>
    <w:rsid w:val="00FB0462"/>
    <w:rsid w:val="00FB0540"/>
    <w:rsid w:val="00FB0659"/>
    <w:rsid w:val="00FB0D7C"/>
    <w:rsid w:val="00FB0F08"/>
    <w:rsid w:val="00FB1739"/>
    <w:rsid w:val="00FB17E0"/>
    <w:rsid w:val="00FB240B"/>
    <w:rsid w:val="00FB3210"/>
    <w:rsid w:val="00FB350C"/>
    <w:rsid w:val="00FB3D6B"/>
    <w:rsid w:val="00FB591B"/>
    <w:rsid w:val="00FB6027"/>
    <w:rsid w:val="00FB6F8C"/>
    <w:rsid w:val="00FC1E14"/>
    <w:rsid w:val="00FC2948"/>
    <w:rsid w:val="00FC2D4B"/>
    <w:rsid w:val="00FC2FCE"/>
    <w:rsid w:val="00FC36CF"/>
    <w:rsid w:val="00FC4674"/>
    <w:rsid w:val="00FC4BAE"/>
    <w:rsid w:val="00FC592B"/>
    <w:rsid w:val="00FC5983"/>
    <w:rsid w:val="00FC60DE"/>
    <w:rsid w:val="00FC61B9"/>
    <w:rsid w:val="00FC626C"/>
    <w:rsid w:val="00FC62CB"/>
    <w:rsid w:val="00FC676F"/>
    <w:rsid w:val="00FC6AFB"/>
    <w:rsid w:val="00FC6E55"/>
    <w:rsid w:val="00FD01B8"/>
    <w:rsid w:val="00FD02D7"/>
    <w:rsid w:val="00FD0688"/>
    <w:rsid w:val="00FD0C73"/>
    <w:rsid w:val="00FD14ED"/>
    <w:rsid w:val="00FD17F3"/>
    <w:rsid w:val="00FD23A6"/>
    <w:rsid w:val="00FD332D"/>
    <w:rsid w:val="00FD34E2"/>
    <w:rsid w:val="00FD582E"/>
    <w:rsid w:val="00FD5952"/>
    <w:rsid w:val="00FD637E"/>
    <w:rsid w:val="00FD6553"/>
    <w:rsid w:val="00FD66CC"/>
    <w:rsid w:val="00FD6EB8"/>
    <w:rsid w:val="00FD71AE"/>
    <w:rsid w:val="00FD74F0"/>
    <w:rsid w:val="00FD7A25"/>
    <w:rsid w:val="00FD7E17"/>
    <w:rsid w:val="00FE055C"/>
    <w:rsid w:val="00FE14D2"/>
    <w:rsid w:val="00FE220D"/>
    <w:rsid w:val="00FE24A4"/>
    <w:rsid w:val="00FE2AFB"/>
    <w:rsid w:val="00FE4A37"/>
    <w:rsid w:val="00FE4C8D"/>
    <w:rsid w:val="00FE51D6"/>
    <w:rsid w:val="00FE5A52"/>
    <w:rsid w:val="00FE6A59"/>
    <w:rsid w:val="00FE6B79"/>
    <w:rsid w:val="00FE6CFB"/>
    <w:rsid w:val="00FE6E38"/>
    <w:rsid w:val="00FE720C"/>
    <w:rsid w:val="00FF124E"/>
    <w:rsid w:val="00FF1667"/>
    <w:rsid w:val="00FF286D"/>
    <w:rsid w:val="00FF3B55"/>
    <w:rsid w:val="00FF419C"/>
    <w:rsid w:val="00FF4265"/>
    <w:rsid w:val="00FF5D75"/>
    <w:rsid w:val="00FF65C8"/>
    <w:rsid w:val="00FF6AEB"/>
    <w:rsid w:val="00FF6DB5"/>
    <w:rsid w:val="00FF790E"/>
    <w:rsid w:val="00FF7F3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E11DB05"/>
  <w15:docId w15:val="{CB7DD361-D644-4FC8-98E3-7E25284F7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28F"/>
    <w:rPr>
      <w:sz w:val="24"/>
      <w:szCs w:val="24"/>
      <w:lang w:val="es-ES" w:eastAsia="es-ES"/>
    </w:rPr>
  </w:style>
  <w:style w:type="paragraph" w:styleId="Ttulo1">
    <w:name w:val="heading 1"/>
    <w:basedOn w:val="Normal"/>
    <w:next w:val="Normal"/>
    <w:link w:val="Ttulo1Car"/>
    <w:qFormat/>
    <w:rsid w:val="003F128F"/>
    <w:pPr>
      <w:keepNext/>
      <w:tabs>
        <w:tab w:val="left" w:pos="5580"/>
      </w:tabs>
      <w:jc w:val="center"/>
      <w:outlineLvl w:val="0"/>
    </w:pPr>
    <w:rPr>
      <w:b/>
      <w:lang w:val="en-US"/>
    </w:rPr>
  </w:style>
  <w:style w:type="paragraph" w:styleId="Ttulo2">
    <w:name w:val="heading 2"/>
    <w:basedOn w:val="Normal"/>
    <w:next w:val="Normal"/>
    <w:link w:val="Ttulo2Car"/>
    <w:qFormat/>
    <w:rsid w:val="003F128F"/>
    <w:pPr>
      <w:keepNext/>
      <w:numPr>
        <w:numId w:val="1"/>
      </w:numPr>
      <w:tabs>
        <w:tab w:val="clear" w:pos="1080"/>
      </w:tabs>
      <w:ind w:left="0" w:firstLine="0"/>
      <w:outlineLvl w:val="1"/>
    </w:pPr>
    <w:rPr>
      <w:b/>
      <w:bCs/>
      <w:lang w:val="es-MX"/>
    </w:rPr>
  </w:style>
  <w:style w:type="paragraph" w:styleId="Ttulo3">
    <w:name w:val="heading 3"/>
    <w:basedOn w:val="Normal"/>
    <w:next w:val="Normal"/>
    <w:link w:val="Ttulo3Car"/>
    <w:qFormat/>
    <w:rsid w:val="003F128F"/>
    <w:pPr>
      <w:keepNext/>
      <w:ind w:left="1080"/>
      <w:jc w:val="center"/>
      <w:outlineLvl w:val="2"/>
    </w:pPr>
    <w:rPr>
      <w:rFonts w:ascii="Arial Narrow" w:hAnsi="Arial Narrow" w:cs="Arial"/>
      <w:b/>
      <w:sz w:val="22"/>
    </w:rPr>
  </w:style>
  <w:style w:type="paragraph" w:styleId="Ttulo4">
    <w:name w:val="heading 4"/>
    <w:basedOn w:val="Normal"/>
    <w:next w:val="Normal"/>
    <w:link w:val="Ttulo4Car"/>
    <w:qFormat/>
    <w:rsid w:val="003F128F"/>
    <w:pPr>
      <w:keepNext/>
      <w:tabs>
        <w:tab w:val="left" w:pos="1800"/>
      </w:tabs>
      <w:jc w:val="both"/>
      <w:outlineLvl w:val="3"/>
    </w:pPr>
    <w:rPr>
      <w:rFonts w:ascii="Arial" w:hAnsi="Arial" w:cs="Arial"/>
      <w:sz w:val="28"/>
    </w:rPr>
  </w:style>
  <w:style w:type="paragraph" w:styleId="Ttulo5">
    <w:name w:val="heading 5"/>
    <w:basedOn w:val="Normal"/>
    <w:next w:val="Normal"/>
    <w:link w:val="Ttulo5Car"/>
    <w:qFormat/>
    <w:rsid w:val="003F128F"/>
    <w:pPr>
      <w:keepNext/>
      <w:ind w:left="110"/>
      <w:jc w:val="center"/>
      <w:outlineLvl w:val="4"/>
    </w:pPr>
    <w:rPr>
      <w:rFonts w:ascii="Arial Narrow" w:hAnsi="Arial Narrow" w:cs="Arial"/>
      <w:b/>
      <w:color w:val="FF0000"/>
      <w:sz w:val="22"/>
    </w:rPr>
  </w:style>
  <w:style w:type="paragraph" w:styleId="Ttulo6">
    <w:name w:val="heading 6"/>
    <w:basedOn w:val="Normal"/>
    <w:next w:val="Normal"/>
    <w:link w:val="Ttulo6Car"/>
    <w:qFormat/>
    <w:rsid w:val="003F128F"/>
    <w:pPr>
      <w:keepNext/>
      <w:ind w:left="110"/>
      <w:jc w:val="center"/>
      <w:outlineLvl w:val="5"/>
    </w:pPr>
    <w:rPr>
      <w:rFonts w:ascii="Arial Narrow" w:hAnsi="Arial Narrow" w:cs="Arial"/>
      <w:b/>
      <w:sz w:val="22"/>
    </w:rPr>
  </w:style>
  <w:style w:type="paragraph" w:styleId="Ttulo7">
    <w:name w:val="heading 7"/>
    <w:basedOn w:val="Normal"/>
    <w:next w:val="Normal"/>
    <w:link w:val="Ttulo7Car"/>
    <w:qFormat/>
    <w:rsid w:val="003F128F"/>
    <w:pPr>
      <w:keepNext/>
      <w:tabs>
        <w:tab w:val="left" w:pos="1756"/>
        <w:tab w:val="left" w:pos="2834"/>
        <w:tab w:val="left" w:pos="4790"/>
        <w:tab w:val="left" w:pos="5668"/>
        <w:tab w:val="left" w:pos="7936"/>
        <w:tab w:val="left" w:pos="8560"/>
      </w:tabs>
      <w:jc w:val="center"/>
      <w:outlineLvl w:val="6"/>
    </w:pPr>
    <w:rPr>
      <w:rFonts w:ascii="Arial" w:hAnsi="Arial" w:cs="Arial"/>
      <w:b/>
      <w:bCs/>
      <w:sz w:val="20"/>
    </w:rPr>
  </w:style>
  <w:style w:type="paragraph" w:styleId="Ttulo8">
    <w:name w:val="heading 8"/>
    <w:basedOn w:val="Normal"/>
    <w:next w:val="Normal"/>
    <w:link w:val="Ttulo8Car"/>
    <w:qFormat/>
    <w:rsid w:val="003F128F"/>
    <w:pPr>
      <w:keepNext/>
      <w:jc w:val="both"/>
      <w:outlineLvl w:val="7"/>
    </w:pPr>
    <w:rPr>
      <w:rFonts w:ascii="Arial" w:hAnsi="Arial" w:cs="Arial"/>
      <w:b/>
      <w:bCs/>
      <w:color w:val="FF0000"/>
    </w:rPr>
  </w:style>
  <w:style w:type="paragraph" w:styleId="Ttulo9">
    <w:name w:val="heading 9"/>
    <w:basedOn w:val="Normal"/>
    <w:next w:val="Normal"/>
    <w:link w:val="Ttulo9Car"/>
    <w:qFormat/>
    <w:rsid w:val="003F128F"/>
    <w:pPr>
      <w:keepNext/>
      <w:numPr>
        <w:numId w:val="2"/>
      </w:numPr>
      <w:tabs>
        <w:tab w:val="left" w:pos="720"/>
        <w:tab w:val="right" w:pos="8000"/>
      </w:tabs>
      <w:overflowPunct w:val="0"/>
      <w:autoSpaceDE w:val="0"/>
      <w:autoSpaceDN w:val="0"/>
      <w:adjustRightInd w:val="0"/>
      <w:ind w:left="720" w:right="-89" w:hanging="720"/>
      <w:jc w:val="both"/>
      <w:textAlignment w:val="baseline"/>
      <w:outlineLvl w:val="8"/>
    </w:pPr>
    <w:rPr>
      <w:rFonts w:ascii="Arial" w:hAnsi="Arial"/>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rsid w:val="003F128F"/>
    <w:pPr>
      <w:spacing w:line="360" w:lineRule="auto"/>
      <w:jc w:val="both"/>
    </w:pPr>
    <w:rPr>
      <w:rFonts w:ascii="Arial" w:hAnsi="Arial" w:cs="Arial"/>
      <w:b/>
      <w:bCs/>
      <w:sz w:val="20"/>
    </w:rPr>
  </w:style>
  <w:style w:type="paragraph" w:styleId="Textoindependiente3">
    <w:name w:val="Body Text 3"/>
    <w:basedOn w:val="Normal"/>
    <w:link w:val="Textoindependiente3Car"/>
    <w:rsid w:val="003F128F"/>
    <w:pPr>
      <w:spacing w:line="360" w:lineRule="auto"/>
      <w:jc w:val="both"/>
    </w:pPr>
    <w:rPr>
      <w:rFonts w:ascii="Arial" w:hAnsi="Arial"/>
      <w:sz w:val="20"/>
    </w:rPr>
  </w:style>
  <w:style w:type="character" w:customStyle="1" w:styleId="Textoindependiente3Car">
    <w:name w:val="Texto independiente 3 Car"/>
    <w:link w:val="Textoindependiente3"/>
    <w:rsid w:val="00F8315F"/>
    <w:rPr>
      <w:rFonts w:ascii="Arial" w:hAnsi="Arial" w:cs="Arial"/>
      <w:szCs w:val="24"/>
      <w:lang w:val="es-ES" w:eastAsia="es-ES"/>
    </w:rPr>
  </w:style>
  <w:style w:type="paragraph" w:styleId="Textoindependiente2">
    <w:name w:val="Body Text 2"/>
    <w:basedOn w:val="Normal"/>
    <w:link w:val="Textoindependiente2Car"/>
    <w:rsid w:val="003F128F"/>
    <w:rPr>
      <w:rFonts w:ascii="Tahoma" w:hAnsi="Tahoma" w:cs="Tahoma"/>
      <w:sz w:val="28"/>
      <w:lang w:val="es-MX"/>
    </w:rPr>
  </w:style>
  <w:style w:type="paragraph" w:customStyle="1" w:styleId="PRIMERAPLANA">
    <w:name w:val="PRIMERA PLANA"/>
    <w:basedOn w:val="Normal"/>
    <w:rsid w:val="003F128F"/>
    <w:pPr>
      <w:jc w:val="both"/>
    </w:pPr>
    <w:rPr>
      <w:rFonts w:ascii="Arial" w:hAnsi="Arial"/>
      <w:sz w:val="20"/>
      <w:szCs w:val="20"/>
      <w:lang w:val="es-ES_tradnl"/>
    </w:rPr>
  </w:style>
  <w:style w:type="paragraph" w:styleId="NormalWeb">
    <w:name w:val="Normal (Web)"/>
    <w:basedOn w:val="Normal"/>
    <w:uiPriority w:val="99"/>
    <w:rsid w:val="003F128F"/>
    <w:pPr>
      <w:spacing w:before="100" w:beforeAutospacing="1" w:after="100" w:afterAutospacing="1"/>
    </w:pPr>
  </w:style>
  <w:style w:type="paragraph" w:customStyle="1" w:styleId="Default">
    <w:name w:val="Default"/>
    <w:rsid w:val="003F128F"/>
    <w:pPr>
      <w:autoSpaceDE w:val="0"/>
      <w:autoSpaceDN w:val="0"/>
      <w:adjustRightInd w:val="0"/>
    </w:pPr>
    <w:rPr>
      <w:color w:val="000000"/>
      <w:sz w:val="24"/>
      <w:szCs w:val="24"/>
      <w:lang w:val="es-ES" w:eastAsia="es-ES"/>
    </w:rPr>
  </w:style>
  <w:style w:type="paragraph" w:styleId="Piedepgina">
    <w:name w:val="footer"/>
    <w:basedOn w:val="Normal"/>
    <w:link w:val="PiedepginaCar"/>
    <w:rsid w:val="003F128F"/>
    <w:pPr>
      <w:tabs>
        <w:tab w:val="center" w:pos="4419"/>
        <w:tab w:val="right" w:pos="8838"/>
      </w:tabs>
    </w:pPr>
  </w:style>
  <w:style w:type="character" w:styleId="Nmerodepgina">
    <w:name w:val="page number"/>
    <w:basedOn w:val="Fuentedeprrafopredeter"/>
    <w:rsid w:val="003F128F"/>
  </w:style>
  <w:style w:type="paragraph" w:styleId="Encabezado">
    <w:name w:val="header"/>
    <w:basedOn w:val="Normal"/>
    <w:link w:val="EncabezadoCar"/>
    <w:rsid w:val="003F128F"/>
    <w:pPr>
      <w:tabs>
        <w:tab w:val="center" w:pos="4419"/>
        <w:tab w:val="right" w:pos="8838"/>
      </w:tabs>
    </w:pPr>
  </w:style>
  <w:style w:type="character" w:styleId="Hipervnculo">
    <w:name w:val="Hyperlink"/>
    <w:uiPriority w:val="99"/>
    <w:unhideWhenUsed/>
    <w:rsid w:val="003C7E4F"/>
    <w:rPr>
      <w:color w:val="0000FF"/>
      <w:u w:val="single"/>
    </w:rPr>
  </w:style>
  <w:style w:type="paragraph" w:styleId="Prrafodelista">
    <w:name w:val="List Paragraph"/>
    <w:basedOn w:val="Normal"/>
    <w:uiPriority w:val="34"/>
    <w:qFormat/>
    <w:rsid w:val="006627E8"/>
    <w:pPr>
      <w:ind w:left="708"/>
    </w:pPr>
  </w:style>
  <w:style w:type="paragraph" w:styleId="Sangra2detindependiente">
    <w:name w:val="Body Text Indent 2"/>
    <w:basedOn w:val="Normal"/>
    <w:link w:val="Sangra2detindependienteCar"/>
    <w:uiPriority w:val="99"/>
    <w:semiHidden/>
    <w:unhideWhenUsed/>
    <w:rsid w:val="008E0EB4"/>
    <w:pPr>
      <w:spacing w:after="120" w:line="480" w:lineRule="auto"/>
      <w:ind w:left="283"/>
    </w:pPr>
  </w:style>
  <w:style w:type="character" w:customStyle="1" w:styleId="Sangra2detindependienteCar">
    <w:name w:val="Sangría 2 de t. independiente Car"/>
    <w:link w:val="Sangra2detindependiente"/>
    <w:uiPriority w:val="99"/>
    <w:semiHidden/>
    <w:rsid w:val="008E0EB4"/>
    <w:rPr>
      <w:sz w:val="24"/>
      <w:szCs w:val="24"/>
      <w:lang w:val="es-ES" w:eastAsia="es-ES"/>
    </w:rPr>
  </w:style>
  <w:style w:type="table" w:styleId="Tablaconcuadrcula">
    <w:name w:val="Table Grid"/>
    <w:basedOn w:val="Tablanormal"/>
    <w:uiPriority w:val="39"/>
    <w:rsid w:val="006933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2">
    <w:name w:val="A12"/>
    <w:uiPriority w:val="99"/>
    <w:rsid w:val="004C11B7"/>
    <w:rPr>
      <w:rFonts w:cs="Univers LT"/>
      <w:b/>
      <w:bCs/>
      <w:color w:val="000000"/>
      <w:sz w:val="97"/>
      <w:szCs w:val="97"/>
    </w:rPr>
  </w:style>
  <w:style w:type="paragraph" w:styleId="Textodeglobo">
    <w:name w:val="Balloon Text"/>
    <w:basedOn w:val="Normal"/>
    <w:link w:val="TextodegloboCar"/>
    <w:uiPriority w:val="99"/>
    <w:semiHidden/>
    <w:unhideWhenUsed/>
    <w:rsid w:val="0070336A"/>
    <w:rPr>
      <w:rFonts w:ascii="Tahoma" w:hAnsi="Tahoma"/>
      <w:sz w:val="16"/>
      <w:szCs w:val="16"/>
    </w:rPr>
  </w:style>
  <w:style w:type="character" w:customStyle="1" w:styleId="TextodegloboCar">
    <w:name w:val="Texto de globo Car"/>
    <w:link w:val="Textodeglobo"/>
    <w:uiPriority w:val="99"/>
    <w:semiHidden/>
    <w:rsid w:val="0070336A"/>
    <w:rPr>
      <w:rFonts w:ascii="Tahoma" w:hAnsi="Tahoma" w:cs="Tahoma"/>
      <w:sz w:val="16"/>
      <w:szCs w:val="16"/>
    </w:rPr>
  </w:style>
  <w:style w:type="character" w:styleId="nfasis">
    <w:name w:val="Emphasis"/>
    <w:uiPriority w:val="20"/>
    <w:qFormat/>
    <w:rsid w:val="003C3149"/>
    <w:rPr>
      <w:i/>
      <w:iCs/>
    </w:rPr>
  </w:style>
  <w:style w:type="paragraph" w:styleId="Citadestacada">
    <w:name w:val="Intense Quote"/>
    <w:basedOn w:val="Normal"/>
    <w:next w:val="Normal"/>
    <w:link w:val="CitadestacadaCar"/>
    <w:uiPriority w:val="30"/>
    <w:qFormat/>
    <w:rsid w:val="00563CD2"/>
    <w:pPr>
      <w:pBdr>
        <w:bottom w:val="single" w:sz="4" w:space="4" w:color="4F81BD"/>
      </w:pBdr>
      <w:spacing w:before="200" w:after="280" w:line="276" w:lineRule="auto"/>
      <w:ind w:left="936" w:right="936"/>
    </w:pPr>
    <w:rPr>
      <w:rFonts w:ascii="Calibri" w:eastAsia="Calibri" w:hAnsi="Calibri"/>
      <w:b/>
      <w:bCs/>
      <w:i/>
      <w:iCs/>
      <w:color w:val="4F81BD"/>
      <w:sz w:val="22"/>
      <w:szCs w:val="22"/>
      <w:lang w:eastAsia="en-US"/>
    </w:rPr>
  </w:style>
  <w:style w:type="character" w:customStyle="1" w:styleId="CitadestacadaCar">
    <w:name w:val="Cita destacada Car"/>
    <w:link w:val="Citadestacada"/>
    <w:uiPriority w:val="30"/>
    <w:rsid w:val="00563CD2"/>
    <w:rPr>
      <w:rFonts w:ascii="Calibri" w:eastAsia="Calibri" w:hAnsi="Calibri" w:cs="Times New Roman"/>
      <w:b/>
      <w:bCs/>
      <w:i/>
      <w:iCs/>
      <w:color w:val="4F81BD"/>
      <w:sz w:val="22"/>
      <w:szCs w:val="22"/>
      <w:lang w:eastAsia="en-US"/>
    </w:rPr>
  </w:style>
  <w:style w:type="paragraph" w:styleId="Textonotapie">
    <w:name w:val="footnote text"/>
    <w:basedOn w:val="Normal"/>
    <w:link w:val="TextonotapieCar"/>
    <w:uiPriority w:val="99"/>
    <w:semiHidden/>
    <w:unhideWhenUsed/>
    <w:rsid w:val="00563CD2"/>
    <w:rPr>
      <w:rFonts w:ascii="Calibri" w:eastAsia="Calibri" w:hAnsi="Calibri"/>
      <w:sz w:val="20"/>
      <w:szCs w:val="20"/>
      <w:lang w:eastAsia="en-US"/>
    </w:rPr>
  </w:style>
  <w:style w:type="character" w:customStyle="1" w:styleId="TextonotapieCar">
    <w:name w:val="Texto nota pie Car"/>
    <w:link w:val="Textonotapie"/>
    <w:uiPriority w:val="99"/>
    <w:semiHidden/>
    <w:rsid w:val="00563CD2"/>
    <w:rPr>
      <w:rFonts w:ascii="Calibri" w:eastAsia="Calibri" w:hAnsi="Calibri" w:cs="Times New Roman"/>
      <w:lang w:eastAsia="en-US"/>
    </w:rPr>
  </w:style>
  <w:style w:type="character" w:styleId="Refdenotaalpie">
    <w:name w:val="footnote reference"/>
    <w:uiPriority w:val="99"/>
    <w:semiHidden/>
    <w:unhideWhenUsed/>
    <w:rsid w:val="00563CD2"/>
    <w:rPr>
      <w:vertAlign w:val="superscript"/>
    </w:rPr>
  </w:style>
  <w:style w:type="character" w:customStyle="1" w:styleId="apple-converted-space">
    <w:name w:val="apple-converted-space"/>
    <w:basedOn w:val="Fuentedeprrafopredeter"/>
    <w:rsid w:val="00BA696E"/>
  </w:style>
  <w:style w:type="character" w:styleId="Textoennegrita">
    <w:name w:val="Strong"/>
    <w:uiPriority w:val="22"/>
    <w:qFormat/>
    <w:rsid w:val="00846076"/>
    <w:rPr>
      <w:b/>
      <w:bCs/>
    </w:rPr>
  </w:style>
  <w:style w:type="character" w:styleId="Hipervnculovisitado">
    <w:name w:val="FollowedHyperlink"/>
    <w:basedOn w:val="Fuentedeprrafopredeter"/>
    <w:uiPriority w:val="99"/>
    <w:semiHidden/>
    <w:unhideWhenUsed/>
    <w:rsid w:val="00C16FCE"/>
    <w:rPr>
      <w:color w:val="954F72"/>
      <w:u w:val="single"/>
    </w:rPr>
  </w:style>
  <w:style w:type="paragraph" w:customStyle="1" w:styleId="xl63">
    <w:name w:val="xl63"/>
    <w:basedOn w:val="Normal"/>
    <w:rsid w:val="00C16FC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u w:val="single"/>
      <w:lang w:val="es-MX" w:eastAsia="es-MX"/>
    </w:rPr>
  </w:style>
  <w:style w:type="paragraph" w:customStyle="1" w:styleId="xl64">
    <w:name w:val="xl64"/>
    <w:basedOn w:val="Normal"/>
    <w:rsid w:val="00C16FCE"/>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5">
    <w:name w:val="xl65"/>
    <w:basedOn w:val="Normal"/>
    <w:rsid w:val="00C16FC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6">
    <w:name w:val="xl66"/>
    <w:basedOn w:val="Normal"/>
    <w:rsid w:val="00C16FC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7">
    <w:name w:val="xl67"/>
    <w:basedOn w:val="Normal"/>
    <w:rsid w:val="00C16FCE"/>
    <w:pPr>
      <w:pBdr>
        <w:top w:val="single" w:sz="4" w:space="0" w:color="auto"/>
        <w:bottom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8">
    <w:name w:val="xl68"/>
    <w:basedOn w:val="Normal"/>
    <w:rsid w:val="00C16FC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b/>
      <w:bCs/>
      <w:sz w:val="16"/>
      <w:szCs w:val="16"/>
      <w:lang w:val="es-MX" w:eastAsia="es-MX"/>
    </w:rPr>
  </w:style>
  <w:style w:type="paragraph" w:customStyle="1" w:styleId="xl69">
    <w:name w:val="xl69"/>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sz w:val="16"/>
      <w:szCs w:val="16"/>
      <w:lang w:val="es-MX" w:eastAsia="es-MX"/>
    </w:rPr>
  </w:style>
  <w:style w:type="paragraph" w:customStyle="1" w:styleId="xl70">
    <w:name w:val="xl70"/>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71">
    <w:name w:val="xl71"/>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72">
    <w:name w:val="xl72"/>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s-MX" w:eastAsia="es-MX"/>
    </w:rPr>
  </w:style>
  <w:style w:type="paragraph" w:customStyle="1" w:styleId="xl73">
    <w:name w:val="xl73"/>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val="es-MX" w:eastAsia="es-MX"/>
    </w:rPr>
  </w:style>
  <w:style w:type="paragraph" w:customStyle="1" w:styleId="xl74">
    <w:name w:val="xl74"/>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6"/>
      <w:szCs w:val="16"/>
      <w:lang w:val="es-MX" w:eastAsia="es-MX"/>
    </w:rPr>
  </w:style>
  <w:style w:type="paragraph" w:customStyle="1" w:styleId="xl75">
    <w:name w:val="xl75"/>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lang w:val="es-MX" w:eastAsia="es-MX"/>
    </w:rPr>
  </w:style>
  <w:style w:type="paragraph" w:customStyle="1" w:styleId="xl76">
    <w:name w:val="xl76"/>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sz w:val="16"/>
      <w:szCs w:val="16"/>
      <w:lang w:val="es-MX" w:eastAsia="es-MX"/>
    </w:rPr>
  </w:style>
  <w:style w:type="paragraph" w:customStyle="1" w:styleId="xl77">
    <w:name w:val="xl77"/>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w:hAnsi="Arial" w:cs="Arial"/>
      <w:b/>
      <w:bCs/>
      <w:sz w:val="16"/>
      <w:szCs w:val="16"/>
      <w:lang w:val="es-MX" w:eastAsia="es-MX"/>
    </w:rPr>
  </w:style>
  <w:style w:type="paragraph" w:customStyle="1" w:styleId="xl78">
    <w:name w:val="xl78"/>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16"/>
      <w:szCs w:val="16"/>
      <w:lang w:val="es-MX" w:eastAsia="es-MX"/>
    </w:rPr>
  </w:style>
  <w:style w:type="paragraph" w:customStyle="1" w:styleId="xl79">
    <w:name w:val="xl79"/>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6"/>
      <w:szCs w:val="16"/>
      <w:lang w:val="es-MX" w:eastAsia="es-MX"/>
    </w:rPr>
  </w:style>
  <w:style w:type="paragraph" w:customStyle="1" w:styleId="xl80">
    <w:name w:val="xl80"/>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81">
    <w:name w:val="xl81"/>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sz w:val="16"/>
      <w:szCs w:val="16"/>
      <w:lang w:val="es-MX" w:eastAsia="es-MX"/>
    </w:rPr>
  </w:style>
  <w:style w:type="paragraph" w:customStyle="1" w:styleId="xl82">
    <w:name w:val="xl82"/>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lang w:val="es-MX" w:eastAsia="es-MX"/>
    </w:rPr>
  </w:style>
  <w:style w:type="paragraph" w:customStyle="1" w:styleId="xl83">
    <w:name w:val="xl83"/>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MX" w:eastAsia="es-MX"/>
    </w:rPr>
  </w:style>
  <w:style w:type="paragraph" w:customStyle="1" w:styleId="xl84">
    <w:name w:val="xl84"/>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16"/>
      <w:szCs w:val="16"/>
      <w:lang w:val="es-MX" w:eastAsia="es-MX"/>
    </w:rPr>
  </w:style>
  <w:style w:type="paragraph" w:customStyle="1" w:styleId="xl85">
    <w:name w:val="xl85"/>
    <w:basedOn w:val="Normal"/>
    <w:rsid w:val="00C16F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sz w:val="16"/>
      <w:szCs w:val="16"/>
      <w:lang w:val="es-MX" w:eastAsia="es-MX"/>
    </w:rPr>
  </w:style>
  <w:style w:type="paragraph" w:customStyle="1" w:styleId="xl86">
    <w:name w:val="xl86"/>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lang w:val="es-MX" w:eastAsia="es-MX"/>
    </w:rPr>
  </w:style>
  <w:style w:type="paragraph" w:customStyle="1" w:styleId="xl87">
    <w:name w:val="xl87"/>
    <w:basedOn w:val="Normal"/>
    <w:rsid w:val="00C16FCE"/>
    <w:pPr>
      <w:pBdr>
        <w:top w:val="single" w:sz="4" w:space="0" w:color="auto"/>
        <w:left w:val="single" w:sz="4" w:space="0" w:color="auto"/>
        <w:bottom w:val="single" w:sz="4" w:space="0" w:color="auto"/>
      </w:pBdr>
      <w:spacing w:before="100" w:beforeAutospacing="1" w:after="100" w:afterAutospacing="1"/>
      <w:jc w:val="center"/>
    </w:pPr>
    <w:rPr>
      <w:b/>
      <w:bCs/>
      <w:sz w:val="16"/>
      <w:szCs w:val="16"/>
      <w:lang w:val="es-MX" w:eastAsia="es-MX"/>
    </w:rPr>
  </w:style>
  <w:style w:type="paragraph" w:customStyle="1" w:styleId="xl88">
    <w:name w:val="xl88"/>
    <w:basedOn w:val="Normal"/>
    <w:rsid w:val="00C16FCE"/>
    <w:pPr>
      <w:pBdr>
        <w:top w:val="single" w:sz="4" w:space="0" w:color="auto"/>
        <w:bottom w:val="single" w:sz="4" w:space="0" w:color="auto"/>
      </w:pBdr>
      <w:spacing w:before="100" w:beforeAutospacing="1" w:after="100" w:afterAutospacing="1"/>
      <w:jc w:val="center"/>
    </w:pPr>
    <w:rPr>
      <w:b/>
      <w:bCs/>
      <w:sz w:val="16"/>
      <w:szCs w:val="16"/>
      <w:lang w:val="es-MX" w:eastAsia="es-MX"/>
    </w:rPr>
  </w:style>
  <w:style w:type="paragraph" w:customStyle="1" w:styleId="xl89">
    <w:name w:val="xl89"/>
    <w:basedOn w:val="Normal"/>
    <w:rsid w:val="00C16FCE"/>
    <w:pPr>
      <w:pBdr>
        <w:top w:val="single" w:sz="4" w:space="0" w:color="auto"/>
        <w:bottom w:val="single" w:sz="4" w:space="0" w:color="auto"/>
        <w:right w:val="single" w:sz="4" w:space="0" w:color="auto"/>
      </w:pBdr>
      <w:spacing w:before="100" w:beforeAutospacing="1" w:after="100" w:afterAutospacing="1"/>
      <w:jc w:val="center"/>
    </w:pPr>
    <w:rPr>
      <w:b/>
      <w:bCs/>
      <w:sz w:val="16"/>
      <w:szCs w:val="16"/>
      <w:lang w:val="es-MX" w:eastAsia="es-MX"/>
    </w:rPr>
  </w:style>
  <w:style w:type="paragraph" w:customStyle="1" w:styleId="xl90">
    <w:name w:val="xl90"/>
    <w:basedOn w:val="Normal"/>
    <w:rsid w:val="00C16FCE"/>
    <w:pPr>
      <w:spacing w:before="100" w:beforeAutospacing="1" w:after="100" w:afterAutospacing="1"/>
    </w:pPr>
    <w:rPr>
      <w:sz w:val="16"/>
      <w:szCs w:val="16"/>
      <w:lang w:val="es-MX" w:eastAsia="es-MX"/>
    </w:rPr>
  </w:style>
  <w:style w:type="paragraph" w:customStyle="1" w:styleId="xl91">
    <w:name w:val="xl91"/>
    <w:basedOn w:val="Normal"/>
    <w:rsid w:val="00C16FCE"/>
    <w:pPr>
      <w:spacing w:before="100" w:beforeAutospacing="1" w:after="100" w:afterAutospacing="1"/>
    </w:pPr>
    <w:rPr>
      <w:sz w:val="16"/>
      <w:szCs w:val="16"/>
      <w:lang w:val="es-MX" w:eastAsia="es-MX"/>
    </w:rPr>
  </w:style>
  <w:style w:type="paragraph" w:customStyle="1" w:styleId="xl92">
    <w:name w:val="xl92"/>
    <w:basedOn w:val="Normal"/>
    <w:rsid w:val="00C16FCE"/>
    <w:pPr>
      <w:spacing w:before="100" w:beforeAutospacing="1" w:after="100" w:afterAutospacing="1"/>
      <w:textAlignment w:val="center"/>
    </w:pPr>
    <w:rPr>
      <w:sz w:val="16"/>
      <w:szCs w:val="16"/>
      <w:lang w:val="es-MX" w:eastAsia="es-MX"/>
    </w:rPr>
  </w:style>
  <w:style w:type="paragraph" w:customStyle="1" w:styleId="xl93">
    <w:name w:val="xl93"/>
    <w:basedOn w:val="Normal"/>
    <w:rsid w:val="00C16FCE"/>
    <w:pPr>
      <w:shd w:val="clear" w:color="000000" w:fill="FFFFFF"/>
      <w:spacing w:before="100" w:beforeAutospacing="1" w:after="100" w:afterAutospacing="1"/>
      <w:textAlignment w:val="center"/>
    </w:pPr>
    <w:rPr>
      <w:sz w:val="16"/>
      <w:szCs w:val="16"/>
      <w:lang w:val="es-MX" w:eastAsia="es-MX"/>
    </w:rPr>
  </w:style>
  <w:style w:type="paragraph" w:customStyle="1" w:styleId="xl94">
    <w:name w:val="xl94"/>
    <w:basedOn w:val="Normal"/>
    <w:rsid w:val="00C16FCE"/>
    <w:pPr>
      <w:shd w:val="clear" w:color="000000" w:fill="FFFFFF"/>
      <w:spacing w:before="100" w:beforeAutospacing="1" w:after="100" w:afterAutospacing="1"/>
      <w:textAlignment w:val="center"/>
    </w:pPr>
    <w:rPr>
      <w:b/>
      <w:bCs/>
      <w:sz w:val="16"/>
      <w:szCs w:val="16"/>
      <w:lang w:val="es-MX" w:eastAsia="es-MX"/>
    </w:rPr>
  </w:style>
  <w:style w:type="paragraph" w:customStyle="1" w:styleId="xl95">
    <w:name w:val="xl95"/>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sz w:val="16"/>
      <w:szCs w:val="16"/>
      <w:lang w:val="es-MX" w:eastAsia="es-MX"/>
    </w:rPr>
  </w:style>
  <w:style w:type="paragraph" w:customStyle="1" w:styleId="xl96">
    <w:name w:val="xl96"/>
    <w:basedOn w:val="Normal"/>
    <w:rsid w:val="00C16FC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w:hAnsi="Arial" w:cs="Arial"/>
      <w:b/>
      <w:bCs/>
      <w:sz w:val="16"/>
      <w:szCs w:val="16"/>
      <w:lang w:val="es-MX" w:eastAsia="es-MX"/>
    </w:rPr>
  </w:style>
  <w:style w:type="paragraph" w:customStyle="1" w:styleId="xl97">
    <w:name w:val="xl97"/>
    <w:basedOn w:val="Normal"/>
    <w:rsid w:val="00C16FCE"/>
    <w:pPr>
      <w:spacing w:before="100" w:beforeAutospacing="1" w:after="100" w:afterAutospacing="1"/>
    </w:pPr>
    <w:rPr>
      <w:sz w:val="16"/>
      <w:szCs w:val="16"/>
      <w:lang w:val="es-MX" w:eastAsia="es-MX"/>
    </w:rPr>
  </w:style>
  <w:style w:type="character" w:styleId="Refdecomentario">
    <w:name w:val="annotation reference"/>
    <w:basedOn w:val="Fuentedeprrafopredeter"/>
    <w:uiPriority w:val="99"/>
    <w:semiHidden/>
    <w:unhideWhenUsed/>
    <w:rsid w:val="00FC592B"/>
    <w:rPr>
      <w:sz w:val="16"/>
      <w:szCs w:val="16"/>
    </w:rPr>
  </w:style>
  <w:style w:type="paragraph" w:styleId="Textocomentario">
    <w:name w:val="annotation text"/>
    <w:basedOn w:val="Normal"/>
    <w:link w:val="TextocomentarioCar"/>
    <w:uiPriority w:val="99"/>
    <w:semiHidden/>
    <w:unhideWhenUsed/>
    <w:rsid w:val="00FC592B"/>
    <w:rPr>
      <w:sz w:val="20"/>
      <w:szCs w:val="20"/>
    </w:rPr>
  </w:style>
  <w:style w:type="character" w:customStyle="1" w:styleId="TextocomentarioCar">
    <w:name w:val="Texto comentario Car"/>
    <w:basedOn w:val="Fuentedeprrafopredeter"/>
    <w:link w:val="Textocomentario"/>
    <w:uiPriority w:val="99"/>
    <w:semiHidden/>
    <w:rsid w:val="00FC592B"/>
    <w:rPr>
      <w:lang w:val="es-ES" w:eastAsia="es-ES"/>
    </w:rPr>
  </w:style>
  <w:style w:type="paragraph" w:styleId="Asuntodelcomentario">
    <w:name w:val="annotation subject"/>
    <w:basedOn w:val="Textocomentario"/>
    <w:next w:val="Textocomentario"/>
    <w:link w:val="AsuntodelcomentarioCar"/>
    <w:uiPriority w:val="99"/>
    <w:semiHidden/>
    <w:unhideWhenUsed/>
    <w:rsid w:val="00FC592B"/>
    <w:rPr>
      <w:b/>
      <w:bCs/>
    </w:rPr>
  </w:style>
  <w:style w:type="character" w:customStyle="1" w:styleId="AsuntodelcomentarioCar">
    <w:name w:val="Asunto del comentario Car"/>
    <w:basedOn w:val="TextocomentarioCar"/>
    <w:link w:val="Asuntodelcomentario"/>
    <w:uiPriority w:val="99"/>
    <w:semiHidden/>
    <w:rsid w:val="00FC592B"/>
    <w:rPr>
      <w:b/>
      <w:bCs/>
      <w:lang w:val="es-ES" w:eastAsia="es-ES"/>
    </w:rPr>
  </w:style>
  <w:style w:type="paragraph" w:customStyle="1" w:styleId="Texto">
    <w:name w:val="Texto"/>
    <w:basedOn w:val="Normal"/>
    <w:link w:val="TextoCar"/>
    <w:qFormat/>
    <w:rsid w:val="00426F1E"/>
    <w:pPr>
      <w:spacing w:after="101" w:line="216" w:lineRule="exact"/>
      <w:ind w:firstLine="288"/>
      <w:jc w:val="both"/>
    </w:pPr>
    <w:rPr>
      <w:rFonts w:ascii="Arial" w:hAnsi="Arial" w:cs="Arial"/>
      <w:sz w:val="18"/>
      <w:szCs w:val="20"/>
    </w:rPr>
  </w:style>
  <w:style w:type="character" w:customStyle="1" w:styleId="TextoCar">
    <w:name w:val="Texto Car"/>
    <w:link w:val="Texto"/>
    <w:locked/>
    <w:rsid w:val="00426F1E"/>
    <w:rPr>
      <w:rFonts w:ascii="Arial" w:hAnsi="Arial" w:cs="Arial"/>
      <w:sz w:val="18"/>
      <w:lang w:val="es-ES" w:eastAsia="es-ES"/>
    </w:rPr>
  </w:style>
  <w:style w:type="paragraph" w:styleId="Textosinformato">
    <w:name w:val="Plain Text"/>
    <w:basedOn w:val="Normal"/>
    <w:link w:val="TextosinformatoCar"/>
    <w:rsid w:val="00426F1E"/>
    <w:rPr>
      <w:rFonts w:ascii="Courier New" w:hAnsi="Courier New" w:cs="Courier New"/>
      <w:sz w:val="20"/>
      <w:szCs w:val="20"/>
    </w:rPr>
  </w:style>
  <w:style w:type="character" w:customStyle="1" w:styleId="TextosinformatoCar">
    <w:name w:val="Texto sin formato Car"/>
    <w:basedOn w:val="Fuentedeprrafopredeter"/>
    <w:link w:val="Textosinformato"/>
    <w:rsid w:val="00426F1E"/>
    <w:rPr>
      <w:rFonts w:ascii="Courier New" w:hAnsi="Courier New" w:cs="Courier New"/>
      <w:lang w:val="es-ES" w:eastAsia="es-ES"/>
    </w:rPr>
  </w:style>
  <w:style w:type="paragraph" w:styleId="Revisin">
    <w:name w:val="Revision"/>
    <w:hidden/>
    <w:uiPriority w:val="99"/>
    <w:semiHidden/>
    <w:rsid w:val="000A06FA"/>
    <w:rPr>
      <w:sz w:val="24"/>
      <w:szCs w:val="24"/>
      <w:lang w:val="es-ES" w:eastAsia="es-ES"/>
    </w:rPr>
  </w:style>
  <w:style w:type="table" w:customStyle="1" w:styleId="TableGrid">
    <w:name w:val="TableGrid"/>
    <w:rsid w:val="00F27F3B"/>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character" w:customStyle="1" w:styleId="Ttulo1Car">
    <w:name w:val="Título 1 Car"/>
    <w:basedOn w:val="Fuentedeprrafopredeter"/>
    <w:link w:val="Ttulo1"/>
    <w:rsid w:val="009A7A75"/>
    <w:rPr>
      <w:b/>
      <w:sz w:val="24"/>
      <w:szCs w:val="24"/>
      <w:lang w:val="en-US" w:eastAsia="es-ES"/>
    </w:rPr>
  </w:style>
  <w:style w:type="character" w:customStyle="1" w:styleId="Ttulo2Car">
    <w:name w:val="Título 2 Car"/>
    <w:basedOn w:val="Fuentedeprrafopredeter"/>
    <w:link w:val="Ttulo2"/>
    <w:rsid w:val="009A7A75"/>
    <w:rPr>
      <w:b/>
      <w:bCs/>
      <w:sz w:val="24"/>
      <w:szCs w:val="24"/>
      <w:lang w:eastAsia="es-ES"/>
    </w:rPr>
  </w:style>
  <w:style w:type="character" w:customStyle="1" w:styleId="Ttulo3Car">
    <w:name w:val="Título 3 Car"/>
    <w:basedOn w:val="Fuentedeprrafopredeter"/>
    <w:link w:val="Ttulo3"/>
    <w:rsid w:val="009A7A75"/>
    <w:rPr>
      <w:rFonts w:ascii="Arial Narrow" w:hAnsi="Arial Narrow" w:cs="Arial"/>
      <w:b/>
      <w:sz w:val="22"/>
      <w:szCs w:val="24"/>
      <w:lang w:val="es-ES" w:eastAsia="es-ES"/>
    </w:rPr>
  </w:style>
  <w:style w:type="character" w:customStyle="1" w:styleId="Ttulo4Car">
    <w:name w:val="Título 4 Car"/>
    <w:basedOn w:val="Fuentedeprrafopredeter"/>
    <w:link w:val="Ttulo4"/>
    <w:rsid w:val="009A7A75"/>
    <w:rPr>
      <w:rFonts w:ascii="Arial" w:hAnsi="Arial" w:cs="Arial"/>
      <w:sz w:val="28"/>
      <w:szCs w:val="24"/>
      <w:lang w:val="es-ES" w:eastAsia="es-ES"/>
    </w:rPr>
  </w:style>
  <w:style w:type="character" w:customStyle="1" w:styleId="Ttulo5Car">
    <w:name w:val="Título 5 Car"/>
    <w:basedOn w:val="Fuentedeprrafopredeter"/>
    <w:link w:val="Ttulo5"/>
    <w:rsid w:val="009A7A75"/>
    <w:rPr>
      <w:rFonts w:ascii="Arial Narrow" w:hAnsi="Arial Narrow" w:cs="Arial"/>
      <w:b/>
      <w:color w:val="FF0000"/>
      <w:sz w:val="22"/>
      <w:szCs w:val="24"/>
      <w:lang w:val="es-ES" w:eastAsia="es-ES"/>
    </w:rPr>
  </w:style>
  <w:style w:type="character" w:customStyle="1" w:styleId="Ttulo6Car">
    <w:name w:val="Título 6 Car"/>
    <w:basedOn w:val="Fuentedeprrafopredeter"/>
    <w:link w:val="Ttulo6"/>
    <w:rsid w:val="009A7A75"/>
    <w:rPr>
      <w:rFonts w:ascii="Arial Narrow" w:hAnsi="Arial Narrow" w:cs="Arial"/>
      <w:b/>
      <w:sz w:val="22"/>
      <w:szCs w:val="24"/>
      <w:lang w:val="es-ES" w:eastAsia="es-ES"/>
    </w:rPr>
  </w:style>
  <w:style w:type="character" w:customStyle="1" w:styleId="Ttulo7Car">
    <w:name w:val="Título 7 Car"/>
    <w:basedOn w:val="Fuentedeprrafopredeter"/>
    <w:link w:val="Ttulo7"/>
    <w:rsid w:val="009A7A75"/>
    <w:rPr>
      <w:rFonts w:ascii="Arial" w:hAnsi="Arial" w:cs="Arial"/>
      <w:b/>
      <w:bCs/>
      <w:szCs w:val="24"/>
      <w:lang w:val="es-ES" w:eastAsia="es-ES"/>
    </w:rPr>
  </w:style>
  <w:style w:type="character" w:customStyle="1" w:styleId="Ttulo8Car">
    <w:name w:val="Título 8 Car"/>
    <w:basedOn w:val="Fuentedeprrafopredeter"/>
    <w:link w:val="Ttulo8"/>
    <w:rsid w:val="009A7A75"/>
    <w:rPr>
      <w:rFonts w:ascii="Arial" w:hAnsi="Arial" w:cs="Arial"/>
      <w:b/>
      <w:bCs/>
      <w:color w:val="FF0000"/>
      <w:sz w:val="24"/>
      <w:szCs w:val="24"/>
      <w:lang w:val="es-ES" w:eastAsia="es-ES"/>
    </w:rPr>
  </w:style>
  <w:style w:type="character" w:customStyle="1" w:styleId="Ttulo9Car">
    <w:name w:val="Título 9 Car"/>
    <w:basedOn w:val="Fuentedeprrafopredeter"/>
    <w:link w:val="Ttulo9"/>
    <w:rsid w:val="009A7A75"/>
    <w:rPr>
      <w:rFonts w:ascii="Arial" w:hAnsi="Arial"/>
      <w:sz w:val="24"/>
      <w:lang w:val="es-ES" w:eastAsia="es-ES"/>
    </w:rPr>
  </w:style>
  <w:style w:type="character" w:customStyle="1" w:styleId="TextoindependienteCar">
    <w:name w:val="Texto independiente Car"/>
    <w:basedOn w:val="Fuentedeprrafopredeter"/>
    <w:link w:val="Textoindependiente"/>
    <w:rsid w:val="009A7A75"/>
    <w:rPr>
      <w:rFonts w:ascii="Arial" w:hAnsi="Arial" w:cs="Arial"/>
      <w:b/>
      <w:bCs/>
      <w:szCs w:val="24"/>
      <w:lang w:val="es-ES" w:eastAsia="es-ES"/>
    </w:rPr>
  </w:style>
  <w:style w:type="character" w:customStyle="1" w:styleId="Textoindependiente2Car">
    <w:name w:val="Texto independiente 2 Car"/>
    <w:basedOn w:val="Fuentedeprrafopredeter"/>
    <w:link w:val="Textoindependiente2"/>
    <w:rsid w:val="009A7A75"/>
    <w:rPr>
      <w:rFonts w:ascii="Tahoma" w:hAnsi="Tahoma" w:cs="Tahoma"/>
      <w:sz w:val="28"/>
      <w:szCs w:val="24"/>
      <w:lang w:eastAsia="es-ES"/>
    </w:rPr>
  </w:style>
  <w:style w:type="character" w:customStyle="1" w:styleId="PiedepginaCar">
    <w:name w:val="Pie de página Car"/>
    <w:basedOn w:val="Fuentedeprrafopredeter"/>
    <w:link w:val="Piedepgina"/>
    <w:rsid w:val="009A7A75"/>
    <w:rPr>
      <w:sz w:val="24"/>
      <w:szCs w:val="24"/>
      <w:lang w:val="es-ES" w:eastAsia="es-ES"/>
    </w:rPr>
  </w:style>
  <w:style w:type="character" w:customStyle="1" w:styleId="EncabezadoCar">
    <w:name w:val="Encabezado Car"/>
    <w:basedOn w:val="Fuentedeprrafopredeter"/>
    <w:link w:val="Encabezado"/>
    <w:rsid w:val="009A7A75"/>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04658">
      <w:bodyDiv w:val="1"/>
      <w:marLeft w:val="0"/>
      <w:marRight w:val="0"/>
      <w:marTop w:val="0"/>
      <w:marBottom w:val="0"/>
      <w:divBdr>
        <w:top w:val="none" w:sz="0" w:space="0" w:color="auto"/>
        <w:left w:val="none" w:sz="0" w:space="0" w:color="auto"/>
        <w:bottom w:val="none" w:sz="0" w:space="0" w:color="auto"/>
        <w:right w:val="none" w:sz="0" w:space="0" w:color="auto"/>
      </w:divBdr>
    </w:div>
    <w:div w:id="12192320">
      <w:bodyDiv w:val="1"/>
      <w:marLeft w:val="0"/>
      <w:marRight w:val="0"/>
      <w:marTop w:val="0"/>
      <w:marBottom w:val="0"/>
      <w:divBdr>
        <w:top w:val="none" w:sz="0" w:space="0" w:color="auto"/>
        <w:left w:val="none" w:sz="0" w:space="0" w:color="auto"/>
        <w:bottom w:val="none" w:sz="0" w:space="0" w:color="auto"/>
        <w:right w:val="none" w:sz="0" w:space="0" w:color="auto"/>
      </w:divBdr>
    </w:div>
    <w:div w:id="16198209">
      <w:bodyDiv w:val="1"/>
      <w:marLeft w:val="0"/>
      <w:marRight w:val="0"/>
      <w:marTop w:val="0"/>
      <w:marBottom w:val="0"/>
      <w:divBdr>
        <w:top w:val="none" w:sz="0" w:space="0" w:color="auto"/>
        <w:left w:val="none" w:sz="0" w:space="0" w:color="auto"/>
        <w:bottom w:val="none" w:sz="0" w:space="0" w:color="auto"/>
        <w:right w:val="none" w:sz="0" w:space="0" w:color="auto"/>
      </w:divBdr>
      <w:divsChild>
        <w:div w:id="489756299">
          <w:marLeft w:val="0"/>
          <w:marRight w:val="0"/>
          <w:marTop w:val="0"/>
          <w:marBottom w:val="0"/>
          <w:divBdr>
            <w:top w:val="none" w:sz="0" w:space="0" w:color="auto"/>
            <w:left w:val="none" w:sz="0" w:space="0" w:color="auto"/>
            <w:bottom w:val="none" w:sz="0" w:space="0" w:color="auto"/>
            <w:right w:val="none" w:sz="0" w:space="0" w:color="auto"/>
          </w:divBdr>
        </w:div>
        <w:div w:id="632172948">
          <w:marLeft w:val="0"/>
          <w:marRight w:val="0"/>
          <w:marTop w:val="0"/>
          <w:marBottom w:val="0"/>
          <w:divBdr>
            <w:top w:val="none" w:sz="0" w:space="0" w:color="auto"/>
            <w:left w:val="none" w:sz="0" w:space="0" w:color="auto"/>
            <w:bottom w:val="none" w:sz="0" w:space="0" w:color="auto"/>
            <w:right w:val="none" w:sz="0" w:space="0" w:color="auto"/>
          </w:divBdr>
        </w:div>
        <w:div w:id="698776159">
          <w:marLeft w:val="0"/>
          <w:marRight w:val="0"/>
          <w:marTop w:val="0"/>
          <w:marBottom w:val="0"/>
          <w:divBdr>
            <w:top w:val="none" w:sz="0" w:space="0" w:color="auto"/>
            <w:left w:val="none" w:sz="0" w:space="0" w:color="auto"/>
            <w:bottom w:val="none" w:sz="0" w:space="0" w:color="auto"/>
            <w:right w:val="none" w:sz="0" w:space="0" w:color="auto"/>
          </w:divBdr>
        </w:div>
        <w:div w:id="1011225830">
          <w:marLeft w:val="0"/>
          <w:marRight w:val="0"/>
          <w:marTop w:val="0"/>
          <w:marBottom w:val="0"/>
          <w:divBdr>
            <w:top w:val="none" w:sz="0" w:space="0" w:color="auto"/>
            <w:left w:val="none" w:sz="0" w:space="0" w:color="auto"/>
            <w:bottom w:val="none" w:sz="0" w:space="0" w:color="auto"/>
            <w:right w:val="none" w:sz="0" w:space="0" w:color="auto"/>
          </w:divBdr>
        </w:div>
        <w:div w:id="1028143673">
          <w:marLeft w:val="0"/>
          <w:marRight w:val="0"/>
          <w:marTop w:val="0"/>
          <w:marBottom w:val="0"/>
          <w:divBdr>
            <w:top w:val="none" w:sz="0" w:space="0" w:color="auto"/>
            <w:left w:val="none" w:sz="0" w:space="0" w:color="auto"/>
            <w:bottom w:val="none" w:sz="0" w:space="0" w:color="auto"/>
            <w:right w:val="none" w:sz="0" w:space="0" w:color="auto"/>
          </w:divBdr>
        </w:div>
        <w:div w:id="1077023111">
          <w:marLeft w:val="0"/>
          <w:marRight w:val="0"/>
          <w:marTop w:val="0"/>
          <w:marBottom w:val="0"/>
          <w:divBdr>
            <w:top w:val="none" w:sz="0" w:space="0" w:color="auto"/>
            <w:left w:val="none" w:sz="0" w:space="0" w:color="auto"/>
            <w:bottom w:val="none" w:sz="0" w:space="0" w:color="auto"/>
            <w:right w:val="none" w:sz="0" w:space="0" w:color="auto"/>
          </w:divBdr>
        </w:div>
        <w:div w:id="1309361602">
          <w:marLeft w:val="0"/>
          <w:marRight w:val="0"/>
          <w:marTop w:val="0"/>
          <w:marBottom w:val="0"/>
          <w:divBdr>
            <w:top w:val="none" w:sz="0" w:space="0" w:color="auto"/>
            <w:left w:val="none" w:sz="0" w:space="0" w:color="auto"/>
            <w:bottom w:val="none" w:sz="0" w:space="0" w:color="auto"/>
            <w:right w:val="none" w:sz="0" w:space="0" w:color="auto"/>
          </w:divBdr>
        </w:div>
        <w:div w:id="1379356091">
          <w:marLeft w:val="0"/>
          <w:marRight w:val="0"/>
          <w:marTop w:val="0"/>
          <w:marBottom w:val="0"/>
          <w:divBdr>
            <w:top w:val="none" w:sz="0" w:space="0" w:color="auto"/>
            <w:left w:val="none" w:sz="0" w:space="0" w:color="auto"/>
            <w:bottom w:val="none" w:sz="0" w:space="0" w:color="auto"/>
            <w:right w:val="none" w:sz="0" w:space="0" w:color="auto"/>
          </w:divBdr>
        </w:div>
        <w:div w:id="1402630343">
          <w:marLeft w:val="0"/>
          <w:marRight w:val="0"/>
          <w:marTop w:val="0"/>
          <w:marBottom w:val="0"/>
          <w:divBdr>
            <w:top w:val="none" w:sz="0" w:space="0" w:color="auto"/>
            <w:left w:val="none" w:sz="0" w:space="0" w:color="auto"/>
            <w:bottom w:val="none" w:sz="0" w:space="0" w:color="auto"/>
            <w:right w:val="none" w:sz="0" w:space="0" w:color="auto"/>
          </w:divBdr>
        </w:div>
        <w:div w:id="1426488813">
          <w:marLeft w:val="0"/>
          <w:marRight w:val="0"/>
          <w:marTop w:val="0"/>
          <w:marBottom w:val="0"/>
          <w:divBdr>
            <w:top w:val="none" w:sz="0" w:space="0" w:color="auto"/>
            <w:left w:val="none" w:sz="0" w:space="0" w:color="auto"/>
            <w:bottom w:val="none" w:sz="0" w:space="0" w:color="auto"/>
            <w:right w:val="none" w:sz="0" w:space="0" w:color="auto"/>
          </w:divBdr>
        </w:div>
        <w:div w:id="1444376446">
          <w:marLeft w:val="0"/>
          <w:marRight w:val="0"/>
          <w:marTop w:val="0"/>
          <w:marBottom w:val="0"/>
          <w:divBdr>
            <w:top w:val="none" w:sz="0" w:space="0" w:color="auto"/>
            <w:left w:val="none" w:sz="0" w:space="0" w:color="auto"/>
            <w:bottom w:val="none" w:sz="0" w:space="0" w:color="auto"/>
            <w:right w:val="none" w:sz="0" w:space="0" w:color="auto"/>
          </w:divBdr>
        </w:div>
        <w:div w:id="1742213218">
          <w:marLeft w:val="0"/>
          <w:marRight w:val="0"/>
          <w:marTop w:val="0"/>
          <w:marBottom w:val="0"/>
          <w:divBdr>
            <w:top w:val="none" w:sz="0" w:space="0" w:color="auto"/>
            <w:left w:val="none" w:sz="0" w:space="0" w:color="auto"/>
            <w:bottom w:val="none" w:sz="0" w:space="0" w:color="auto"/>
            <w:right w:val="none" w:sz="0" w:space="0" w:color="auto"/>
          </w:divBdr>
        </w:div>
        <w:div w:id="1751733133">
          <w:marLeft w:val="0"/>
          <w:marRight w:val="0"/>
          <w:marTop w:val="0"/>
          <w:marBottom w:val="0"/>
          <w:divBdr>
            <w:top w:val="none" w:sz="0" w:space="0" w:color="auto"/>
            <w:left w:val="none" w:sz="0" w:space="0" w:color="auto"/>
            <w:bottom w:val="none" w:sz="0" w:space="0" w:color="auto"/>
            <w:right w:val="none" w:sz="0" w:space="0" w:color="auto"/>
          </w:divBdr>
        </w:div>
        <w:div w:id="2091077186">
          <w:marLeft w:val="0"/>
          <w:marRight w:val="0"/>
          <w:marTop w:val="0"/>
          <w:marBottom w:val="0"/>
          <w:divBdr>
            <w:top w:val="none" w:sz="0" w:space="0" w:color="auto"/>
            <w:left w:val="none" w:sz="0" w:space="0" w:color="auto"/>
            <w:bottom w:val="none" w:sz="0" w:space="0" w:color="auto"/>
            <w:right w:val="none" w:sz="0" w:space="0" w:color="auto"/>
          </w:divBdr>
        </w:div>
        <w:div w:id="2120757088">
          <w:marLeft w:val="0"/>
          <w:marRight w:val="0"/>
          <w:marTop w:val="0"/>
          <w:marBottom w:val="0"/>
          <w:divBdr>
            <w:top w:val="none" w:sz="0" w:space="0" w:color="auto"/>
            <w:left w:val="none" w:sz="0" w:space="0" w:color="auto"/>
            <w:bottom w:val="none" w:sz="0" w:space="0" w:color="auto"/>
            <w:right w:val="none" w:sz="0" w:space="0" w:color="auto"/>
          </w:divBdr>
        </w:div>
      </w:divsChild>
    </w:div>
    <w:div w:id="17706385">
      <w:bodyDiv w:val="1"/>
      <w:marLeft w:val="0"/>
      <w:marRight w:val="0"/>
      <w:marTop w:val="0"/>
      <w:marBottom w:val="0"/>
      <w:divBdr>
        <w:top w:val="none" w:sz="0" w:space="0" w:color="auto"/>
        <w:left w:val="none" w:sz="0" w:space="0" w:color="auto"/>
        <w:bottom w:val="none" w:sz="0" w:space="0" w:color="auto"/>
        <w:right w:val="none" w:sz="0" w:space="0" w:color="auto"/>
      </w:divBdr>
      <w:divsChild>
        <w:div w:id="451241714">
          <w:marLeft w:val="0"/>
          <w:marRight w:val="0"/>
          <w:marTop w:val="0"/>
          <w:marBottom w:val="0"/>
          <w:divBdr>
            <w:top w:val="none" w:sz="0" w:space="0" w:color="auto"/>
            <w:left w:val="none" w:sz="0" w:space="0" w:color="auto"/>
            <w:bottom w:val="none" w:sz="0" w:space="0" w:color="auto"/>
            <w:right w:val="none" w:sz="0" w:space="0" w:color="auto"/>
          </w:divBdr>
        </w:div>
        <w:div w:id="1144614810">
          <w:marLeft w:val="0"/>
          <w:marRight w:val="0"/>
          <w:marTop w:val="0"/>
          <w:marBottom w:val="0"/>
          <w:divBdr>
            <w:top w:val="none" w:sz="0" w:space="0" w:color="auto"/>
            <w:left w:val="none" w:sz="0" w:space="0" w:color="auto"/>
            <w:bottom w:val="none" w:sz="0" w:space="0" w:color="auto"/>
            <w:right w:val="none" w:sz="0" w:space="0" w:color="auto"/>
          </w:divBdr>
        </w:div>
        <w:div w:id="1733310177">
          <w:marLeft w:val="0"/>
          <w:marRight w:val="0"/>
          <w:marTop w:val="0"/>
          <w:marBottom w:val="0"/>
          <w:divBdr>
            <w:top w:val="none" w:sz="0" w:space="0" w:color="auto"/>
            <w:left w:val="none" w:sz="0" w:space="0" w:color="auto"/>
            <w:bottom w:val="none" w:sz="0" w:space="0" w:color="auto"/>
            <w:right w:val="none" w:sz="0" w:space="0" w:color="auto"/>
          </w:divBdr>
        </w:div>
      </w:divsChild>
    </w:div>
    <w:div w:id="66852626">
      <w:bodyDiv w:val="1"/>
      <w:marLeft w:val="0"/>
      <w:marRight w:val="0"/>
      <w:marTop w:val="0"/>
      <w:marBottom w:val="0"/>
      <w:divBdr>
        <w:top w:val="none" w:sz="0" w:space="0" w:color="auto"/>
        <w:left w:val="none" w:sz="0" w:space="0" w:color="auto"/>
        <w:bottom w:val="none" w:sz="0" w:space="0" w:color="auto"/>
        <w:right w:val="none" w:sz="0" w:space="0" w:color="auto"/>
      </w:divBdr>
    </w:div>
    <w:div w:id="71894091">
      <w:bodyDiv w:val="1"/>
      <w:marLeft w:val="0"/>
      <w:marRight w:val="0"/>
      <w:marTop w:val="0"/>
      <w:marBottom w:val="0"/>
      <w:divBdr>
        <w:top w:val="none" w:sz="0" w:space="0" w:color="auto"/>
        <w:left w:val="none" w:sz="0" w:space="0" w:color="auto"/>
        <w:bottom w:val="none" w:sz="0" w:space="0" w:color="auto"/>
        <w:right w:val="none" w:sz="0" w:space="0" w:color="auto"/>
      </w:divBdr>
      <w:divsChild>
        <w:div w:id="32925512">
          <w:marLeft w:val="0"/>
          <w:marRight w:val="0"/>
          <w:marTop w:val="0"/>
          <w:marBottom w:val="0"/>
          <w:divBdr>
            <w:top w:val="none" w:sz="0" w:space="0" w:color="auto"/>
            <w:left w:val="none" w:sz="0" w:space="0" w:color="auto"/>
            <w:bottom w:val="none" w:sz="0" w:space="0" w:color="auto"/>
            <w:right w:val="none" w:sz="0" w:space="0" w:color="auto"/>
          </w:divBdr>
        </w:div>
        <w:div w:id="92478448">
          <w:marLeft w:val="0"/>
          <w:marRight w:val="0"/>
          <w:marTop w:val="0"/>
          <w:marBottom w:val="0"/>
          <w:divBdr>
            <w:top w:val="none" w:sz="0" w:space="0" w:color="auto"/>
            <w:left w:val="none" w:sz="0" w:space="0" w:color="auto"/>
            <w:bottom w:val="none" w:sz="0" w:space="0" w:color="auto"/>
            <w:right w:val="none" w:sz="0" w:space="0" w:color="auto"/>
          </w:divBdr>
        </w:div>
        <w:div w:id="178391196">
          <w:marLeft w:val="0"/>
          <w:marRight w:val="0"/>
          <w:marTop w:val="0"/>
          <w:marBottom w:val="0"/>
          <w:divBdr>
            <w:top w:val="none" w:sz="0" w:space="0" w:color="auto"/>
            <w:left w:val="none" w:sz="0" w:space="0" w:color="auto"/>
            <w:bottom w:val="none" w:sz="0" w:space="0" w:color="auto"/>
            <w:right w:val="none" w:sz="0" w:space="0" w:color="auto"/>
          </w:divBdr>
        </w:div>
        <w:div w:id="196889228">
          <w:marLeft w:val="0"/>
          <w:marRight w:val="0"/>
          <w:marTop w:val="0"/>
          <w:marBottom w:val="0"/>
          <w:divBdr>
            <w:top w:val="none" w:sz="0" w:space="0" w:color="auto"/>
            <w:left w:val="none" w:sz="0" w:space="0" w:color="auto"/>
            <w:bottom w:val="none" w:sz="0" w:space="0" w:color="auto"/>
            <w:right w:val="none" w:sz="0" w:space="0" w:color="auto"/>
          </w:divBdr>
        </w:div>
        <w:div w:id="264769050">
          <w:marLeft w:val="0"/>
          <w:marRight w:val="0"/>
          <w:marTop w:val="0"/>
          <w:marBottom w:val="0"/>
          <w:divBdr>
            <w:top w:val="none" w:sz="0" w:space="0" w:color="auto"/>
            <w:left w:val="none" w:sz="0" w:space="0" w:color="auto"/>
            <w:bottom w:val="none" w:sz="0" w:space="0" w:color="auto"/>
            <w:right w:val="none" w:sz="0" w:space="0" w:color="auto"/>
          </w:divBdr>
        </w:div>
        <w:div w:id="350958788">
          <w:marLeft w:val="0"/>
          <w:marRight w:val="0"/>
          <w:marTop w:val="0"/>
          <w:marBottom w:val="0"/>
          <w:divBdr>
            <w:top w:val="none" w:sz="0" w:space="0" w:color="auto"/>
            <w:left w:val="none" w:sz="0" w:space="0" w:color="auto"/>
            <w:bottom w:val="none" w:sz="0" w:space="0" w:color="auto"/>
            <w:right w:val="none" w:sz="0" w:space="0" w:color="auto"/>
          </w:divBdr>
        </w:div>
        <w:div w:id="410156415">
          <w:marLeft w:val="0"/>
          <w:marRight w:val="0"/>
          <w:marTop w:val="0"/>
          <w:marBottom w:val="0"/>
          <w:divBdr>
            <w:top w:val="none" w:sz="0" w:space="0" w:color="auto"/>
            <w:left w:val="none" w:sz="0" w:space="0" w:color="auto"/>
            <w:bottom w:val="none" w:sz="0" w:space="0" w:color="auto"/>
            <w:right w:val="none" w:sz="0" w:space="0" w:color="auto"/>
          </w:divBdr>
        </w:div>
        <w:div w:id="431319286">
          <w:marLeft w:val="0"/>
          <w:marRight w:val="0"/>
          <w:marTop w:val="0"/>
          <w:marBottom w:val="0"/>
          <w:divBdr>
            <w:top w:val="none" w:sz="0" w:space="0" w:color="auto"/>
            <w:left w:val="none" w:sz="0" w:space="0" w:color="auto"/>
            <w:bottom w:val="none" w:sz="0" w:space="0" w:color="auto"/>
            <w:right w:val="none" w:sz="0" w:space="0" w:color="auto"/>
          </w:divBdr>
        </w:div>
        <w:div w:id="487788995">
          <w:marLeft w:val="0"/>
          <w:marRight w:val="0"/>
          <w:marTop w:val="0"/>
          <w:marBottom w:val="0"/>
          <w:divBdr>
            <w:top w:val="none" w:sz="0" w:space="0" w:color="auto"/>
            <w:left w:val="none" w:sz="0" w:space="0" w:color="auto"/>
            <w:bottom w:val="none" w:sz="0" w:space="0" w:color="auto"/>
            <w:right w:val="none" w:sz="0" w:space="0" w:color="auto"/>
          </w:divBdr>
        </w:div>
        <w:div w:id="494414460">
          <w:marLeft w:val="0"/>
          <w:marRight w:val="0"/>
          <w:marTop w:val="0"/>
          <w:marBottom w:val="0"/>
          <w:divBdr>
            <w:top w:val="none" w:sz="0" w:space="0" w:color="auto"/>
            <w:left w:val="none" w:sz="0" w:space="0" w:color="auto"/>
            <w:bottom w:val="none" w:sz="0" w:space="0" w:color="auto"/>
            <w:right w:val="none" w:sz="0" w:space="0" w:color="auto"/>
          </w:divBdr>
        </w:div>
        <w:div w:id="510267519">
          <w:marLeft w:val="0"/>
          <w:marRight w:val="0"/>
          <w:marTop w:val="0"/>
          <w:marBottom w:val="0"/>
          <w:divBdr>
            <w:top w:val="none" w:sz="0" w:space="0" w:color="auto"/>
            <w:left w:val="none" w:sz="0" w:space="0" w:color="auto"/>
            <w:bottom w:val="none" w:sz="0" w:space="0" w:color="auto"/>
            <w:right w:val="none" w:sz="0" w:space="0" w:color="auto"/>
          </w:divBdr>
        </w:div>
        <w:div w:id="514004801">
          <w:marLeft w:val="0"/>
          <w:marRight w:val="0"/>
          <w:marTop w:val="0"/>
          <w:marBottom w:val="0"/>
          <w:divBdr>
            <w:top w:val="none" w:sz="0" w:space="0" w:color="auto"/>
            <w:left w:val="none" w:sz="0" w:space="0" w:color="auto"/>
            <w:bottom w:val="none" w:sz="0" w:space="0" w:color="auto"/>
            <w:right w:val="none" w:sz="0" w:space="0" w:color="auto"/>
          </w:divBdr>
        </w:div>
        <w:div w:id="526214768">
          <w:marLeft w:val="0"/>
          <w:marRight w:val="0"/>
          <w:marTop w:val="0"/>
          <w:marBottom w:val="0"/>
          <w:divBdr>
            <w:top w:val="none" w:sz="0" w:space="0" w:color="auto"/>
            <w:left w:val="none" w:sz="0" w:space="0" w:color="auto"/>
            <w:bottom w:val="none" w:sz="0" w:space="0" w:color="auto"/>
            <w:right w:val="none" w:sz="0" w:space="0" w:color="auto"/>
          </w:divBdr>
        </w:div>
        <w:div w:id="618755729">
          <w:marLeft w:val="0"/>
          <w:marRight w:val="0"/>
          <w:marTop w:val="0"/>
          <w:marBottom w:val="0"/>
          <w:divBdr>
            <w:top w:val="none" w:sz="0" w:space="0" w:color="auto"/>
            <w:left w:val="none" w:sz="0" w:space="0" w:color="auto"/>
            <w:bottom w:val="none" w:sz="0" w:space="0" w:color="auto"/>
            <w:right w:val="none" w:sz="0" w:space="0" w:color="auto"/>
          </w:divBdr>
        </w:div>
        <w:div w:id="650990215">
          <w:marLeft w:val="0"/>
          <w:marRight w:val="0"/>
          <w:marTop w:val="0"/>
          <w:marBottom w:val="0"/>
          <w:divBdr>
            <w:top w:val="none" w:sz="0" w:space="0" w:color="auto"/>
            <w:left w:val="none" w:sz="0" w:space="0" w:color="auto"/>
            <w:bottom w:val="none" w:sz="0" w:space="0" w:color="auto"/>
            <w:right w:val="none" w:sz="0" w:space="0" w:color="auto"/>
          </w:divBdr>
        </w:div>
        <w:div w:id="675763125">
          <w:marLeft w:val="0"/>
          <w:marRight w:val="0"/>
          <w:marTop w:val="0"/>
          <w:marBottom w:val="0"/>
          <w:divBdr>
            <w:top w:val="none" w:sz="0" w:space="0" w:color="auto"/>
            <w:left w:val="none" w:sz="0" w:space="0" w:color="auto"/>
            <w:bottom w:val="none" w:sz="0" w:space="0" w:color="auto"/>
            <w:right w:val="none" w:sz="0" w:space="0" w:color="auto"/>
          </w:divBdr>
        </w:div>
        <w:div w:id="696470248">
          <w:marLeft w:val="0"/>
          <w:marRight w:val="0"/>
          <w:marTop w:val="0"/>
          <w:marBottom w:val="0"/>
          <w:divBdr>
            <w:top w:val="none" w:sz="0" w:space="0" w:color="auto"/>
            <w:left w:val="none" w:sz="0" w:space="0" w:color="auto"/>
            <w:bottom w:val="none" w:sz="0" w:space="0" w:color="auto"/>
            <w:right w:val="none" w:sz="0" w:space="0" w:color="auto"/>
          </w:divBdr>
        </w:div>
        <w:div w:id="799227182">
          <w:marLeft w:val="0"/>
          <w:marRight w:val="0"/>
          <w:marTop w:val="0"/>
          <w:marBottom w:val="0"/>
          <w:divBdr>
            <w:top w:val="none" w:sz="0" w:space="0" w:color="auto"/>
            <w:left w:val="none" w:sz="0" w:space="0" w:color="auto"/>
            <w:bottom w:val="none" w:sz="0" w:space="0" w:color="auto"/>
            <w:right w:val="none" w:sz="0" w:space="0" w:color="auto"/>
          </w:divBdr>
        </w:div>
        <w:div w:id="850333985">
          <w:marLeft w:val="0"/>
          <w:marRight w:val="0"/>
          <w:marTop w:val="0"/>
          <w:marBottom w:val="0"/>
          <w:divBdr>
            <w:top w:val="none" w:sz="0" w:space="0" w:color="auto"/>
            <w:left w:val="none" w:sz="0" w:space="0" w:color="auto"/>
            <w:bottom w:val="none" w:sz="0" w:space="0" w:color="auto"/>
            <w:right w:val="none" w:sz="0" w:space="0" w:color="auto"/>
          </w:divBdr>
        </w:div>
        <w:div w:id="878593116">
          <w:marLeft w:val="0"/>
          <w:marRight w:val="0"/>
          <w:marTop w:val="0"/>
          <w:marBottom w:val="0"/>
          <w:divBdr>
            <w:top w:val="none" w:sz="0" w:space="0" w:color="auto"/>
            <w:left w:val="none" w:sz="0" w:space="0" w:color="auto"/>
            <w:bottom w:val="none" w:sz="0" w:space="0" w:color="auto"/>
            <w:right w:val="none" w:sz="0" w:space="0" w:color="auto"/>
          </w:divBdr>
        </w:div>
        <w:div w:id="929701003">
          <w:marLeft w:val="0"/>
          <w:marRight w:val="0"/>
          <w:marTop w:val="0"/>
          <w:marBottom w:val="0"/>
          <w:divBdr>
            <w:top w:val="none" w:sz="0" w:space="0" w:color="auto"/>
            <w:left w:val="none" w:sz="0" w:space="0" w:color="auto"/>
            <w:bottom w:val="none" w:sz="0" w:space="0" w:color="auto"/>
            <w:right w:val="none" w:sz="0" w:space="0" w:color="auto"/>
          </w:divBdr>
        </w:div>
        <w:div w:id="960456817">
          <w:marLeft w:val="0"/>
          <w:marRight w:val="0"/>
          <w:marTop w:val="0"/>
          <w:marBottom w:val="0"/>
          <w:divBdr>
            <w:top w:val="none" w:sz="0" w:space="0" w:color="auto"/>
            <w:left w:val="none" w:sz="0" w:space="0" w:color="auto"/>
            <w:bottom w:val="none" w:sz="0" w:space="0" w:color="auto"/>
            <w:right w:val="none" w:sz="0" w:space="0" w:color="auto"/>
          </w:divBdr>
        </w:div>
        <w:div w:id="981928862">
          <w:marLeft w:val="0"/>
          <w:marRight w:val="0"/>
          <w:marTop w:val="0"/>
          <w:marBottom w:val="0"/>
          <w:divBdr>
            <w:top w:val="none" w:sz="0" w:space="0" w:color="auto"/>
            <w:left w:val="none" w:sz="0" w:space="0" w:color="auto"/>
            <w:bottom w:val="none" w:sz="0" w:space="0" w:color="auto"/>
            <w:right w:val="none" w:sz="0" w:space="0" w:color="auto"/>
          </w:divBdr>
        </w:div>
        <w:div w:id="1010525561">
          <w:marLeft w:val="0"/>
          <w:marRight w:val="0"/>
          <w:marTop w:val="0"/>
          <w:marBottom w:val="0"/>
          <w:divBdr>
            <w:top w:val="none" w:sz="0" w:space="0" w:color="auto"/>
            <w:left w:val="none" w:sz="0" w:space="0" w:color="auto"/>
            <w:bottom w:val="none" w:sz="0" w:space="0" w:color="auto"/>
            <w:right w:val="none" w:sz="0" w:space="0" w:color="auto"/>
          </w:divBdr>
        </w:div>
        <w:div w:id="1047606329">
          <w:marLeft w:val="0"/>
          <w:marRight w:val="0"/>
          <w:marTop w:val="0"/>
          <w:marBottom w:val="0"/>
          <w:divBdr>
            <w:top w:val="none" w:sz="0" w:space="0" w:color="auto"/>
            <w:left w:val="none" w:sz="0" w:space="0" w:color="auto"/>
            <w:bottom w:val="none" w:sz="0" w:space="0" w:color="auto"/>
            <w:right w:val="none" w:sz="0" w:space="0" w:color="auto"/>
          </w:divBdr>
        </w:div>
        <w:div w:id="1066493241">
          <w:marLeft w:val="0"/>
          <w:marRight w:val="0"/>
          <w:marTop w:val="0"/>
          <w:marBottom w:val="0"/>
          <w:divBdr>
            <w:top w:val="none" w:sz="0" w:space="0" w:color="auto"/>
            <w:left w:val="none" w:sz="0" w:space="0" w:color="auto"/>
            <w:bottom w:val="none" w:sz="0" w:space="0" w:color="auto"/>
            <w:right w:val="none" w:sz="0" w:space="0" w:color="auto"/>
          </w:divBdr>
        </w:div>
        <w:div w:id="1112092152">
          <w:marLeft w:val="0"/>
          <w:marRight w:val="0"/>
          <w:marTop w:val="0"/>
          <w:marBottom w:val="0"/>
          <w:divBdr>
            <w:top w:val="none" w:sz="0" w:space="0" w:color="auto"/>
            <w:left w:val="none" w:sz="0" w:space="0" w:color="auto"/>
            <w:bottom w:val="none" w:sz="0" w:space="0" w:color="auto"/>
            <w:right w:val="none" w:sz="0" w:space="0" w:color="auto"/>
          </w:divBdr>
        </w:div>
        <w:div w:id="1136335712">
          <w:marLeft w:val="0"/>
          <w:marRight w:val="0"/>
          <w:marTop w:val="0"/>
          <w:marBottom w:val="0"/>
          <w:divBdr>
            <w:top w:val="none" w:sz="0" w:space="0" w:color="auto"/>
            <w:left w:val="none" w:sz="0" w:space="0" w:color="auto"/>
            <w:bottom w:val="none" w:sz="0" w:space="0" w:color="auto"/>
            <w:right w:val="none" w:sz="0" w:space="0" w:color="auto"/>
          </w:divBdr>
        </w:div>
        <w:div w:id="1195387496">
          <w:marLeft w:val="0"/>
          <w:marRight w:val="0"/>
          <w:marTop w:val="0"/>
          <w:marBottom w:val="0"/>
          <w:divBdr>
            <w:top w:val="none" w:sz="0" w:space="0" w:color="auto"/>
            <w:left w:val="none" w:sz="0" w:space="0" w:color="auto"/>
            <w:bottom w:val="none" w:sz="0" w:space="0" w:color="auto"/>
            <w:right w:val="none" w:sz="0" w:space="0" w:color="auto"/>
          </w:divBdr>
        </w:div>
        <w:div w:id="1305617464">
          <w:marLeft w:val="0"/>
          <w:marRight w:val="0"/>
          <w:marTop w:val="0"/>
          <w:marBottom w:val="0"/>
          <w:divBdr>
            <w:top w:val="none" w:sz="0" w:space="0" w:color="auto"/>
            <w:left w:val="none" w:sz="0" w:space="0" w:color="auto"/>
            <w:bottom w:val="none" w:sz="0" w:space="0" w:color="auto"/>
            <w:right w:val="none" w:sz="0" w:space="0" w:color="auto"/>
          </w:divBdr>
        </w:div>
        <w:div w:id="1383990368">
          <w:marLeft w:val="0"/>
          <w:marRight w:val="0"/>
          <w:marTop w:val="0"/>
          <w:marBottom w:val="0"/>
          <w:divBdr>
            <w:top w:val="none" w:sz="0" w:space="0" w:color="auto"/>
            <w:left w:val="none" w:sz="0" w:space="0" w:color="auto"/>
            <w:bottom w:val="none" w:sz="0" w:space="0" w:color="auto"/>
            <w:right w:val="none" w:sz="0" w:space="0" w:color="auto"/>
          </w:divBdr>
        </w:div>
        <w:div w:id="1473206711">
          <w:marLeft w:val="0"/>
          <w:marRight w:val="0"/>
          <w:marTop w:val="0"/>
          <w:marBottom w:val="0"/>
          <w:divBdr>
            <w:top w:val="none" w:sz="0" w:space="0" w:color="auto"/>
            <w:left w:val="none" w:sz="0" w:space="0" w:color="auto"/>
            <w:bottom w:val="none" w:sz="0" w:space="0" w:color="auto"/>
            <w:right w:val="none" w:sz="0" w:space="0" w:color="auto"/>
          </w:divBdr>
        </w:div>
        <w:div w:id="1536235569">
          <w:marLeft w:val="0"/>
          <w:marRight w:val="0"/>
          <w:marTop w:val="0"/>
          <w:marBottom w:val="0"/>
          <w:divBdr>
            <w:top w:val="none" w:sz="0" w:space="0" w:color="auto"/>
            <w:left w:val="none" w:sz="0" w:space="0" w:color="auto"/>
            <w:bottom w:val="none" w:sz="0" w:space="0" w:color="auto"/>
            <w:right w:val="none" w:sz="0" w:space="0" w:color="auto"/>
          </w:divBdr>
        </w:div>
        <w:div w:id="1617299093">
          <w:marLeft w:val="0"/>
          <w:marRight w:val="0"/>
          <w:marTop w:val="0"/>
          <w:marBottom w:val="0"/>
          <w:divBdr>
            <w:top w:val="none" w:sz="0" w:space="0" w:color="auto"/>
            <w:left w:val="none" w:sz="0" w:space="0" w:color="auto"/>
            <w:bottom w:val="none" w:sz="0" w:space="0" w:color="auto"/>
            <w:right w:val="none" w:sz="0" w:space="0" w:color="auto"/>
          </w:divBdr>
        </w:div>
        <w:div w:id="1690911807">
          <w:marLeft w:val="0"/>
          <w:marRight w:val="0"/>
          <w:marTop w:val="0"/>
          <w:marBottom w:val="0"/>
          <w:divBdr>
            <w:top w:val="none" w:sz="0" w:space="0" w:color="auto"/>
            <w:left w:val="none" w:sz="0" w:space="0" w:color="auto"/>
            <w:bottom w:val="none" w:sz="0" w:space="0" w:color="auto"/>
            <w:right w:val="none" w:sz="0" w:space="0" w:color="auto"/>
          </w:divBdr>
        </w:div>
        <w:div w:id="1710689209">
          <w:marLeft w:val="0"/>
          <w:marRight w:val="0"/>
          <w:marTop w:val="0"/>
          <w:marBottom w:val="0"/>
          <w:divBdr>
            <w:top w:val="none" w:sz="0" w:space="0" w:color="auto"/>
            <w:left w:val="none" w:sz="0" w:space="0" w:color="auto"/>
            <w:bottom w:val="none" w:sz="0" w:space="0" w:color="auto"/>
            <w:right w:val="none" w:sz="0" w:space="0" w:color="auto"/>
          </w:divBdr>
        </w:div>
        <w:div w:id="1711832637">
          <w:marLeft w:val="0"/>
          <w:marRight w:val="0"/>
          <w:marTop w:val="0"/>
          <w:marBottom w:val="0"/>
          <w:divBdr>
            <w:top w:val="none" w:sz="0" w:space="0" w:color="auto"/>
            <w:left w:val="none" w:sz="0" w:space="0" w:color="auto"/>
            <w:bottom w:val="none" w:sz="0" w:space="0" w:color="auto"/>
            <w:right w:val="none" w:sz="0" w:space="0" w:color="auto"/>
          </w:divBdr>
        </w:div>
        <w:div w:id="1741908066">
          <w:marLeft w:val="0"/>
          <w:marRight w:val="0"/>
          <w:marTop w:val="0"/>
          <w:marBottom w:val="0"/>
          <w:divBdr>
            <w:top w:val="none" w:sz="0" w:space="0" w:color="auto"/>
            <w:left w:val="none" w:sz="0" w:space="0" w:color="auto"/>
            <w:bottom w:val="none" w:sz="0" w:space="0" w:color="auto"/>
            <w:right w:val="none" w:sz="0" w:space="0" w:color="auto"/>
          </w:divBdr>
        </w:div>
        <w:div w:id="1765608506">
          <w:marLeft w:val="0"/>
          <w:marRight w:val="0"/>
          <w:marTop w:val="0"/>
          <w:marBottom w:val="0"/>
          <w:divBdr>
            <w:top w:val="none" w:sz="0" w:space="0" w:color="auto"/>
            <w:left w:val="none" w:sz="0" w:space="0" w:color="auto"/>
            <w:bottom w:val="none" w:sz="0" w:space="0" w:color="auto"/>
            <w:right w:val="none" w:sz="0" w:space="0" w:color="auto"/>
          </w:divBdr>
        </w:div>
        <w:div w:id="1827085932">
          <w:marLeft w:val="0"/>
          <w:marRight w:val="0"/>
          <w:marTop w:val="0"/>
          <w:marBottom w:val="0"/>
          <w:divBdr>
            <w:top w:val="none" w:sz="0" w:space="0" w:color="auto"/>
            <w:left w:val="none" w:sz="0" w:space="0" w:color="auto"/>
            <w:bottom w:val="none" w:sz="0" w:space="0" w:color="auto"/>
            <w:right w:val="none" w:sz="0" w:space="0" w:color="auto"/>
          </w:divBdr>
        </w:div>
        <w:div w:id="1854108942">
          <w:marLeft w:val="0"/>
          <w:marRight w:val="0"/>
          <w:marTop w:val="0"/>
          <w:marBottom w:val="0"/>
          <w:divBdr>
            <w:top w:val="none" w:sz="0" w:space="0" w:color="auto"/>
            <w:left w:val="none" w:sz="0" w:space="0" w:color="auto"/>
            <w:bottom w:val="none" w:sz="0" w:space="0" w:color="auto"/>
            <w:right w:val="none" w:sz="0" w:space="0" w:color="auto"/>
          </w:divBdr>
        </w:div>
        <w:div w:id="1983654012">
          <w:marLeft w:val="0"/>
          <w:marRight w:val="0"/>
          <w:marTop w:val="0"/>
          <w:marBottom w:val="0"/>
          <w:divBdr>
            <w:top w:val="none" w:sz="0" w:space="0" w:color="auto"/>
            <w:left w:val="none" w:sz="0" w:space="0" w:color="auto"/>
            <w:bottom w:val="none" w:sz="0" w:space="0" w:color="auto"/>
            <w:right w:val="none" w:sz="0" w:space="0" w:color="auto"/>
          </w:divBdr>
        </w:div>
        <w:div w:id="2065445071">
          <w:marLeft w:val="0"/>
          <w:marRight w:val="0"/>
          <w:marTop w:val="0"/>
          <w:marBottom w:val="0"/>
          <w:divBdr>
            <w:top w:val="none" w:sz="0" w:space="0" w:color="auto"/>
            <w:left w:val="none" w:sz="0" w:space="0" w:color="auto"/>
            <w:bottom w:val="none" w:sz="0" w:space="0" w:color="auto"/>
            <w:right w:val="none" w:sz="0" w:space="0" w:color="auto"/>
          </w:divBdr>
        </w:div>
      </w:divsChild>
    </w:div>
    <w:div w:id="98381503">
      <w:bodyDiv w:val="1"/>
      <w:marLeft w:val="0"/>
      <w:marRight w:val="0"/>
      <w:marTop w:val="0"/>
      <w:marBottom w:val="0"/>
      <w:divBdr>
        <w:top w:val="none" w:sz="0" w:space="0" w:color="auto"/>
        <w:left w:val="none" w:sz="0" w:space="0" w:color="auto"/>
        <w:bottom w:val="none" w:sz="0" w:space="0" w:color="auto"/>
        <w:right w:val="none" w:sz="0" w:space="0" w:color="auto"/>
      </w:divBdr>
    </w:div>
    <w:div w:id="102195339">
      <w:bodyDiv w:val="1"/>
      <w:marLeft w:val="0"/>
      <w:marRight w:val="0"/>
      <w:marTop w:val="0"/>
      <w:marBottom w:val="0"/>
      <w:divBdr>
        <w:top w:val="none" w:sz="0" w:space="0" w:color="auto"/>
        <w:left w:val="none" w:sz="0" w:space="0" w:color="auto"/>
        <w:bottom w:val="none" w:sz="0" w:space="0" w:color="auto"/>
        <w:right w:val="none" w:sz="0" w:space="0" w:color="auto"/>
      </w:divBdr>
    </w:div>
    <w:div w:id="117989317">
      <w:bodyDiv w:val="1"/>
      <w:marLeft w:val="0"/>
      <w:marRight w:val="0"/>
      <w:marTop w:val="0"/>
      <w:marBottom w:val="0"/>
      <w:divBdr>
        <w:top w:val="none" w:sz="0" w:space="0" w:color="auto"/>
        <w:left w:val="none" w:sz="0" w:space="0" w:color="auto"/>
        <w:bottom w:val="none" w:sz="0" w:space="0" w:color="auto"/>
        <w:right w:val="none" w:sz="0" w:space="0" w:color="auto"/>
      </w:divBdr>
    </w:div>
    <w:div w:id="128130615">
      <w:bodyDiv w:val="1"/>
      <w:marLeft w:val="0"/>
      <w:marRight w:val="0"/>
      <w:marTop w:val="0"/>
      <w:marBottom w:val="0"/>
      <w:divBdr>
        <w:top w:val="none" w:sz="0" w:space="0" w:color="auto"/>
        <w:left w:val="none" w:sz="0" w:space="0" w:color="auto"/>
        <w:bottom w:val="none" w:sz="0" w:space="0" w:color="auto"/>
        <w:right w:val="none" w:sz="0" w:space="0" w:color="auto"/>
      </w:divBdr>
    </w:div>
    <w:div w:id="135150296">
      <w:bodyDiv w:val="1"/>
      <w:marLeft w:val="0"/>
      <w:marRight w:val="0"/>
      <w:marTop w:val="0"/>
      <w:marBottom w:val="0"/>
      <w:divBdr>
        <w:top w:val="none" w:sz="0" w:space="0" w:color="auto"/>
        <w:left w:val="none" w:sz="0" w:space="0" w:color="auto"/>
        <w:bottom w:val="none" w:sz="0" w:space="0" w:color="auto"/>
        <w:right w:val="none" w:sz="0" w:space="0" w:color="auto"/>
      </w:divBdr>
    </w:div>
    <w:div w:id="155389584">
      <w:bodyDiv w:val="1"/>
      <w:marLeft w:val="0"/>
      <w:marRight w:val="0"/>
      <w:marTop w:val="0"/>
      <w:marBottom w:val="0"/>
      <w:divBdr>
        <w:top w:val="none" w:sz="0" w:space="0" w:color="auto"/>
        <w:left w:val="none" w:sz="0" w:space="0" w:color="auto"/>
        <w:bottom w:val="none" w:sz="0" w:space="0" w:color="auto"/>
        <w:right w:val="none" w:sz="0" w:space="0" w:color="auto"/>
      </w:divBdr>
      <w:divsChild>
        <w:div w:id="104928510">
          <w:marLeft w:val="0"/>
          <w:marRight w:val="0"/>
          <w:marTop w:val="0"/>
          <w:marBottom w:val="0"/>
          <w:divBdr>
            <w:top w:val="none" w:sz="0" w:space="0" w:color="auto"/>
            <w:left w:val="none" w:sz="0" w:space="0" w:color="auto"/>
            <w:bottom w:val="none" w:sz="0" w:space="0" w:color="auto"/>
            <w:right w:val="none" w:sz="0" w:space="0" w:color="auto"/>
          </w:divBdr>
        </w:div>
        <w:div w:id="351414653">
          <w:marLeft w:val="0"/>
          <w:marRight w:val="0"/>
          <w:marTop w:val="0"/>
          <w:marBottom w:val="0"/>
          <w:divBdr>
            <w:top w:val="none" w:sz="0" w:space="0" w:color="auto"/>
            <w:left w:val="none" w:sz="0" w:space="0" w:color="auto"/>
            <w:bottom w:val="none" w:sz="0" w:space="0" w:color="auto"/>
            <w:right w:val="none" w:sz="0" w:space="0" w:color="auto"/>
          </w:divBdr>
        </w:div>
        <w:div w:id="375933241">
          <w:marLeft w:val="0"/>
          <w:marRight w:val="0"/>
          <w:marTop w:val="0"/>
          <w:marBottom w:val="0"/>
          <w:divBdr>
            <w:top w:val="none" w:sz="0" w:space="0" w:color="auto"/>
            <w:left w:val="none" w:sz="0" w:space="0" w:color="auto"/>
            <w:bottom w:val="none" w:sz="0" w:space="0" w:color="auto"/>
            <w:right w:val="none" w:sz="0" w:space="0" w:color="auto"/>
          </w:divBdr>
        </w:div>
        <w:div w:id="409235169">
          <w:marLeft w:val="0"/>
          <w:marRight w:val="0"/>
          <w:marTop w:val="0"/>
          <w:marBottom w:val="0"/>
          <w:divBdr>
            <w:top w:val="none" w:sz="0" w:space="0" w:color="auto"/>
            <w:left w:val="none" w:sz="0" w:space="0" w:color="auto"/>
            <w:bottom w:val="none" w:sz="0" w:space="0" w:color="auto"/>
            <w:right w:val="none" w:sz="0" w:space="0" w:color="auto"/>
          </w:divBdr>
        </w:div>
        <w:div w:id="464736771">
          <w:marLeft w:val="0"/>
          <w:marRight w:val="0"/>
          <w:marTop w:val="0"/>
          <w:marBottom w:val="0"/>
          <w:divBdr>
            <w:top w:val="none" w:sz="0" w:space="0" w:color="auto"/>
            <w:left w:val="none" w:sz="0" w:space="0" w:color="auto"/>
            <w:bottom w:val="none" w:sz="0" w:space="0" w:color="auto"/>
            <w:right w:val="none" w:sz="0" w:space="0" w:color="auto"/>
          </w:divBdr>
        </w:div>
        <w:div w:id="513767513">
          <w:marLeft w:val="0"/>
          <w:marRight w:val="0"/>
          <w:marTop w:val="0"/>
          <w:marBottom w:val="0"/>
          <w:divBdr>
            <w:top w:val="none" w:sz="0" w:space="0" w:color="auto"/>
            <w:left w:val="none" w:sz="0" w:space="0" w:color="auto"/>
            <w:bottom w:val="none" w:sz="0" w:space="0" w:color="auto"/>
            <w:right w:val="none" w:sz="0" w:space="0" w:color="auto"/>
          </w:divBdr>
        </w:div>
        <w:div w:id="523446531">
          <w:marLeft w:val="0"/>
          <w:marRight w:val="0"/>
          <w:marTop w:val="0"/>
          <w:marBottom w:val="0"/>
          <w:divBdr>
            <w:top w:val="none" w:sz="0" w:space="0" w:color="auto"/>
            <w:left w:val="none" w:sz="0" w:space="0" w:color="auto"/>
            <w:bottom w:val="none" w:sz="0" w:space="0" w:color="auto"/>
            <w:right w:val="none" w:sz="0" w:space="0" w:color="auto"/>
          </w:divBdr>
        </w:div>
        <w:div w:id="688606599">
          <w:marLeft w:val="0"/>
          <w:marRight w:val="0"/>
          <w:marTop w:val="0"/>
          <w:marBottom w:val="0"/>
          <w:divBdr>
            <w:top w:val="none" w:sz="0" w:space="0" w:color="auto"/>
            <w:left w:val="none" w:sz="0" w:space="0" w:color="auto"/>
            <w:bottom w:val="none" w:sz="0" w:space="0" w:color="auto"/>
            <w:right w:val="none" w:sz="0" w:space="0" w:color="auto"/>
          </w:divBdr>
        </w:div>
        <w:div w:id="1024597347">
          <w:marLeft w:val="0"/>
          <w:marRight w:val="0"/>
          <w:marTop w:val="0"/>
          <w:marBottom w:val="0"/>
          <w:divBdr>
            <w:top w:val="none" w:sz="0" w:space="0" w:color="auto"/>
            <w:left w:val="none" w:sz="0" w:space="0" w:color="auto"/>
            <w:bottom w:val="none" w:sz="0" w:space="0" w:color="auto"/>
            <w:right w:val="none" w:sz="0" w:space="0" w:color="auto"/>
          </w:divBdr>
        </w:div>
        <w:div w:id="1055009437">
          <w:marLeft w:val="0"/>
          <w:marRight w:val="0"/>
          <w:marTop w:val="0"/>
          <w:marBottom w:val="0"/>
          <w:divBdr>
            <w:top w:val="none" w:sz="0" w:space="0" w:color="auto"/>
            <w:left w:val="none" w:sz="0" w:space="0" w:color="auto"/>
            <w:bottom w:val="none" w:sz="0" w:space="0" w:color="auto"/>
            <w:right w:val="none" w:sz="0" w:space="0" w:color="auto"/>
          </w:divBdr>
        </w:div>
        <w:div w:id="1215116765">
          <w:marLeft w:val="0"/>
          <w:marRight w:val="0"/>
          <w:marTop w:val="0"/>
          <w:marBottom w:val="0"/>
          <w:divBdr>
            <w:top w:val="none" w:sz="0" w:space="0" w:color="auto"/>
            <w:left w:val="none" w:sz="0" w:space="0" w:color="auto"/>
            <w:bottom w:val="none" w:sz="0" w:space="0" w:color="auto"/>
            <w:right w:val="none" w:sz="0" w:space="0" w:color="auto"/>
          </w:divBdr>
        </w:div>
        <w:div w:id="1482190499">
          <w:marLeft w:val="0"/>
          <w:marRight w:val="0"/>
          <w:marTop w:val="0"/>
          <w:marBottom w:val="0"/>
          <w:divBdr>
            <w:top w:val="none" w:sz="0" w:space="0" w:color="auto"/>
            <w:left w:val="none" w:sz="0" w:space="0" w:color="auto"/>
            <w:bottom w:val="none" w:sz="0" w:space="0" w:color="auto"/>
            <w:right w:val="none" w:sz="0" w:space="0" w:color="auto"/>
          </w:divBdr>
        </w:div>
        <w:div w:id="1600064658">
          <w:marLeft w:val="0"/>
          <w:marRight w:val="0"/>
          <w:marTop w:val="0"/>
          <w:marBottom w:val="0"/>
          <w:divBdr>
            <w:top w:val="none" w:sz="0" w:space="0" w:color="auto"/>
            <w:left w:val="none" w:sz="0" w:space="0" w:color="auto"/>
            <w:bottom w:val="none" w:sz="0" w:space="0" w:color="auto"/>
            <w:right w:val="none" w:sz="0" w:space="0" w:color="auto"/>
          </w:divBdr>
        </w:div>
        <w:div w:id="1627542780">
          <w:marLeft w:val="0"/>
          <w:marRight w:val="0"/>
          <w:marTop w:val="0"/>
          <w:marBottom w:val="0"/>
          <w:divBdr>
            <w:top w:val="none" w:sz="0" w:space="0" w:color="auto"/>
            <w:left w:val="none" w:sz="0" w:space="0" w:color="auto"/>
            <w:bottom w:val="none" w:sz="0" w:space="0" w:color="auto"/>
            <w:right w:val="none" w:sz="0" w:space="0" w:color="auto"/>
          </w:divBdr>
        </w:div>
        <w:div w:id="1658142284">
          <w:marLeft w:val="0"/>
          <w:marRight w:val="0"/>
          <w:marTop w:val="0"/>
          <w:marBottom w:val="0"/>
          <w:divBdr>
            <w:top w:val="none" w:sz="0" w:space="0" w:color="auto"/>
            <w:left w:val="none" w:sz="0" w:space="0" w:color="auto"/>
            <w:bottom w:val="none" w:sz="0" w:space="0" w:color="auto"/>
            <w:right w:val="none" w:sz="0" w:space="0" w:color="auto"/>
          </w:divBdr>
        </w:div>
        <w:div w:id="1660305653">
          <w:marLeft w:val="0"/>
          <w:marRight w:val="0"/>
          <w:marTop w:val="0"/>
          <w:marBottom w:val="0"/>
          <w:divBdr>
            <w:top w:val="none" w:sz="0" w:space="0" w:color="auto"/>
            <w:left w:val="none" w:sz="0" w:space="0" w:color="auto"/>
            <w:bottom w:val="none" w:sz="0" w:space="0" w:color="auto"/>
            <w:right w:val="none" w:sz="0" w:space="0" w:color="auto"/>
          </w:divBdr>
        </w:div>
        <w:div w:id="1667702966">
          <w:marLeft w:val="0"/>
          <w:marRight w:val="0"/>
          <w:marTop w:val="0"/>
          <w:marBottom w:val="0"/>
          <w:divBdr>
            <w:top w:val="none" w:sz="0" w:space="0" w:color="auto"/>
            <w:left w:val="none" w:sz="0" w:space="0" w:color="auto"/>
            <w:bottom w:val="none" w:sz="0" w:space="0" w:color="auto"/>
            <w:right w:val="none" w:sz="0" w:space="0" w:color="auto"/>
          </w:divBdr>
        </w:div>
        <w:div w:id="1721587017">
          <w:marLeft w:val="0"/>
          <w:marRight w:val="0"/>
          <w:marTop w:val="0"/>
          <w:marBottom w:val="0"/>
          <w:divBdr>
            <w:top w:val="none" w:sz="0" w:space="0" w:color="auto"/>
            <w:left w:val="none" w:sz="0" w:space="0" w:color="auto"/>
            <w:bottom w:val="none" w:sz="0" w:space="0" w:color="auto"/>
            <w:right w:val="none" w:sz="0" w:space="0" w:color="auto"/>
          </w:divBdr>
        </w:div>
        <w:div w:id="1769423456">
          <w:marLeft w:val="0"/>
          <w:marRight w:val="0"/>
          <w:marTop w:val="0"/>
          <w:marBottom w:val="0"/>
          <w:divBdr>
            <w:top w:val="none" w:sz="0" w:space="0" w:color="auto"/>
            <w:left w:val="none" w:sz="0" w:space="0" w:color="auto"/>
            <w:bottom w:val="none" w:sz="0" w:space="0" w:color="auto"/>
            <w:right w:val="none" w:sz="0" w:space="0" w:color="auto"/>
          </w:divBdr>
        </w:div>
        <w:div w:id="1810787056">
          <w:marLeft w:val="0"/>
          <w:marRight w:val="0"/>
          <w:marTop w:val="0"/>
          <w:marBottom w:val="0"/>
          <w:divBdr>
            <w:top w:val="none" w:sz="0" w:space="0" w:color="auto"/>
            <w:left w:val="none" w:sz="0" w:space="0" w:color="auto"/>
            <w:bottom w:val="none" w:sz="0" w:space="0" w:color="auto"/>
            <w:right w:val="none" w:sz="0" w:space="0" w:color="auto"/>
          </w:divBdr>
        </w:div>
        <w:div w:id="1837914768">
          <w:marLeft w:val="0"/>
          <w:marRight w:val="0"/>
          <w:marTop w:val="0"/>
          <w:marBottom w:val="0"/>
          <w:divBdr>
            <w:top w:val="none" w:sz="0" w:space="0" w:color="auto"/>
            <w:left w:val="none" w:sz="0" w:space="0" w:color="auto"/>
            <w:bottom w:val="none" w:sz="0" w:space="0" w:color="auto"/>
            <w:right w:val="none" w:sz="0" w:space="0" w:color="auto"/>
          </w:divBdr>
        </w:div>
        <w:div w:id="1959989512">
          <w:marLeft w:val="0"/>
          <w:marRight w:val="0"/>
          <w:marTop w:val="0"/>
          <w:marBottom w:val="0"/>
          <w:divBdr>
            <w:top w:val="none" w:sz="0" w:space="0" w:color="auto"/>
            <w:left w:val="none" w:sz="0" w:space="0" w:color="auto"/>
            <w:bottom w:val="none" w:sz="0" w:space="0" w:color="auto"/>
            <w:right w:val="none" w:sz="0" w:space="0" w:color="auto"/>
          </w:divBdr>
        </w:div>
        <w:div w:id="2020498989">
          <w:marLeft w:val="0"/>
          <w:marRight w:val="0"/>
          <w:marTop w:val="0"/>
          <w:marBottom w:val="0"/>
          <w:divBdr>
            <w:top w:val="none" w:sz="0" w:space="0" w:color="auto"/>
            <w:left w:val="none" w:sz="0" w:space="0" w:color="auto"/>
            <w:bottom w:val="none" w:sz="0" w:space="0" w:color="auto"/>
            <w:right w:val="none" w:sz="0" w:space="0" w:color="auto"/>
          </w:divBdr>
        </w:div>
        <w:div w:id="2096583141">
          <w:marLeft w:val="0"/>
          <w:marRight w:val="0"/>
          <w:marTop w:val="0"/>
          <w:marBottom w:val="0"/>
          <w:divBdr>
            <w:top w:val="none" w:sz="0" w:space="0" w:color="auto"/>
            <w:left w:val="none" w:sz="0" w:space="0" w:color="auto"/>
            <w:bottom w:val="none" w:sz="0" w:space="0" w:color="auto"/>
            <w:right w:val="none" w:sz="0" w:space="0" w:color="auto"/>
          </w:divBdr>
        </w:div>
      </w:divsChild>
    </w:div>
    <w:div w:id="158078174">
      <w:bodyDiv w:val="1"/>
      <w:marLeft w:val="0"/>
      <w:marRight w:val="0"/>
      <w:marTop w:val="0"/>
      <w:marBottom w:val="0"/>
      <w:divBdr>
        <w:top w:val="none" w:sz="0" w:space="0" w:color="auto"/>
        <w:left w:val="none" w:sz="0" w:space="0" w:color="auto"/>
        <w:bottom w:val="none" w:sz="0" w:space="0" w:color="auto"/>
        <w:right w:val="none" w:sz="0" w:space="0" w:color="auto"/>
      </w:divBdr>
    </w:div>
    <w:div w:id="166218166">
      <w:bodyDiv w:val="1"/>
      <w:marLeft w:val="0"/>
      <w:marRight w:val="0"/>
      <w:marTop w:val="0"/>
      <w:marBottom w:val="0"/>
      <w:divBdr>
        <w:top w:val="none" w:sz="0" w:space="0" w:color="auto"/>
        <w:left w:val="none" w:sz="0" w:space="0" w:color="auto"/>
        <w:bottom w:val="none" w:sz="0" w:space="0" w:color="auto"/>
        <w:right w:val="none" w:sz="0" w:space="0" w:color="auto"/>
      </w:divBdr>
    </w:div>
    <w:div w:id="199251181">
      <w:bodyDiv w:val="1"/>
      <w:marLeft w:val="0"/>
      <w:marRight w:val="0"/>
      <w:marTop w:val="0"/>
      <w:marBottom w:val="0"/>
      <w:divBdr>
        <w:top w:val="none" w:sz="0" w:space="0" w:color="auto"/>
        <w:left w:val="none" w:sz="0" w:space="0" w:color="auto"/>
        <w:bottom w:val="none" w:sz="0" w:space="0" w:color="auto"/>
        <w:right w:val="none" w:sz="0" w:space="0" w:color="auto"/>
      </w:divBdr>
    </w:div>
    <w:div w:id="229342811">
      <w:bodyDiv w:val="1"/>
      <w:marLeft w:val="0"/>
      <w:marRight w:val="0"/>
      <w:marTop w:val="0"/>
      <w:marBottom w:val="0"/>
      <w:divBdr>
        <w:top w:val="none" w:sz="0" w:space="0" w:color="auto"/>
        <w:left w:val="none" w:sz="0" w:space="0" w:color="auto"/>
        <w:bottom w:val="none" w:sz="0" w:space="0" w:color="auto"/>
        <w:right w:val="none" w:sz="0" w:space="0" w:color="auto"/>
      </w:divBdr>
    </w:div>
    <w:div w:id="233243704">
      <w:bodyDiv w:val="1"/>
      <w:marLeft w:val="0"/>
      <w:marRight w:val="0"/>
      <w:marTop w:val="0"/>
      <w:marBottom w:val="0"/>
      <w:divBdr>
        <w:top w:val="none" w:sz="0" w:space="0" w:color="auto"/>
        <w:left w:val="none" w:sz="0" w:space="0" w:color="auto"/>
        <w:bottom w:val="none" w:sz="0" w:space="0" w:color="auto"/>
        <w:right w:val="none" w:sz="0" w:space="0" w:color="auto"/>
      </w:divBdr>
    </w:div>
    <w:div w:id="244069606">
      <w:bodyDiv w:val="1"/>
      <w:marLeft w:val="0"/>
      <w:marRight w:val="0"/>
      <w:marTop w:val="0"/>
      <w:marBottom w:val="0"/>
      <w:divBdr>
        <w:top w:val="none" w:sz="0" w:space="0" w:color="auto"/>
        <w:left w:val="none" w:sz="0" w:space="0" w:color="auto"/>
        <w:bottom w:val="none" w:sz="0" w:space="0" w:color="auto"/>
        <w:right w:val="none" w:sz="0" w:space="0" w:color="auto"/>
      </w:divBdr>
    </w:div>
    <w:div w:id="257911456">
      <w:bodyDiv w:val="1"/>
      <w:marLeft w:val="0"/>
      <w:marRight w:val="0"/>
      <w:marTop w:val="0"/>
      <w:marBottom w:val="0"/>
      <w:divBdr>
        <w:top w:val="none" w:sz="0" w:space="0" w:color="auto"/>
        <w:left w:val="none" w:sz="0" w:space="0" w:color="auto"/>
        <w:bottom w:val="none" w:sz="0" w:space="0" w:color="auto"/>
        <w:right w:val="none" w:sz="0" w:space="0" w:color="auto"/>
      </w:divBdr>
      <w:divsChild>
        <w:div w:id="636451409">
          <w:marLeft w:val="0"/>
          <w:marRight w:val="0"/>
          <w:marTop w:val="0"/>
          <w:marBottom w:val="0"/>
          <w:divBdr>
            <w:top w:val="none" w:sz="0" w:space="0" w:color="auto"/>
            <w:left w:val="none" w:sz="0" w:space="0" w:color="auto"/>
            <w:bottom w:val="none" w:sz="0" w:space="0" w:color="auto"/>
            <w:right w:val="none" w:sz="0" w:space="0" w:color="auto"/>
          </w:divBdr>
        </w:div>
        <w:div w:id="747189388">
          <w:marLeft w:val="0"/>
          <w:marRight w:val="0"/>
          <w:marTop w:val="0"/>
          <w:marBottom w:val="0"/>
          <w:divBdr>
            <w:top w:val="none" w:sz="0" w:space="0" w:color="auto"/>
            <w:left w:val="none" w:sz="0" w:space="0" w:color="auto"/>
            <w:bottom w:val="none" w:sz="0" w:space="0" w:color="auto"/>
            <w:right w:val="none" w:sz="0" w:space="0" w:color="auto"/>
          </w:divBdr>
        </w:div>
        <w:div w:id="783773281">
          <w:marLeft w:val="0"/>
          <w:marRight w:val="0"/>
          <w:marTop w:val="0"/>
          <w:marBottom w:val="0"/>
          <w:divBdr>
            <w:top w:val="none" w:sz="0" w:space="0" w:color="auto"/>
            <w:left w:val="none" w:sz="0" w:space="0" w:color="auto"/>
            <w:bottom w:val="none" w:sz="0" w:space="0" w:color="auto"/>
            <w:right w:val="none" w:sz="0" w:space="0" w:color="auto"/>
          </w:divBdr>
        </w:div>
        <w:div w:id="1230733129">
          <w:marLeft w:val="0"/>
          <w:marRight w:val="0"/>
          <w:marTop w:val="0"/>
          <w:marBottom w:val="0"/>
          <w:divBdr>
            <w:top w:val="none" w:sz="0" w:space="0" w:color="auto"/>
            <w:left w:val="none" w:sz="0" w:space="0" w:color="auto"/>
            <w:bottom w:val="none" w:sz="0" w:space="0" w:color="auto"/>
            <w:right w:val="none" w:sz="0" w:space="0" w:color="auto"/>
          </w:divBdr>
        </w:div>
        <w:div w:id="1309286701">
          <w:marLeft w:val="0"/>
          <w:marRight w:val="0"/>
          <w:marTop w:val="0"/>
          <w:marBottom w:val="0"/>
          <w:divBdr>
            <w:top w:val="none" w:sz="0" w:space="0" w:color="auto"/>
            <w:left w:val="none" w:sz="0" w:space="0" w:color="auto"/>
            <w:bottom w:val="none" w:sz="0" w:space="0" w:color="auto"/>
            <w:right w:val="none" w:sz="0" w:space="0" w:color="auto"/>
          </w:divBdr>
        </w:div>
        <w:div w:id="1324776745">
          <w:marLeft w:val="0"/>
          <w:marRight w:val="0"/>
          <w:marTop w:val="0"/>
          <w:marBottom w:val="0"/>
          <w:divBdr>
            <w:top w:val="none" w:sz="0" w:space="0" w:color="auto"/>
            <w:left w:val="none" w:sz="0" w:space="0" w:color="auto"/>
            <w:bottom w:val="none" w:sz="0" w:space="0" w:color="auto"/>
            <w:right w:val="none" w:sz="0" w:space="0" w:color="auto"/>
          </w:divBdr>
        </w:div>
        <w:div w:id="2010448748">
          <w:marLeft w:val="0"/>
          <w:marRight w:val="0"/>
          <w:marTop w:val="0"/>
          <w:marBottom w:val="0"/>
          <w:divBdr>
            <w:top w:val="none" w:sz="0" w:space="0" w:color="auto"/>
            <w:left w:val="none" w:sz="0" w:space="0" w:color="auto"/>
            <w:bottom w:val="none" w:sz="0" w:space="0" w:color="auto"/>
            <w:right w:val="none" w:sz="0" w:space="0" w:color="auto"/>
          </w:divBdr>
        </w:div>
      </w:divsChild>
    </w:div>
    <w:div w:id="262960586">
      <w:bodyDiv w:val="1"/>
      <w:marLeft w:val="0"/>
      <w:marRight w:val="0"/>
      <w:marTop w:val="0"/>
      <w:marBottom w:val="0"/>
      <w:divBdr>
        <w:top w:val="none" w:sz="0" w:space="0" w:color="auto"/>
        <w:left w:val="none" w:sz="0" w:space="0" w:color="auto"/>
        <w:bottom w:val="none" w:sz="0" w:space="0" w:color="auto"/>
        <w:right w:val="none" w:sz="0" w:space="0" w:color="auto"/>
      </w:divBdr>
      <w:divsChild>
        <w:div w:id="22487569">
          <w:marLeft w:val="0"/>
          <w:marRight w:val="0"/>
          <w:marTop w:val="0"/>
          <w:marBottom w:val="0"/>
          <w:divBdr>
            <w:top w:val="none" w:sz="0" w:space="0" w:color="auto"/>
            <w:left w:val="none" w:sz="0" w:space="0" w:color="auto"/>
            <w:bottom w:val="none" w:sz="0" w:space="0" w:color="auto"/>
            <w:right w:val="none" w:sz="0" w:space="0" w:color="auto"/>
          </w:divBdr>
        </w:div>
        <w:div w:id="213204328">
          <w:marLeft w:val="0"/>
          <w:marRight w:val="0"/>
          <w:marTop w:val="0"/>
          <w:marBottom w:val="0"/>
          <w:divBdr>
            <w:top w:val="none" w:sz="0" w:space="0" w:color="auto"/>
            <w:left w:val="none" w:sz="0" w:space="0" w:color="auto"/>
            <w:bottom w:val="none" w:sz="0" w:space="0" w:color="auto"/>
            <w:right w:val="none" w:sz="0" w:space="0" w:color="auto"/>
          </w:divBdr>
        </w:div>
        <w:div w:id="217787282">
          <w:marLeft w:val="0"/>
          <w:marRight w:val="0"/>
          <w:marTop w:val="0"/>
          <w:marBottom w:val="0"/>
          <w:divBdr>
            <w:top w:val="none" w:sz="0" w:space="0" w:color="auto"/>
            <w:left w:val="none" w:sz="0" w:space="0" w:color="auto"/>
            <w:bottom w:val="none" w:sz="0" w:space="0" w:color="auto"/>
            <w:right w:val="none" w:sz="0" w:space="0" w:color="auto"/>
          </w:divBdr>
        </w:div>
        <w:div w:id="217933508">
          <w:marLeft w:val="0"/>
          <w:marRight w:val="0"/>
          <w:marTop w:val="0"/>
          <w:marBottom w:val="0"/>
          <w:divBdr>
            <w:top w:val="none" w:sz="0" w:space="0" w:color="auto"/>
            <w:left w:val="none" w:sz="0" w:space="0" w:color="auto"/>
            <w:bottom w:val="none" w:sz="0" w:space="0" w:color="auto"/>
            <w:right w:val="none" w:sz="0" w:space="0" w:color="auto"/>
          </w:divBdr>
        </w:div>
        <w:div w:id="387649309">
          <w:marLeft w:val="0"/>
          <w:marRight w:val="0"/>
          <w:marTop w:val="0"/>
          <w:marBottom w:val="0"/>
          <w:divBdr>
            <w:top w:val="none" w:sz="0" w:space="0" w:color="auto"/>
            <w:left w:val="none" w:sz="0" w:space="0" w:color="auto"/>
            <w:bottom w:val="none" w:sz="0" w:space="0" w:color="auto"/>
            <w:right w:val="none" w:sz="0" w:space="0" w:color="auto"/>
          </w:divBdr>
        </w:div>
        <w:div w:id="1255043787">
          <w:marLeft w:val="0"/>
          <w:marRight w:val="0"/>
          <w:marTop w:val="0"/>
          <w:marBottom w:val="0"/>
          <w:divBdr>
            <w:top w:val="none" w:sz="0" w:space="0" w:color="auto"/>
            <w:left w:val="none" w:sz="0" w:space="0" w:color="auto"/>
            <w:bottom w:val="none" w:sz="0" w:space="0" w:color="auto"/>
            <w:right w:val="none" w:sz="0" w:space="0" w:color="auto"/>
          </w:divBdr>
        </w:div>
        <w:div w:id="1671172528">
          <w:marLeft w:val="0"/>
          <w:marRight w:val="0"/>
          <w:marTop w:val="0"/>
          <w:marBottom w:val="0"/>
          <w:divBdr>
            <w:top w:val="none" w:sz="0" w:space="0" w:color="auto"/>
            <w:left w:val="none" w:sz="0" w:space="0" w:color="auto"/>
            <w:bottom w:val="none" w:sz="0" w:space="0" w:color="auto"/>
            <w:right w:val="none" w:sz="0" w:space="0" w:color="auto"/>
          </w:divBdr>
        </w:div>
        <w:div w:id="1676804263">
          <w:marLeft w:val="0"/>
          <w:marRight w:val="0"/>
          <w:marTop w:val="0"/>
          <w:marBottom w:val="0"/>
          <w:divBdr>
            <w:top w:val="none" w:sz="0" w:space="0" w:color="auto"/>
            <w:left w:val="none" w:sz="0" w:space="0" w:color="auto"/>
            <w:bottom w:val="none" w:sz="0" w:space="0" w:color="auto"/>
            <w:right w:val="none" w:sz="0" w:space="0" w:color="auto"/>
          </w:divBdr>
        </w:div>
        <w:div w:id="1703440368">
          <w:marLeft w:val="0"/>
          <w:marRight w:val="0"/>
          <w:marTop w:val="0"/>
          <w:marBottom w:val="0"/>
          <w:divBdr>
            <w:top w:val="none" w:sz="0" w:space="0" w:color="auto"/>
            <w:left w:val="none" w:sz="0" w:space="0" w:color="auto"/>
            <w:bottom w:val="none" w:sz="0" w:space="0" w:color="auto"/>
            <w:right w:val="none" w:sz="0" w:space="0" w:color="auto"/>
          </w:divBdr>
        </w:div>
        <w:div w:id="1761025613">
          <w:marLeft w:val="0"/>
          <w:marRight w:val="0"/>
          <w:marTop w:val="0"/>
          <w:marBottom w:val="0"/>
          <w:divBdr>
            <w:top w:val="none" w:sz="0" w:space="0" w:color="auto"/>
            <w:left w:val="none" w:sz="0" w:space="0" w:color="auto"/>
            <w:bottom w:val="none" w:sz="0" w:space="0" w:color="auto"/>
            <w:right w:val="none" w:sz="0" w:space="0" w:color="auto"/>
          </w:divBdr>
        </w:div>
        <w:div w:id="1788894079">
          <w:marLeft w:val="0"/>
          <w:marRight w:val="0"/>
          <w:marTop w:val="0"/>
          <w:marBottom w:val="0"/>
          <w:divBdr>
            <w:top w:val="none" w:sz="0" w:space="0" w:color="auto"/>
            <w:left w:val="none" w:sz="0" w:space="0" w:color="auto"/>
            <w:bottom w:val="none" w:sz="0" w:space="0" w:color="auto"/>
            <w:right w:val="none" w:sz="0" w:space="0" w:color="auto"/>
          </w:divBdr>
        </w:div>
        <w:div w:id="1872914325">
          <w:marLeft w:val="0"/>
          <w:marRight w:val="0"/>
          <w:marTop w:val="0"/>
          <w:marBottom w:val="0"/>
          <w:divBdr>
            <w:top w:val="none" w:sz="0" w:space="0" w:color="auto"/>
            <w:left w:val="none" w:sz="0" w:space="0" w:color="auto"/>
            <w:bottom w:val="none" w:sz="0" w:space="0" w:color="auto"/>
            <w:right w:val="none" w:sz="0" w:space="0" w:color="auto"/>
          </w:divBdr>
        </w:div>
        <w:div w:id="1993026269">
          <w:marLeft w:val="0"/>
          <w:marRight w:val="0"/>
          <w:marTop w:val="0"/>
          <w:marBottom w:val="0"/>
          <w:divBdr>
            <w:top w:val="none" w:sz="0" w:space="0" w:color="auto"/>
            <w:left w:val="none" w:sz="0" w:space="0" w:color="auto"/>
            <w:bottom w:val="none" w:sz="0" w:space="0" w:color="auto"/>
            <w:right w:val="none" w:sz="0" w:space="0" w:color="auto"/>
          </w:divBdr>
        </w:div>
      </w:divsChild>
    </w:div>
    <w:div w:id="300499240">
      <w:bodyDiv w:val="1"/>
      <w:marLeft w:val="0"/>
      <w:marRight w:val="0"/>
      <w:marTop w:val="0"/>
      <w:marBottom w:val="0"/>
      <w:divBdr>
        <w:top w:val="none" w:sz="0" w:space="0" w:color="auto"/>
        <w:left w:val="none" w:sz="0" w:space="0" w:color="auto"/>
        <w:bottom w:val="none" w:sz="0" w:space="0" w:color="auto"/>
        <w:right w:val="none" w:sz="0" w:space="0" w:color="auto"/>
      </w:divBdr>
    </w:div>
    <w:div w:id="303972720">
      <w:bodyDiv w:val="1"/>
      <w:marLeft w:val="0"/>
      <w:marRight w:val="0"/>
      <w:marTop w:val="0"/>
      <w:marBottom w:val="0"/>
      <w:divBdr>
        <w:top w:val="none" w:sz="0" w:space="0" w:color="auto"/>
        <w:left w:val="none" w:sz="0" w:space="0" w:color="auto"/>
        <w:bottom w:val="none" w:sz="0" w:space="0" w:color="auto"/>
        <w:right w:val="none" w:sz="0" w:space="0" w:color="auto"/>
      </w:divBdr>
    </w:div>
    <w:div w:id="305166370">
      <w:bodyDiv w:val="1"/>
      <w:marLeft w:val="0"/>
      <w:marRight w:val="0"/>
      <w:marTop w:val="0"/>
      <w:marBottom w:val="0"/>
      <w:divBdr>
        <w:top w:val="none" w:sz="0" w:space="0" w:color="auto"/>
        <w:left w:val="none" w:sz="0" w:space="0" w:color="auto"/>
        <w:bottom w:val="none" w:sz="0" w:space="0" w:color="auto"/>
        <w:right w:val="none" w:sz="0" w:space="0" w:color="auto"/>
      </w:divBdr>
    </w:div>
    <w:div w:id="321587481">
      <w:bodyDiv w:val="1"/>
      <w:marLeft w:val="0"/>
      <w:marRight w:val="0"/>
      <w:marTop w:val="0"/>
      <w:marBottom w:val="0"/>
      <w:divBdr>
        <w:top w:val="none" w:sz="0" w:space="0" w:color="auto"/>
        <w:left w:val="none" w:sz="0" w:space="0" w:color="auto"/>
        <w:bottom w:val="none" w:sz="0" w:space="0" w:color="auto"/>
        <w:right w:val="none" w:sz="0" w:space="0" w:color="auto"/>
      </w:divBdr>
    </w:div>
    <w:div w:id="325715867">
      <w:bodyDiv w:val="1"/>
      <w:marLeft w:val="0"/>
      <w:marRight w:val="0"/>
      <w:marTop w:val="0"/>
      <w:marBottom w:val="0"/>
      <w:divBdr>
        <w:top w:val="none" w:sz="0" w:space="0" w:color="auto"/>
        <w:left w:val="none" w:sz="0" w:space="0" w:color="auto"/>
        <w:bottom w:val="none" w:sz="0" w:space="0" w:color="auto"/>
        <w:right w:val="none" w:sz="0" w:space="0" w:color="auto"/>
      </w:divBdr>
    </w:div>
    <w:div w:id="335424179">
      <w:bodyDiv w:val="1"/>
      <w:marLeft w:val="0"/>
      <w:marRight w:val="0"/>
      <w:marTop w:val="0"/>
      <w:marBottom w:val="0"/>
      <w:divBdr>
        <w:top w:val="none" w:sz="0" w:space="0" w:color="auto"/>
        <w:left w:val="none" w:sz="0" w:space="0" w:color="auto"/>
        <w:bottom w:val="none" w:sz="0" w:space="0" w:color="auto"/>
        <w:right w:val="none" w:sz="0" w:space="0" w:color="auto"/>
      </w:divBdr>
    </w:div>
    <w:div w:id="348874069">
      <w:bodyDiv w:val="1"/>
      <w:marLeft w:val="0"/>
      <w:marRight w:val="0"/>
      <w:marTop w:val="0"/>
      <w:marBottom w:val="0"/>
      <w:divBdr>
        <w:top w:val="none" w:sz="0" w:space="0" w:color="auto"/>
        <w:left w:val="none" w:sz="0" w:space="0" w:color="auto"/>
        <w:bottom w:val="none" w:sz="0" w:space="0" w:color="auto"/>
        <w:right w:val="none" w:sz="0" w:space="0" w:color="auto"/>
      </w:divBdr>
    </w:div>
    <w:div w:id="353575156">
      <w:bodyDiv w:val="1"/>
      <w:marLeft w:val="0"/>
      <w:marRight w:val="0"/>
      <w:marTop w:val="0"/>
      <w:marBottom w:val="0"/>
      <w:divBdr>
        <w:top w:val="none" w:sz="0" w:space="0" w:color="auto"/>
        <w:left w:val="none" w:sz="0" w:space="0" w:color="auto"/>
        <w:bottom w:val="none" w:sz="0" w:space="0" w:color="auto"/>
        <w:right w:val="none" w:sz="0" w:space="0" w:color="auto"/>
      </w:divBdr>
    </w:div>
    <w:div w:id="358551960">
      <w:bodyDiv w:val="1"/>
      <w:marLeft w:val="0"/>
      <w:marRight w:val="0"/>
      <w:marTop w:val="0"/>
      <w:marBottom w:val="0"/>
      <w:divBdr>
        <w:top w:val="none" w:sz="0" w:space="0" w:color="auto"/>
        <w:left w:val="none" w:sz="0" w:space="0" w:color="auto"/>
        <w:bottom w:val="none" w:sz="0" w:space="0" w:color="auto"/>
        <w:right w:val="none" w:sz="0" w:space="0" w:color="auto"/>
      </w:divBdr>
    </w:div>
    <w:div w:id="376710306">
      <w:bodyDiv w:val="1"/>
      <w:marLeft w:val="0"/>
      <w:marRight w:val="0"/>
      <w:marTop w:val="0"/>
      <w:marBottom w:val="0"/>
      <w:divBdr>
        <w:top w:val="none" w:sz="0" w:space="0" w:color="auto"/>
        <w:left w:val="none" w:sz="0" w:space="0" w:color="auto"/>
        <w:bottom w:val="none" w:sz="0" w:space="0" w:color="auto"/>
        <w:right w:val="none" w:sz="0" w:space="0" w:color="auto"/>
      </w:divBdr>
    </w:div>
    <w:div w:id="377899524">
      <w:bodyDiv w:val="1"/>
      <w:marLeft w:val="0"/>
      <w:marRight w:val="0"/>
      <w:marTop w:val="0"/>
      <w:marBottom w:val="0"/>
      <w:divBdr>
        <w:top w:val="none" w:sz="0" w:space="0" w:color="auto"/>
        <w:left w:val="none" w:sz="0" w:space="0" w:color="auto"/>
        <w:bottom w:val="none" w:sz="0" w:space="0" w:color="auto"/>
        <w:right w:val="none" w:sz="0" w:space="0" w:color="auto"/>
      </w:divBdr>
    </w:div>
    <w:div w:id="397678974">
      <w:bodyDiv w:val="1"/>
      <w:marLeft w:val="0"/>
      <w:marRight w:val="0"/>
      <w:marTop w:val="0"/>
      <w:marBottom w:val="0"/>
      <w:divBdr>
        <w:top w:val="none" w:sz="0" w:space="0" w:color="auto"/>
        <w:left w:val="none" w:sz="0" w:space="0" w:color="auto"/>
        <w:bottom w:val="none" w:sz="0" w:space="0" w:color="auto"/>
        <w:right w:val="none" w:sz="0" w:space="0" w:color="auto"/>
      </w:divBdr>
    </w:div>
    <w:div w:id="420949679">
      <w:bodyDiv w:val="1"/>
      <w:marLeft w:val="0"/>
      <w:marRight w:val="0"/>
      <w:marTop w:val="0"/>
      <w:marBottom w:val="0"/>
      <w:divBdr>
        <w:top w:val="none" w:sz="0" w:space="0" w:color="auto"/>
        <w:left w:val="none" w:sz="0" w:space="0" w:color="auto"/>
        <w:bottom w:val="none" w:sz="0" w:space="0" w:color="auto"/>
        <w:right w:val="none" w:sz="0" w:space="0" w:color="auto"/>
      </w:divBdr>
    </w:div>
    <w:div w:id="432744595">
      <w:bodyDiv w:val="1"/>
      <w:marLeft w:val="0"/>
      <w:marRight w:val="0"/>
      <w:marTop w:val="0"/>
      <w:marBottom w:val="0"/>
      <w:divBdr>
        <w:top w:val="none" w:sz="0" w:space="0" w:color="auto"/>
        <w:left w:val="none" w:sz="0" w:space="0" w:color="auto"/>
        <w:bottom w:val="none" w:sz="0" w:space="0" w:color="auto"/>
        <w:right w:val="none" w:sz="0" w:space="0" w:color="auto"/>
      </w:divBdr>
    </w:div>
    <w:div w:id="445468482">
      <w:bodyDiv w:val="1"/>
      <w:marLeft w:val="0"/>
      <w:marRight w:val="0"/>
      <w:marTop w:val="0"/>
      <w:marBottom w:val="0"/>
      <w:divBdr>
        <w:top w:val="none" w:sz="0" w:space="0" w:color="auto"/>
        <w:left w:val="none" w:sz="0" w:space="0" w:color="auto"/>
        <w:bottom w:val="none" w:sz="0" w:space="0" w:color="auto"/>
        <w:right w:val="none" w:sz="0" w:space="0" w:color="auto"/>
      </w:divBdr>
    </w:div>
    <w:div w:id="447891779">
      <w:bodyDiv w:val="1"/>
      <w:marLeft w:val="0"/>
      <w:marRight w:val="0"/>
      <w:marTop w:val="0"/>
      <w:marBottom w:val="0"/>
      <w:divBdr>
        <w:top w:val="none" w:sz="0" w:space="0" w:color="auto"/>
        <w:left w:val="none" w:sz="0" w:space="0" w:color="auto"/>
        <w:bottom w:val="none" w:sz="0" w:space="0" w:color="auto"/>
        <w:right w:val="none" w:sz="0" w:space="0" w:color="auto"/>
      </w:divBdr>
    </w:div>
    <w:div w:id="461461209">
      <w:bodyDiv w:val="1"/>
      <w:marLeft w:val="0"/>
      <w:marRight w:val="0"/>
      <w:marTop w:val="0"/>
      <w:marBottom w:val="0"/>
      <w:divBdr>
        <w:top w:val="none" w:sz="0" w:space="0" w:color="auto"/>
        <w:left w:val="none" w:sz="0" w:space="0" w:color="auto"/>
        <w:bottom w:val="none" w:sz="0" w:space="0" w:color="auto"/>
        <w:right w:val="none" w:sz="0" w:space="0" w:color="auto"/>
      </w:divBdr>
    </w:div>
    <w:div w:id="528028946">
      <w:bodyDiv w:val="1"/>
      <w:marLeft w:val="0"/>
      <w:marRight w:val="0"/>
      <w:marTop w:val="0"/>
      <w:marBottom w:val="0"/>
      <w:divBdr>
        <w:top w:val="none" w:sz="0" w:space="0" w:color="auto"/>
        <w:left w:val="none" w:sz="0" w:space="0" w:color="auto"/>
        <w:bottom w:val="none" w:sz="0" w:space="0" w:color="auto"/>
        <w:right w:val="none" w:sz="0" w:space="0" w:color="auto"/>
      </w:divBdr>
    </w:div>
    <w:div w:id="536091754">
      <w:bodyDiv w:val="1"/>
      <w:marLeft w:val="0"/>
      <w:marRight w:val="0"/>
      <w:marTop w:val="0"/>
      <w:marBottom w:val="0"/>
      <w:divBdr>
        <w:top w:val="none" w:sz="0" w:space="0" w:color="auto"/>
        <w:left w:val="none" w:sz="0" w:space="0" w:color="auto"/>
        <w:bottom w:val="none" w:sz="0" w:space="0" w:color="auto"/>
        <w:right w:val="none" w:sz="0" w:space="0" w:color="auto"/>
      </w:divBdr>
      <w:divsChild>
        <w:div w:id="42751447">
          <w:marLeft w:val="0"/>
          <w:marRight w:val="0"/>
          <w:marTop w:val="0"/>
          <w:marBottom w:val="0"/>
          <w:divBdr>
            <w:top w:val="none" w:sz="0" w:space="0" w:color="auto"/>
            <w:left w:val="none" w:sz="0" w:space="0" w:color="auto"/>
            <w:bottom w:val="none" w:sz="0" w:space="0" w:color="auto"/>
            <w:right w:val="none" w:sz="0" w:space="0" w:color="auto"/>
          </w:divBdr>
        </w:div>
        <w:div w:id="867910320">
          <w:marLeft w:val="0"/>
          <w:marRight w:val="0"/>
          <w:marTop w:val="0"/>
          <w:marBottom w:val="0"/>
          <w:divBdr>
            <w:top w:val="none" w:sz="0" w:space="0" w:color="auto"/>
            <w:left w:val="none" w:sz="0" w:space="0" w:color="auto"/>
            <w:bottom w:val="none" w:sz="0" w:space="0" w:color="auto"/>
            <w:right w:val="none" w:sz="0" w:space="0" w:color="auto"/>
          </w:divBdr>
        </w:div>
        <w:div w:id="1468888018">
          <w:marLeft w:val="0"/>
          <w:marRight w:val="0"/>
          <w:marTop w:val="0"/>
          <w:marBottom w:val="0"/>
          <w:divBdr>
            <w:top w:val="none" w:sz="0" w:space="0" w:color="auto"/>
            <w:left w:val="none" w:sz="0" w:space="0" w:color="auto"/>
            <w:bottom w:val="none" w:sz="0" w:space="0" w:color="auto"/>
            <w:right w:val="none" w:sz="0" w:space="0" w:color="auto"/>
          </w:divBdr>
        </w:div>
        <w:div w:id="1588467226">
          <w:marLeft w:val="0"/>
          <w:marRight w:val="0"/>
          <w:marTop w:val="0"/>
          <w:marBottom w:val="0"/>
          <w:divBdr>
            <w:top w:val="none" w:sz="0" w:space="0" w:color="auto"/>
            <w:left w:val="none" w:sz="0" w:space="0" w:color="auto"/>
            <w:bottom w:val="none" w:sz="0" w:space="0" w:color="auto"/>
            <w:right w:val="none" w:sz="0" w:space="0" w:color="auto"/>
          </w:divBdr>
        </w:div>
        <w:div w:id="1858886550">
          <w:marLeft w:val="0"/>
          <w:marRight w:val="0"/>
          <w:marTop w:val="0"/>
          <w:marBottom w:val="0"/>
          <w:divBdr>
            <w:top w:val="none" w:sz="0" w:space="0" w:color="auto"/>
            <w:left w:val="none" w:sz="0" w:space="0" w:color="auto"/>
            <w:bottom w:val="none" w:sz="0" w:space="0" w:color="auto"/>
            <w:right w:val="none" w:sz="0" w:space="0" w:color="auto"/>
          </w:divBdr>
        </w:div>
        <w:div w:id="1888566202">
          <w:marLeft w:val="0"/>
          <w:marRight w:val="0"/>
          <w:marTop w:val="0"/>
          <w:marBottom w:val="0"/>
          <w:divBdr>
            <w:top w:val="none" w:sz="0" w:space="0" w:color="auto"/>
            <w:left w:val="none" w:sz="0" w:space="0" w:color="auto"/>
            <w:bottom w:val="none" w:sz="0" w:space="0" w:color="auto"/>
            <w:right w:val="none" w:sz="0" w:space="0" w:color="auto"/>
          </w:divBdr>
        </w:div>
        <w:div w:id="1889224644">
          <w:marLeft w:val="0"/>
          <w:marRight w:val="0"/>
          <w:marTop w:val="0"/>
          <w:marBottom w:val="0"/>
          <w:divBdr>
            <w:top w:val="none" w:sz="0" w:space="0" w:color="auto"/>
            <w:left w:val="none" w:sz="0" w:space="0" w:color="auto"/>
            <w:bottom w:val="none" w:sz="0" w:space="0" w:color="auto"/>
            <w:right w:val="none" w:sz="0" w:space="0" w:color="auto"/>
          </w:divBdr>
        </w:div>
        <w:div w:id="2008823247">
          <w:marLeft w:val="0"/>
          <w:marRight w:val="0"/>
          <w:marTop w:val="0"/>
          <w:marBottom w:val="0"/>
          <w:divBdr>
            <w:top w:val="none" w:sz="0" w:space="0" w:color="auto"/>
            <w:left w:val="none" w:sz="0" w:space="0" w:color="auto"/>
            <w:bottom w:val="none" w:sz="0" w:space="0" w:color="auto"/>
            <w:right w:val="none" w:sz="0" w:space="0" w:color="auto"/>
          </w:divBdr>
        </w:div>
      </w:divsChild>
    </w:div>
    <w:div w:id="550769866">
      <w:bodyDiv w:val="1"/>
      <w:marLeft w:val="0"/>
      <w:marRight w:val="0"/>
      <w:marTop w:val="0"/>
      <w:marBottom w:val="0"/>
      <w:divBdr>
        <w:top w:val="none" w:sz="0" w:space="0" w:color="auto"/>
        <w:left w:val="none" w:sz="0" w:space="0" w:color="auto"/>
        <w:bottom w:val="none" w:sz="0" w:space="0" w:color="auto"/>
        <w:right w:val="none" w:sz="0" w:space="0" w:color="auto"/>
      </w:divBdr>
    </w:div>
    <w:div w:id="552540324">
      <w:bodyDiv w:val="1"/>
      <w:marLeft w:val="0"/>
      <w:marRight w:val="0"/>
      <w:marTop w:val="0"/>
      <w:marBottom w:val="0"/>
      <w:divBdr>
        <w:top w:val="none" w:sz="0" w:space="0" w:color="auto"/>
        <w:left w:val="none" w:sz="0" w:space="0" w:color="auto"/>
        <w:bottom w:val="none" w:sz="0" w:space="0" w:color="auto"/>
        <w:right w:val="none" w:sz="0" w:space="0" w:color="auto"/>
      </w:divBdr>
    </w:div>
    <w:div w:id="556821113">
      <w:bodyDiv w:val="1"/>
      <w:marLeft w:val="0"/>
      <w:marRight w:val="0"/>
      <w:marTop w:val="0"/>
      <w:marBottom w:val="0"/>
      <w:divBdr>
        <w:top w:val="none" w:sz="0" w:space="0" w:color="auto"/>
        <w:left w:val="none" w:sz="0" w:space="0" w:color="auto"/>
        <w:bottom w:val="none" w:sz="0" w:space="0" w:color="auto"/>
        <w:right w:val="none" w:sz="0" w:space="0" w:color="auto"/>
      </w:divBdr>
    </w:div>
    <w:div w:id="562722342">
      <w:bodyDiv w:val="1"/>
      <w:marLeft w:val="0"/>
      <w:marRight w:val="0"/>
      <w:marTop w:val="0"/>
      <w:marBottom w:val="0"/>
      <w:divBdr>
        <w:top w:val="none" w:sz="0" w:space="0" w:color="auto"/>
        <w:left w:val="none" w:sz="0" w:space="0" w:color="auto"/>
        <w:bottom w:val="none" w:sz="0" w:space="0" w:color="auto"/>
        <w:right w:val="none" w:sz="0" w:space="0" w:color="auto"/>
      </w:divBdr>
    </w:div>
    <w:div w:id="566381051">
      <w:bodyDiv w:val="1"/>
      <w:marLeft w:val="0"/>
      <w:marRight w:val="0"/>
      <w:marTop w:val="0"/>
      <w:marBottom w:val="0"/>
      <w:divBdr>
        <w:top w:val="none" w:sz="0" w:space="0" w:color="auto"/>
        <w:left w:val="none" w:sz="0" w:space="0" w:color="auto"/>
        <w:bottom w:val="none" w:sz="0" w:space="0" w:color="auto"/>
        <w:right w:val="none" w:sz="0" w:space="0" w:color="auto"/>
      </w:divBdr>
    </w:div>
    <w:div w:id="585069159">
      <w:bodyDiv w:val="1"/>
      <w:marLeft w:val="0"/>
      <w:marRight w:val="0"/>
      <w:marTop w:val="0"/>
      <w:marBottom w:val="0"/>
      <w:divBdr>
        <w:top w:val="none" w:sz="0" w:space="0" w:color="auto"/>
        <w:left w:val="none" w:sz="0" w:space="0" w:color="auto"/>
        <w:bottom w:val="none" w:sz="0" w:space="0" w:color="auto"/>
        <w:right w:val="none" w:sz="0" w:space="0" w:color="auto"/>
      </w:divBdr>
      <w:divsChild>
        <w:div w:id="214780695">
          <w:marLeft w:val="0"/>
          <w:marRight w:val="0"/>
          <w:marTop w:val="0"/>
          <w:marBottom w:val="0"/>
          <w:divBdr>
            <w:top w:val="none" w:sz="0" w:space="0" w:color="auto"/>
            <w:left w:val="none" w:sz="0" w:space="0" w:color="auto"/>
            <w:bottom w:val="none" w:sz="0" w:space="0" w:color="auto"/>
            <w:right w:val="none" w:sz="0" w:space="0" w:color="auto"/>
          </w:divBdr>
        </w:div>
        <w:div w:id="216670044">
          <w:marLeft w:val="0"/>
          <w:marRight w:val="0"/>
          <w:marTop w:val="0"/>
          <w:marBottom w:val="0"/>
          <w:divBdr>
            <w:top w:val="none" w:sz="0" w:space="0" w:color="auto"/>
            <w:left w:val="none" w:sz="0" w:space="0" w:color="auto"/>
            <w:bottom w:val="none" w:sz="0" w:space="0" w:color="auto"/>
            <w:right w:val="none" w:sz="0" w:space="0" w:color="auto"/>
          </w:divBdr>
        </w:div>
        <w:div w:id="226577943">
          <w:marLeft w:val="0"/>
          <w:marRight w:val="0"/>
          <w:marTop w:val="0"/>
          <w:marBottom w:val="0"/>
          <w:divBdr>
            <w:top w:val="none" w:sz="0" w:space="0" w:color="auto"/>
            <w:left w:val="none" w:sz="0" w:space="0" w:color="auto"/>
            <w:bottom w:val="none" w:sz="0" w:space="0" w:color="auto"/>
            <w:right w:val="none" w:sz="0" w:space="0" w:color="auto"/>
          </w:divBdr>
        </w:div>
        <w:div w:id="652879615">
          <w:marLeft w:val="0"/>
          <w:marRight w:val="0"/>
          <w:marTop w:val="0"/>
          <w:marBottom w:val="0"/>
          <w:divBdr>
            <w:top w:val="none" w:sz="0" w:space="0" w:color="auto"/>
            <w:left w:val="none" w:sz="0" w:space="0" w:color="auto"/>
            <w:bottom w:val="none" w:sz="0" w:space="0" w:color="auto"/>
            <w:right w:val="none" w:sz="0" w:space="0" w:color="auto"/>
          </w:divBdr>
        </w:div>
        <w:div w:id="951203074">
          <w:marLeft w:val="0"/>
          <w:marRight w:val="0"/>
          <w:marTop w:val="0"/>
          <w:marBottom w:val="0"/>
          <w:divBdr>
            <w:top w:val="none" w:sz="0" w:space="0" w:color="auto"/>
            <w:left w:val="none" w:sz="0" w:space="0" w:color="auto"/>
            <w:bottom w:val="none" w:sz="0" w:space="0" w:color="auto"/>
            <w:right w:val="none" w:sz="0" w:space="0" w:color="auto"/>
          </w:divBdr>
        </w:div>
        <w:div w:id="1056930036">
          <w:marLeft w:val="0"/>
          <w:marRight w:val="0"/>
          <w:marTop w:val="0"/>
          <w:marBottom w:val="0"/>
          <w:divBdr>
            <w:top w:val="none" w:sz="0" w:space="0" w:color="auto"/>
            <w:left w:val="none" w:sz="0" w:space="0" w:color="auto"/>
            <w:bottom w:val="none" w:sz="0" w:space="0" w:color="auto"/>
            <w:right w:val="none" w:sz="0" w:space="0" w:color="auto"/>
          </w:divBdr>
        </w:div>
        <w:div w:id="1189173623">
          <w:marLeft w:val="0"/>
          <w:marRight w:val="0"/>
          <w:marTop w:val="0"/>
          <w:marBottom w:val="0"/>
          <w:divBdr>
            <w:top w:val="none" w:sz="0" w:space="0" w:color="auto"/>
            <w:left w:val="none" w:sz="0" w:space="0" w:color="auto"/>
            <w:bottom w:val="none" w:sz="0" w:space="0" w:color="auto"/>
            <w:right w:val="none" w:sz="0" w:space="0" w:color="auto"/>
          </w:divBdr>
        </w:div>
        <w:div w:id="1461877843">
          <w:marLeft w:val="0"/>
          <w:marRight w:val="0"/>
          <w:marTop w:val="0"/>
          <w:marBottom w:val="0"/>
          <w:divBdr>
            <w:top w:val="none" w:sz="0" w:space="0" w:color="auto"/>
            <w:left w:val="none" w:sz="0" w:space="0" w:color="auto"/>
            <w:bottom w:val="none" w:sz="0" w:space="0" w:color="auto"/>
            <w:right w:val="none" w:sz="0" w:space="0" w:color="auto"/>
          </w:divBdr>
        </w:div>
        <w:div w:id="1495339790">
          <w:marLeft w:val="0"/>
          <w:marRight w:val="0"/>
          <w:marTop w:val="0"/>
          <w:marBottom w:val="0"/>
          <w:divBdr>
            <w:top w:val="none" w:sz="0" w:space="0" w:color="auto"/>
            <w:left w:val="none" w:sz="0" w:space="0" w:color="auto"/>
            <w:bottom w:val="none" w:sz="0" w:space="0" w:color="auto"/>
            <w:right w:val="none" w:sz="0" w:space="0" w:color="auto"/>
          </w:divBdr>
        </w:div>
        <w:div w:id="1500802597">
          <w:marLeft w:val="0"/>
          <w:marRight w:val="0"/>
          <w:marTop w:val="0"/>
          <w:marBottom w:val="0"/>
          <w:divBdr>
            <w:top w:val="none" w:sz="0" w:space="0" w:color="auto"/>
            <w:left w:val="none" w:sz="0" w:space="0" w:color="auto"/>
            <w:bottom w:val="none" w:sz="0" w:space="0" w:color="auto"/>
            <w:right w:val="none" w:sz="0" w:space="0" w:color="auto"/>
          </w:divBdr>
        </w:div>
        <w:div w:id="1621841645">
          <w:marLeft w:val="0"/>
          <w:marRight w:val="0"/>
          <w:marTop w:val="0"/>
          <w:marBottom w:val="0"/>
          <w:divBdr>
            <w:top w:val="none" w:sz="0" w:space="0" w:color="auto"/>
            <w:left w:val="none" w:sz="0" w:space="0" w:color="auto"/>
            <w:bottom w:val="none" w:sz="0" w:space="0" w:color="auto"/>
            <w:right w:val="none" w:sz="0" w:space="0" w:color="auto"/>
          </w:divBdr>
        </w:div>
        <w:div w:id="1625038496">
          <w:marLeft w:val="0"/>
          <w:marRight w:val="0"/>
          <w:marTop w:val="0"/>
          <w:marBottom w:val="0"/>
          <w:divBdr>
            <w:top w:val="none" w:sz="0" w:space="0" w:color="auto"/>
            <w:left w:val="none" w:sz="0" w:space="0" w:color="auto"/>
            <w:bottom w:val="none" w:sz="0" w:space="0" w:color="auto"/>
            <w:right w:val="none" w:sz="0" w:space="0" w:color="auto"/>
          </w:divBdr>
        </w:div>
      </w:divsChild>
    </w:div>
    <w:div w:id="593628856">
      <w:bodyDiv w:val="1"/>
      <w:marLeft w:val="0"/>
      <w:marRight w:val="0"/>
      <w:marTop w:val="0"/>
      <w:marBottom w:val="0"/>
      <w:divBdr>
        <w:top w:val="none" w:sz="0" w:space="0" w:color="auto"/>
        <w:left w:val="none" w:sz="0" w:space="0" w:color="auto"/>
        <w:bottom w:val="none" w:sz="0" w:space="0" w:color="auto"/>
        <w:right w:val="none" w:sz="0" w:space="0" w:color="auto"/>
      </w:divBdr>
    </w:div>
    <w:div w:id="623196700">
      <w:bodyDiv w:val="1"/>
      <w:marLeft w:val="0"/>
      <w:marRight w:val="0"/>
      <w:marTop w:val="0"/>
      <w:marBottom w:val="0"/>
      <w:divBdr>
        <w:top w:val="none" w:sz="0" w:space="0" w:color="auto"/>
        <w:left w:val="none" w:sz="0" w:space="0" w:color="auto"/>
        <w:bottom w:val="none" w:sz="0" w:space="0" w:color="auto"/>
        <w:right w:val="none" w:sz="0" w:space="0" w:color="auto"/>
      </w:divBdr>
    </w:div>
    <w:div w:id="629242136">
      <w:bodyDiv w:val="1"/>
      <w:marLeft w:val="0"/>
      <w:marRight w:val="0"/>
      <w:marTop w:val="0"/>
      <w:marBottom w:val="0"/>
      <w:divBdr>
        <w:top w:val="none" w:sz="0" w:space="0" w:color="auto"/>
        <w:left w:val="none" w:sz="0" w:space="0" w:color="auto"/>
        <w:bottom w:val="none" w:sz="0" w:space="0" w:color="auto"/>
        <w:right w:val="none" w:sz="0" w:space="0" w:color="auto"/>
      </w:divBdr>
      <w:divsChild>
        <w:div w:id="13770418">
          <w:marLeft w:val="0"/>
          <w:marRight w:val="0"/>
          <w:marTop w:val="0"/>
          <w:marBottom w:val="0"/>
          <w:divBdr>
            <w:top w:val="none" w:sz="0" w:space="0" w:color="auto"/>
            <w:left w:val="none" w:sz="0" w:space="0" w:color="auto"/>
            <w:bottom w:val="none" w:sz="0" w:space="0" w:color="auto"/>
            <w:right w:val="none" w:sz="0" w:space="0" w:color="auto"/>
          </w:divBdr>
        </w:div>
        <w:div w:id="65424882">
          <w:marLeft w:val="0"/>
          <w:marRight w:val="0"/>
          <w:marTop w:val="0"/>
          <w:marBottom w:val="0"/>
          <w:divBdr>
            <w:top w:val="none" w:sz="0" w:space="0" w:color="auto"/>
            <w:left w:val="none" w:sz="0" w:space="0" w:color="auto"/>
            <w:bottom w:val="none" w:sz="0" w:space="0" w:color="auto"/>
            <w:right w:val="none" w:sz="0" w:space="0" w:color="auto"/>
          </w:divBdr>
        </w:div>
        <w:div w:id="102381458">
          <w:marLeft w:val="0"/>
          <w:marRight w:val="0"/>
          <w:marTop w:val="0"/>
          <w:marBottom w:val="0"/>
          <w:divBdr>
            <w:top w:val="none" w:sz="0" w:space="0" w:color="auto"/>
            <w:left w:val="none" w:sz="0" w:space="0" w:color="auto"/>
            <w:bottom w:val="none" w:sz="0" w:space="0" w:color="auto"/>
            <w:right w:val="none" w:sz="0" w:space="0" w:color="auto"/>
          </w:divBdr>
        </w:div>
        <w:div w:id="106125538">
          <w:marLeft w:val="0"/>
          <w:marRight w:val="0"/>
          <w:marTop w:val="0"/>
          <w:marBottom w:val="0"/>
          <w:divBdr>
            <w:top w:val="none" w:sz="0" w:space="0" w:color="auto"/>
            <w:left w:val="none" w:sz="0" w:space="0" w:color="auto"/>
            <w:bottom w:val="none" w:sz="0" w:space="0" w:color="auto"/>
            <w:right w:val="none" w:sz="0" w:space="0" w:color="auto"/>
          </w:divBdr>
        </w:div>
        <w:div w:id="106196646">
          <w:marLeft w:val="0"/>
          <w:marRight w:val="0"/>
          <w:marTop w:val="0"/>
          <w:marBottom w:val="0"/>
          <w:divBdr>
            <w:top w:val="none" w:sz="0" w:space="0" w:color="auto"/>
            <w:left w:val="none" w:sz="0" w:space="0" w:color="auto"/>
            <w:bottom w:val="none" w:sz="0" w:space="0" w:color="auto"/>
            <w:right w:val="none" w:sz="0" w:space="0" w:color="auto"/>
          </w:divBdr>
        </w:div>
        <w:div w:id="289752225">
          <w:marLeft w:val="0"/>
          <w:marRight w:val="0"/>
          <w:marTop w:val="0"/>
          <w:marBottom w:val="0"/>
          <w:divBdr>
            <w:top w:val="none" w:sz="0" w:space="0" w:color="auto"/>
            <w:left w:val="none" w:sz="0" w:space="0" w:color="auto"/>
            <w:bottom w:val="none" w:sz="0" w:space="0" w:color="auto"/>
            <w:right w:val="none" w:sz="0" w:space="0" w:color="auto"/>
          </w:divBdr>
        </w:div>
        <w:div w:id="353919931">
          <w:marLeft w:val="0"/>
          <w:marRight w:val="0"/>
          <w:marTop w:val="0"/>
          <w:marBottom w:val="0"/>
          <w:divBdr>
            <w:top w:val="none" w:sz="0" w:space="0" w:color="auto"/>
            <w:left w:val="none" w:sz="0" w:space="0" w:color="auto"/>
            <w:bottom w:val="none" w:sz="0" w:space="0" w:color="auto"/>
            <w:right w:val="none" w:sz="0" w:space="0" w:color="auto"/>
          </w:divBdr>
        </w:div>
        <w:div w:id="396322773">
          <w:marLeft w:val="0"/>
          <w:marRight w:val="0"/>
          <w:marTop w:val="0"/>
          <w:marBottom w:val="0"/>
          <w:divBdr>
            <w:top w:val="none" w:sz="0" w:space="0" w:color="auto"/>
            <w:left w:val="none" w:sz="0" w:space="0" w:color="auto"/>
            <w:bottom w:val="none" w:sz="0" w:space="0" w:color="auto"/>
            <w:right w:val="none" w:sz="0" w:space="0" w:color="auto"/>
          </w:divBdr>
        </w:div>
        <w:div w:id="590771995">
          <w:marLeft w:val="0"/>
          <w:marRight w:val="0"/>
          <w:marTop w:val="0"/>
          <w:marBottom w:val="0"/>
          <w:divBdr>
            <w:top w:val="none" w:sz="0" w:space="0" w:color="auto"/>
            <w:left w:val="none" w:sz="0" w:space="0" w:color="auto"/>
            <w:bottom w:val="none" w:sz="0" w:space="0" w:color="auto"/>
            <w:right w:val="none" w:sz="0" w:space="0" w:color="auto"/>
          </w:divBdr>
        </w:div>
        <w:div w:id="642855173">
          <w:marLeft w:val="0"/>
          <w:marRight w:val="0"/>
          <w:marTop w:val="0"/>
          <w:marBottom w:val="0"/>
          <w:divBdr>
            <w:top w:val="none" w:sz="0" w:space="0" w:color="auto"/>
            <w:left w:val="none" w:sz="0" w:space="0" w:color="auto"/>
            <w:bottom w:val="none" w:sz="0" w:space="0" w:color="auto"/>
            <w:right w:val="none" w:sz="0" w:space="0" w:color="auto"/>
          </w:divBdr>
        </w:div>
        <w:div w:id="683826240">
          <w:marLeft w:val="0"/>
          <w:marRight w:val="0"/>
          <w:marTop w:val="0"/>
          <w:marBottom w:val="0"/>
          <w:divBdr>
            <w:top w:val="none" w:sz="0" w:space="0" w:color="auto"/>
            <w:left w:val="none" w:sz="0" w:space="0" w:color="auto"/>
            <w:bottom w:val="none" w:sz="0" w:space="0" w:color="auto"/>
            <w:right w:val="none" w:sz="0" w:space="0" w:color="auto"/>
          </w:divBdr>
        </w:div>
        <w:div w:id="741291387">
          <w:marLeft w:val="0"/>
          <w:marRight w:val="0"/>
          <w:marTop w:val="0"/>
          <w:marBottom w:val="0"/>
          <w:divBdr>
            <w:top w:val="none" w:sz="0" w:space="0" w:color="auto"/>
            <w:left w:val="none" w:sz="0" w:space="0" w:color="auto"/>
            <w:bottom w:val="none" w:sz="0" w:space="0" w:color="auto"/>
            <w:right w:val="none" w:sz="0" w:space="0" w:color="auto"/>
          </w:divBdr>
        </w:div>
        <w:div w:id="759645312">
          <w:marLeft w:val="0"/>
          <w:marRight w:val="0"/>
          <w:marTop w:val="0"/>
          <w:marBottom w:val="0"/>
          <w:divBdr>
            <w:top w:val="none" w:sz="0" w:space="0" w:color="auto"/>
            <w:left w:val="none" w:sz="0" w:space="0" w:color="auto"/>
            <w:bottom w:val="none" w:sz="0" w:space="0" w:color="auto"/>
            <w:right w:val="none" w:sz="0" w:space="0" w:color="auto"/>
          </w:divBdr>
        </w:div>
        <w:div w:id="893472337">
          <w:marLeft w:val="0"/>
          <w:marRight w:val="0"/>
          <w:marTop w:val="0"/>
          <w:marBottom w:val="0"/>
          <w:divBdr>
            <w:top w:val="none" w:sz="0" w:space="0" w:color="auto"/>
            <w:left w:val="none" w:sz="0" w:space="0" w:color="auto"/>
            <w:bottom w:val="none" w:sz="0" w:space="0" w:color="auto"/>
            <w:right w:val="none" w:sz="0" w:space="0" w:color="auto"/>
          </w:divBdr>
        </w:div>
        <w:div w:id="973171024">
          <w:marLeft w:val="0"/>
          <w:marRight w:val="0"/>
          <w:marTop w:val="0"/>
          <w:marBottom w:val="0"/>
          <w:divBdr>
            <w:top w:val="none" w:sz="0" w:space="0" w:color="auto"/>
            <w:left w:val="none" w:sz="0" w:space="0" w:color="auto"/>
            <w:bottom w:val="none" w:sz="0" w:space="0" w:color="auto"/>
            <w:right w:val="none" w:sz="0" w:space="0" w:color="auto"/>
          </w:divBdr>
        </w:div>
        <w:div w:id="993995979">
          <w:marLeft w:val="0"/>
          <w:marRight w:val="0"/>
          <w:marTop w:val="0"/>
          <w:marBottom w:val="0"/>
          <w:divBdr>
            <w:top w:val="none" w:sz="0" w:space="0" w:color="auto"/>
            <w:left w:val="none" w:sz="0" w:space="0" w:color="auto"/>
            <w:bottom w:val="none" w:sz="0" w:space="0" w:color="auto"/>
            <w:right w:val="none" w:sz="0" w:space="0" w:color="auto"/>
          </w:divBdr>
        </w:div>
        <w:div w:id="1019546001">
          <w:marLeft w:val="0"/>
          <w:marRight w:val="0"/>
          <w:marTop w:val="0"/>
          <w:marBottom w:val="0"/>
          <w:divBdr>
            <w:top w:val="none" w:sz="0" w:space="0" w:color="auto"/>
            <w:left w:val="none" w:sz="0" w:space="0" w:color="auto"/>
            <w:bottom w:val="none" w:sz="0" w:space="0" w:color="auto"/>
            <w:right w:val="none" w:sz="0" w:space="0" w:color="auto"/>
          </w:divBdr>
        </w:div>
        <w:div w:id="1075979306">
          <w:marLeft w:val="0"/>
          <w:marRight w:val="0"/>
          <w:marTop w:val="0"/>
          <w:marBottom w:val="0"/>
          <w:divBdr>
            <w:top w:val="none" w:sz="0" w:space="0" w:color="auto"/>
            <w:left w:val="none" w:sz="0" w:space="0" w:color="auto"/>
            <w:bottom w:val="none" w:sz="0" w:space="0" w:color="auto"/>
            <w:right w:val="none" w:sz="0" w:space="0" w:color="auto"/>
          </w:divBdr>
        </w:div>
        <w:div w:id="1093891749">
          <w:marLeft w:val="0"/>
          <w:marRight w:val="0"/>
          <w:marTop w:val="0"/>
          <w:marBottom w:val="0"/>
          <w:divBdr>
            <w:top w:val="none" w:sz="0" w:space="0" w:color="auto"/>
            <w:left w:val="none" w:sz="0" w:space="0" w:color="auto"/>
            <w:bottom w:val="none" w:sz="0" w:space="0" w:color="auto"/>
            <w:right w:val="none" w:sz="0" w:space="0" w:color="auto"/>
          </w:divBdr>
        </w:div>
        <w:div w:id="1190559675">
          <w:marLeft w:val="0"/>
          <w:marRight w:val="0"/>
          <w:marTop w:val="0"/>
          <w:marBottom w:val="0"/>
          <w:divBdr>
            <w:top w:val="none" w:sz="0" w:space="0" w:color="auto"/>
            <w:left w:val="none" w:sz="0" w:space="0" w:color="auto"/>
            <w:bottom w:val="none" w:sz="0" w:space="0" w:color="auto"/>
            <w:right w:val="none" w:sz="0" w:space="0" w:color="auto"/>
          </w:divBdr>
        </w:div>
        <w:div w:id="1277568248">
          <w:marLeft w:val="0"/>
          <w:marRight w:val="0"/>
          <w:marTop w:val="0"/>
          <w:marBottom w:val="0"/>
          <w:divBdr>
            <w:top w:val="none" w:sz="0" w:space="0" w:color="auto"/>
            <w:left w:val="none" w:sz="0" w:space="0" w:color="auto"/>
            <w:bottom w:val="none" w:sz="0" w:space="0" w:color="auto"/>
            <w:right w:val="none" w:sz="0" w:space="0" w:color="auto"/>
          </w:divBdr>
        </w:div>
        <w:div w:id="1284921225">
          <w:marLeft w:val="0"/>
          <w:marRight w:val="0"/>
          <w:marTop w:val="0"/>
          <w:marBottom w:val="0"/>
          <w:divBdr>
            <w:top w:val="none" w:sz="0" w:space="0" w:color="auto"/>
            <w:left w:val="none" w:sz="0" w:space="0" w:color="auto"/>
            <w:bottom w:val="none" w:sz="0" w:space="0" w:color="auto"/>
            <w:right w:val="none" w:sz="0" w:space="0" w:color="auto"/>
          </w:divBdr>
        </w:div>
        <w:div w:id="1309555204">
          <w:marLeft w:val="0"/>
          <w:marRight w:val="0"/>
          <w:marTop w:val="0"/>
          <w:marBottom w:val="0"/>
          <w:divBdr>
            <w:top w:val="none" w:sz="0" w:space="0" w:color="auto"/>
            <w:left w:val="none" w:sz="0" w:space="0" w:color="auto"/>
            <w:bottom w:val="none" w:sz="0" w:space="0" w:color="auto"/>
            <w:right w:val="none" w:sz="0" w:space="0" w:color="auto"/>
          </w:divBdr>
        </w:div>
        <w:div w:id="1311983369">
          <w:marLeft w:val="0"/>
          <w:marRight w:val="0"/>
          <w:marTop w:val="0"/>
          <w:marBottom w:val="0"/>
          <w:divBdr>
            <w:top w:val="none" w:sz="0" w:space="0" w:color="auto"/>
            <w:left w:val="none" w:sz="0" w:space="0" w:color="auto"/>
            <w:bottom w:val="none" w:sz="0" w:space="0" w:color="auto"/>
            <w:right w:val="none" w:sz="0" w:space="0" w:color="auto"/>
          </w:divBdr>
        </w:div>
        <w:div w:id="1333024740">
          <w:marLeft w:val="0"/>
          <w:marRight w:val="0"/>
          <w:marTop w:val="0"/>
          <w:marBottom w:val="0"/>
          <w:divBdr>
            <w:top w:val="none" w:sz="0" w:space="0" w:color="auto"/>
            <w:left w:val="none" w:sz="0" w:space="0" w:color="auto"/>
            <w:bottom w:val="none" w:sz="0" w:space="0" w:color="auto"/>
            <w:right w:val="none" w:sz="0" w:space="0" w:color="auto"/>
          </w:divBdr>
        </w:div>
        <w:div w:id="1346521472">
          <w:marLeft w:val="0"/>
          <w:marRight w:val="0"/>
          <w:marTop w:val="0"/>
          <w:marBottom w:val="0"/>
          <w:divBdr>
            <w:top w:val="none" w:sz="0" w:space="0" w:color="auto"/>
            <w:left w:val="none" w:sz="0" w:space="0" w:color="auto"/>
            <w:bottom w:val="none" w:sz="0" w:space="0" w:color="auto"/>
            <w:right w:val="none" w:sz="0" w:space="0" w:color="auto"/>
          </w:divBdr>
        </w:div>
        <w:div w:id="1353798901">
          <w:marLeft w:val="0"/>
          <w:marRight w:val="0"/>
          <w:marTop w:val="0"/>
          <w:marBottom w:val="0"/>
          <w:divBdr>
            <w:top w:val="none" w:sz="0" w:space="0" w:color="auto"/>
            <w:left w:val="none" w:sz="0" w:space="0" w:color="auto"/>
            <w:bottom w:val="none" w:sz="0" w:space="0" w:color="auto"/>
            <w:right w:val="none" w:sz="0" w:space="0" w:color="auto"/>
          </w:divBdr>
        </w:div>
        <w:div w:id="1355691977">
          <w:marLeft w:val="0"/>
          <w:marRight w:val="0"/>
          <w:marTop w:val="0"/>
          <w:marBottom w:val="0"/>
          <w:divBdr>
            <w:top w:val="none" w:sz="0" w:space="0" w:color="auto"/>
            <w:left w:val="none" w:sz="0" w:space="0" w:color="auto"/>
            <w:bottom w:val="none" w:sz="0" w:space="0" w:color="auto"/>
            <w:right w:val="none" w:sz="0" w:space="0" w:color="auto"/>
          </w:divBdr>
        </w:div>
        <w:div w:id="1364401518">
          <w:marLeft w:val="0"/>
          <w:marRight w:val="0"/>
          <w:marTop w:val="0"/>
          <w:marBottom w:val="0"/>
          <w:divBdr>
            <w:top w:val="none" w:sz="0" w:space="0" w:color="auto"/>
            <w:left w:val="none" w:sz="0" w:space="0" w:color="auto"/>
            <w:bottom w:val="none" w:sz="0" w:space="0" w:color="auto"/>
            <w:right w:val="none" w:sz="0" w:space="0" w:color="auto"/>
          </w:divBdr>
        </w:div>
        <w:div w:id="1391461626">
          <w:marLeft w:val="0"/>
          <w:marRight w:val="0"/>
          <w:marTop w:val="0"/>
          <w:marBottom w:val="0"/>
          <w:divBdr>
            <w:top w:val="none" w:sz="0" w:space="0" w:color="auto"/>
            <w:left w:val="none" w:sz="0" w:space="0" w:color="auto"/>
            <w:bottom w:val="none" w:sz="0" w:space="0" w:color="auto"/>
            <w:right w:val="none" w:sz="0" w:space="0" w:color="auto"/>
          </w:divBdr>
        </w:div>
        <w:div w:id="1428387066">
          <w:marLeft w:val="0"/>
          <w:marRight w:val="0"/>
          <w:marTop w:val="0"/>
          <w:marBottom w:val="0"/>
          <w:divBdr>
            <w:top w:val="none" w:sz="0" w:space="0" w:color="auto"/>
            <w:left w:val="none" w:sz="0" w:space="0" w:color="auto"/>
            <w:bottom w:val="none" w:sz="0" w:space="0" w:color="auto"/>
            <w:right w:val="none" w:sz="0" w:space="0" w:color="auto"/>
          </w:divBdr>
        </w:div>
        <w:div w:id="1506557841">
          <w:marLeft w:val="0"/>
          <w:marRight w:val="0"/>
          <w:marTop w:val="0"/>
          <w:marBottom w:val="0"/>
          <w:divBdr>
            <w:top w:val="none" w:sz="0" w:space="0" w:color="auto"/>
            <w:left w:val="none" w:sz="0" w:space="0" w:color="auto"/>
            <w:bottom w:val="none" w:sz="0" w:space="0" w:color="auto"/>
            <w:right w:val="none" w:sz="0" w:space="0" w:color="auto"/>
          </w:divBdr>
        </w:div>
        <w:div w:id="1653212005">
          <w:marLeft w:val="0"/>
          <w:marRight w:val="0"/>
          <w:marTop w:val="0"/>
          <w:marBottom w:val="0"/>
          <w:divBdr>
            <w:top w:val="none" w:sz="0" w:space="0" w:color="auto"/>
            <w:left w:val="none" w:sz="0" w:space="0" w:color="auto"/>
            <w:bottom w:val="none" w:sz="0" w:space="0" w:color="auto"/>
            <w:right w:val="none" w:sz="0" w:space="0" w:color="auto"/>
          </w:divBdr>
        </w:div>
        <w:div w:id="1665015799">
          <w:marLeft w:val="0"/>
          <w:marRight w:val="0"/>
          <w:marTop w:val="0"/>
          <w:marBottom w:val="0"/>
          <w:divBdr>
            <w:top w:val="none" w:sz="0" w:space="0" w:color="auto"/>
            <w:left w:val="none" w:sz="0" w:space="0" w:color="auto"/>
            <w:bottom w:val="none" w:sz="0" w:space="0" w:color="auto"/>
            <w:right w:val="none" w:sz="0" w:space="0" w:color="auto"/>
          </w:divBdr>
        </w:div>
        <w:div w:id="1721248662">
          <w:marLeft w:val="0"/>
          <w:marRight w:val="0"/>
          <w:marTop w:val="0"/>
          <w:marBottom w:val="0"/>
          <w:divBdr>
            <w:top w:val="none" w:sz="0" w:space="0" w:color="auto"/>
            <w:left w:val="none" w:sz="0" w:space="0" w:color="auto"/>
            <w:bottom w:val="none" w:sz="0" w:space="0" w:color="auto"/>
            <w:right w:val="none" w:sz="0" w:space="0" w:color="auto"/>
          </w:divBdr>
        </w:div>
        <w:div w:id="1826579683">
          <w:marLeft w:val="0"/>
          <w:marRight w:val="0"/>
          <w:marTop w:val="0"/>
          <w:marBottom w:val="0"/>
          <w:divBdr>
            <w:top w:val="none" w:sz="0" w:space="0" w:color="auto"/>
            <w:left w:val="none" w:sz="0" w:space="0" w:color="auto"/>
            <w:bottom w:val="none" w:sz="0" w:space="0" w:color="auto"/>
            <w:right w:val="none" w:sz="0" w:space="0" w:color="auto"/>
          </w:divBdr>
        </w:div>
        <w:div w:id="1830559458">
          <w:marLeft w:val="0"/>
          <w:marRight w:val="0"/>
          <w:marTop w:val="0"/>
          <w:marBottom w:val="0"/>
          <w:divBdr>
            <w:top w:val="none" w:sz="0" w:space="0" w:color="auto"/>
            <w:left w:val="none" w:sz="0" w:space="0" w:color="auto"/>
            <w:bottom w:val="none" w:sz="0" w:space="0" w:color="auto"/>
            <w:right w:val="none" w:sz="0" w:space="0" w:color="auto"/>
          </w:divBdr>
        </w:div>
        <w:div w:id="1839349874">
          <w:marLeft w:val="0"/>
          <w:marRight w:val="0"/>
          <w:marTop w:val="0"/>
          <w:marBottom w:val="0"/>
          <w:divBdr>
            <w:top w:val="none" w:sz="0" w:space="0" w:color="auto"/>
            <w:left w:val="none" w:sz="0" w:space="0" w:color="auto"/>
            <w:bottom w:val="none" w:sz="0" w:space="0" w:color="auto"/>
            <w:right w:val="none" w:sz="0" w:space="0" w:color="auto"/>
          </w:divBdr>
        </w:div>
        <w:div w:id="1855877597">
          <w:marLeft w:val="0"/>
          <w:marRight w:val="0"/>
          <w:marTop w:val="0"/>
          <w:marBottom w:val="0"/>
          <w:divBdr>
            <w:top w:val="none" w:sz="0" w:space="0" w:color="auto"/>
            <w:left w:val="none" w:sz="0" w:space="0" w:color="auto"/>
            <w:bottom w:val="none" w:sz="0" w:space="0" w:color="auto"/>
            <w:right w:val="none" w:sz="0" w:space="0" w:color="auto"/>
          </w:divBdr>
        </w:div>
        <w:div w:id="1885479657">
          <w:marLeft w:val="0"/>
          <w:marRight w:val="0"/>
          <w:marTop w:val="0"/>
          <w:marBottom w:val="0"/>
          <w:divBdr>
            <w:top w:val="none" w:sz="0" w:space="0" w:color="auto"/>
            <w:left w:val="none" w:sz="0" w:space="0" w:color="auto"/>
            <w:bottom w:val="none" w:sz="0" w:space="0" w:color="auto"/>
            <w:right w:val="none" w:sz="0" w:space="0" w:color="auto"/>
          </w:divBdr>
        </w:div>
        <w:div w:id="1939824862">
          <w:marLeft w:val="0"/>
          <w:marRight w:val="0"/>
          <w:marTop w:val="0"/>
          <w:marBottom w:val="0"/>
          <w:divBdr>
            <w:top w:val="none" w:sz="0" w:space="0" w:color="auto"/>
            <w:left w:val="none" w:sz="0" w:space="0" w:color="auto"/>
            <w:bottom w:val="none" w:sz="0" w:space="0" w:color="auto"/>
            <w:right w:val="none" w:sz="0" w:space="0" w:color="auto"/>
          </w:divBdr>
        </w:div>
        <w:div w:id="2030719159">
          <w:marLeft w:val="0"/>
          <w:marRight w:val="0"/>
          <w:marTop w:val="0"/>
          <w:marBottom w:val="0"/>
          <w:divBdr>
            <w:top w:val="none" w:sz="0" w:space="0" w:color="auto"/>
            <w:left w:val="none" w:sz="0" w:space="0" w:color="auto"/>
            <w:bottom w:val="none" w:sz="0" w:space="0" w:color="auto"/>
            <w:right w:val="none" w:sz="0" w:space="0" w:color="auto"/>
          </w:divBdr>
        </w:div>
        <w:div w:id="2113544363">
          <w:marLeft w:val="0"/>
          <w:marRight w:val="0"/>
          <w:marTop w:val="0"/>
          <w:marBottom w:val="0"/>
          <w:divBdr>
            <w:top w:val="none" w:sz="0" w:space="0" w:color="auto"/>
            <w:left w:val="none" w:sz="0" w:space="0" w:color="auto"/>
            <w:bottom w:val="none" w:sz="0" w:space="0" w:color="auto"/>
            <w:right w:val="none" w:sz="0" w:space="0" w:color="auto"/>
          </w:divBdr>
        </w:div>
        <w:div w:id="2122676048">
          <w:marLeft w:val="0"/>
          <w:marRight w:val="0"/>
          <w:marTop w:val="0"/>
          <w:marBottom w:val="0"/>
          <w:divBdr>
            <w:top w:val="none" w:sz="0" w:space="0" w:color="auto"/>
            <w:left w:val="none" w:sz="0" w:space="0" w:color="auto"/>
            <w:bottom w:val="none" w:sz="0" w:space="0" w:color="auto"/>
            <w:right w:val="none" w:sz="0" w:space="0" w:color="auto"/>
          </w:divBdr>
        </w:div>
      </w:divsChild>
    </w:div>
    <w:div w:id="680469331">
      <w:bodyDiv w:val="1"/>
      <w:marLeft w:val="0"/>
      <w:marRight w:val="0"/>
      <w:marTop w:val="0"/>
      <w:marBottom w:val="0"/>
      <w:divBdr>
        <w:top w:val="none" w:sz="0" w:space="0" w:color="auto"/>
        <w:left w:val="none" w:sz="0" w:space="0" w:color="auto"/>
        <w:bottom w:val="none" w:sz="0" w:space="0" w:color="auto"/>
        <w:right w:val="none" w:sz="0" w:space="0" w:color="auto"/>
      </w:divBdr>
    </w:div>
    <w:div w:id="684677190">
      <w:bodyDiv w:val="1"/>
      <w:marLeft w:val="0"/>
      <w:marRight w:val="0"/>
      <w:marTop w:val="0"/>
      <w:marBottom w:val="0"/>
      <w:divBdr>
        <w:top w:val="none" w:sz="0" w:space="0" w:color="auto"/>
        <w:left w:val="none" w:sz="0" w:space="0" w:color="auto"/>
        <w:bottom w:val="none" w:sz="0" w:space="0" w:color="auto"/>
        <w:right w:val="none" w:sz="0" w:space="0" w:color="auto"/>
      </w:divBdr>
      <w:divsChild>
        <w:div w:id="19355237">
          <w:marLeft w:val="0"/>
          <w:marRight w:val="0"/>
          <w:marTop w:val="0"/>
          <w:marBottom w:val="0"/>
          <w:divBdr>
            <w:top w:val="none" w:sz="0" w:space="0" w:color="auto"/>
            <w:left w:val="none" w:sz="0" w:space="0" w:color="auto"/>
            <w:bottom w:val="none" w:sz="0" w:space="0" w:color="auto"/>
            <w:right w:val="none" w:sz="0" w:space="0" w:color="auto"/>
          </w:divBdr>
        </w:div>
        <w:div w:id="29646261">
          <w:marLeft w:val="0"/>
          <w:marRight w:val="0"/>
          <w:marTop w:val="0"/>
          <w:marBottom w:val="0"/>
          <w:divBdr>
            <w:top w:val="none" w:sz="0" w:space="0" w:color="auto"/>
            <w:left w:val="none" w:sz="0" w:space="0" w:color="auto"/>
            <w:bottom w:val="none" w:sz="0" w:space="0" w:color="auto"/>
            <w:right w:val="none" w:sz="0" w:space="0" w:color="auto"/>
          </w:divBdr>
        </w:div>
        <w:div w:id="124855286">
          <w:marLeft w:val="0"/>
          <w:marRight w:val="0"/>
          <w:marTop w:val="0"/>
          <w:marBottom w:val="0"/>
          <w:divBdr>
            <w:top w:val="none" w:sz="0" w:space="0" w:color="auto"/>
            <w:left w:val="none" w:sz="0" w:space="0" w:color="auto"/>
            <w:bottom w:val="none" w:sz="0" w:space="0" w:color="auto"/>
            <w:right w:val="none" w:sz="0" w:space="0" w:color="auto"/>
          </w:divBdr>
        </w:div>
        <w:div w:id="146408146">
          <w:marLeft w:val="0"/>
          <w:marRight w:val="0"/>
          <w:marTop w:val="0"/>
          <w:marBottom w:val="0"/>
          <w:divBdr>
            <w:top w:val="none" w:sz="0" w:space="0" w:color="auto"/>
            <w:left w:val="none" w:sz="0" w:space="0" w:color="auto"/>
            <w:bottom w:val="none" w:sz="0" w:space="0" w:color="auto"/>
            <w:right w:val="none" w:sz="0" w:space="0" w:color="auto"/>
          </w:divBdr>
        </w:div>
        <w:div w:id="470901659">
          <w:marLeft w:val="0"/>
          <w:marRight w:val="0"/>
          <w:marTop w:val="0"/>
          <w:marBottom w:val="0"/>
          <w:divBdr>
            <w:top w:val="none" w:sz="0" w:space="0" w:color="auto"/>
            <w:left w:val="none" w:sz="0" w:space="0" w:color="auto"/>
            <w:bottom w:val="none" w:sz="0" w:space="0" w:color="auto"/>
            <w:right w:val="none" w:sz="0" w:space="0" w:color="auto"/>
          </w:divBdr>
        </w:div>
        <w:div w:id="530799119">
          <w:marLeft w:val="0"/>
          <w:marRight w:val="0"/>
          <w:marTop w:val="0"/>
          <w:marBottom w:val="0"/>
          <w:divBdr>
            <w:top w:val="none" w:sz="0" w:space="0" w:color="auto"/>
            <w:left w:val="none" w:sz="0" w:space="0" w:color="auto"/>
            <w:bottom w:val="none" w:sz="0" w:space="0" w:color="auto"/>
            <w:right w:val="none" w:sz="0" w:space="0" w:color="auto"/>
          </w:divBdr>
        </w:div>
        <w:div w:id="592668741">
          <w:marLeft w:val="0"/>
          <w:marRight w:val="0"/>
          <w:marTop w:val="0"/>
          <w:marBottom w:val="0"/>
          <w:divBdr>
            <w:top w:val="none" w:sz="0" w:space="0" w:color="auto"/>
            <w:left w:val="none" w:sz="0" w:space="0" w:color="auto"/>
            <w:bottom w:val="none" w:sz="0" w:space="0" w:color="auto"/>
            <w:right w:val="none" w:sz="0" w:space="0" w:color="auto"/>
          </w:divBdr>
        </w:div>
        <w:div w:id="600991215">
          <w:marLeft w:val="0"/>
          <w:marRight w:val="0"/>
          <w:marTop w:val="0"/>
          <w:marBottom w:val="0"/>
          <w:divBdr>
            <w:top w:val="none" w:sz="0" w:space="0" w:color="auto"/>
            <w:left w:val="none" w:sz="0" w:space="0" w:color="auto"/>
            <w:bottom w:val="none" w:sz="0" w:space="0" w:color="auto"/>
            <w:right w:val="none" w:sz="0" w:space="0" w:color="auto"/>
          </w:divBdr>
        </w:div>
        <w:div w:id="611742820">
          <w:marLeft w:val="0"/>
          <w:marRight w:val="0"/>
          <w:marTop w:val="0"/>
          <w:marBottom w:val="0"/>
          <w:divBdr>
            <w:top w:val="none" w:sz="0" w:space="0" w:color="auto"/>
            <w:left w:val="none" w:sz="0" w:space="0" w:color="auto"/>
            <w:bottom w:val="none" w:sz="0" w:space="0" w:color="auto"/>
            <w:right w:val="none" w:sz="0" w:space="0" w:color="auto"/>
          </w:divBdr>
        </w:div>
        <w:div w:id="614480126">
          <w:marLeft w:val="0"/>
          <w:marRight w:val="0"/>
          <w:marTop w:val="0"/>
          <w:marBottom w:val="0"/>
          <w:divBdr>
            <w:top w:val="none" w:sz="0" w:space="0" w:color="auto"/>
            <w:left w:val="none" w:sz="0" w:space="0" w:color="auto"/>
            <w:bottom w:val="none" w:sz="0" w:space="0" w:color="auto"/>
            <w:right w:val="none" w:sz="0" w:space="0" w:color="auto"/>
          </w:divBdr>
        </w:div>
        <w:div w:id="630942476">
          <w:marLeft w:val="0"/>
          <w:marRight w:val="0"/>
          <w:marTop w:val="0"/>
          <w:marBottom w:val="0"/>
          <w:divBdr>
            <w:top w:val="none" w:sz="0" w:space="0" w:color="auto"/>
            <w:left w:val="none" w:sz="0" w:space="0" w:color="auto"/>
            <w:bottom w:val="none" w:sz="0" w:space="0" w:color="auto"/>
            <w:right w:val="none" w:sz="0" w:space="0" w:color="auto"/>
          </w:divBdr>
        </w:div>
        <w:div w:id="680280242">
          <w:marLeft w:val="0"/>
          <w:marRight w:val="0"/>
          <w:marTop w:val="0"/>
          <w:marBottom w:val="0"/>
          <w:divBdr>
            <w:top w:val="none" w:sz="0" w:space="0" w:color="auto"/>
            <w:left w:val="none" w:sz="0" w:space="0" w:color="auto"/>
            <w:bottom w:val="none" w:sz="0" w:space="0" w:color="auto"/>
            <w:right w:val="none" w:sz="0" w:space="0" w:color="auto"/>
          </w:divBdr>
        </w:div>
        <w:div w:id="1012338457">
          <w:marLeft w:val="0"/>
          <w:marRight w:val="0"/>
          <w:marTop w:val="0"/>
          <w:marBottom w:val="0"/>
          <w:divBdr>
            <w:top w:val="none" w:sz="0" w:space="0" w:color="auto"/>
            <w:left w:val="none" w:sz="0" w:space="0" w:color="auto"/>
            <w:bottom w:val="none" w:sz="0" w:space="0" w:color="auto"/>
            <w:right w:val="none" w:sz="0" w:space="0" w:color="auto"/>
          </w:divBdr>
        </w:div>
        <w:div w:id="1067995874">
          <w:marLeft w:val="0"/>
          <w:marRight w:val="0"/>
          <w:marTop w:val="0"/>
          <w:marBottom w:val="0"/>
          <w:divBdr>
            <w:top w:val="none" w:sz="0" w:space="0" w:color="auto"/>
            <w:left w:val="none" w:sz="0" w:space="0" w:color="auto"/>
            <w:bottom w:val="none" w:sz="0" w:space="0" w:color="auto"/>
            <w:right w:val="none" w:sz="0" w:space="0" w:color="auto"/>
          </w:divBdr>
        </w:div>
        <w:div w:id="1108620651">
          <w:marLeft w:val="0"/>
          <w:marRight w:val="0"/>
          <w:marTop w:val="0"/>
          <w:marBottom w:val="0"/>
          <w:divBdr>
            <w:top w:val="none" w:sz="0" w:space="0" w:color="auto"/>
            <w:left w:val="none" w:sz="0" w:space="0" w:color="auto"/>
            <w:bottom w:val="none" w:sz="0" w:space="0" w:color="auto"/>
            <w:right w:val="none" w:sz="0" w:space="0" w:color="auto"/>
          </w:divBdr>
        </w:div>
        <w:div w:id="1164780826">
          <w:marLeft w:val="0"/>
          <w:marRight w:val="0"/>
          <w:marTop w:val="0"/>
          <w:marBottom w:val="0"/>
          <w:divBdr>
            <w:top w:val="none" w:sz="0" w:space="0" w:color="auto"/>
            <w:left w:val="none" w:sz="0" w:space="0" w:color="auto"/>
            <w:bottom w:val="none" w:sz="0" w:space="0" w:color="auto"/>
            <w:right w:val="none" w:sz="0" w:space="0" w:color="auto"/>
          </w:divBdr>
        </w:div>
        <w:div w:id="1319581075">
          <w:marLeft w:val="0"/>
          <w:marRight w:val="0"/>
          <w:marTop w:val="0"/>
          <w:marBottom w:val="0"/>
          <w:divBdr>
            <w:top w:val="none" w:sz="0" w:space="0" w:color="auto"/>
            <w:left w:val="none" w:sz="0" w:space="0" w:color="auto"/>
            <w:bottom w:val="none" w:sz="0" w:space="0" w:color="auto"/>
            <w:right w:val="none" w:sz="0" w:space="0" w:color="auto"/>
          </w:divBdr>
        </w:div>
        <w:div w:id="1324160946">
          <w:marLeft w:val="0"/>
          <w:marRight w:val="0"/>
          <w:marTop w:val="0"/>
          <w:marBottom w:val="0"/>
          <w:divBdr>
            <w:top w:val="none" w:sz="0" w:space="0" w:color="auto"/>
            <w:left w:val="none" w:sz="0" w:space="0" w:color="auto"/>
            <w:bottom w:val="none" w:sz="0" w:space="0" w:color="auto"/>
            <w:right w:val="none" w:sz="0" w:space="0" w:color="auto"/>
          </w:divBdr>
        </w:div>
        <w:div w:id="1416631211">
          <w:marLeft w:val="0"/>
          <w:marRight w:val="0"/>
          <w:marTop w:val="0"/>
          <w:marBottom w:val="0"/>
          <w:divBdr>
            <w:top w:val="none" w:sz="0" w:space="0" w:color="auto"/>
            <w:left w:val="none" w:sz="0" w:space="0" w:color="auto"/>
            <w:bottom w:val="none" w:sz="0" w:space="0" w:color="auto"/>
            <w:right w:val="none" w:sz="0" w:space="0" w:color="auto"/>
          </w:divBdr>
        </w:div>
        <w:div w:id="1496458123">
          <w:marLeft w:val="0"/>
          <w:marRight w:val="0"/>
          <w:marTop w:val="0"/>
          <w:marBottom w:val="0"/>
          <w:divBdr>
            <w:top w:val="none" w:sz="0" w:space="0" w:color="auto"/>
            <w:left w:val="none" w:sz="0" w:space="0" w:color="auto"/>
            <w:bottom w:val="none" w:sz="0" w:space="0" w:color="auto"/>
            <w:right w:val="none" w:sz="0" w:space="0" w:color="auto"/>
          </w:divBdr>
        </w:div>
        <w:div w:id="1532650603">
          <w:marLeft w:val="0"/>
          <w:marRight w:val="0"/>
          <w:marTop w:val="0"/>
          <w:marBottom w:val="0"/>
          <w:divBdr>
            <w:top w:val="none" w:sz="0" w:space="0" w:color="auto"/>
            <w:left w:val="none" w:sz="0" w:space="0" w:color="auto"/>
            <w:bottom w:val="none" w:sz="0" w:space="0" w:color="auto"/>
            <w:right w:val="none" w:sz="0" w:space="0" w:color="auto"/>
          </w:divBdr>
        </w:div>
        <w:div w:id="1567643903">
          <w:marLeft w:val="0"/>
          <w:marRight w:val="0"/>
          <w:marTop w:val="0"/>
          <w:marBottom w:val="0"/>
          <w:divBdr>
            <w:top w:val="none" w:sz="0" w:space="0" w:color="auto"/>
            <w:left w:val="none" w:sz="0" w:space="0" w:color="auto"/>
            <w:bottom w:val="none" w:sz="0" w:space="0" w:color="auto"/>
            <w:right w:val="none" w:sz="0" w:space="0" w:color="auto"/>
          </w:divBdr>
        </w:div>
        <w:div w:id="1683119404">
          <w:marLeft w:val="0"/>
          <w:marRight w:val="0"/>
          <w:marTop w:val="0"/>
          <w:marBottom w:val="0"/>
          <w:divBdr>
            <w:top w:val="none" w:sz="0" w:space="0" w:color="auto"/>
            <w:left w:val="none" w:sz="0" w:space="0" w:color="auto"/>
            <w:bottom w:val="none" w:sz="0" w:space="0" w:color="auto"/>
            <w:right w:val="none" w:sz="0" w:space="0" w:color="auto"/>
          </w:divBdr>
        </w:div>
        <w:div w:id="1721200308">
          <w:marLeft w:val="0"/>
          <w:marRight w:val="0"/>
          <w:marTop w:val="0"/>
          <w:marBottom w:val="0"/>
          <w:divBdr>
            <w:top w:val="none" w:sz="0" w:space="0" w:color="auto"/>
            <w:left w:val="none" w:sz="0" w:space="0" w:color="auto"/>
            <w:bottom w:val="none" w:sz="0" w:space="0" w:color="auto"/>
            <w:right w:val="none" w:sz="0" w:space="0" w:color="auto"/>
          </w:divBdr>
        </w:div>
        <w:div w:id="1850102219">
          <w:marLeft w:val="0"/>
          <w:marRight w:val="0"/>
          <w:marTop w:val="0"/>
          <w:marBottom w:val="0"/>
          <w:divBdr>
            <w:top w:val="none" w:sz="0" w:space="0" w:color="auto"/>
            <w:left w:val="none" w:sz="0" w:space="0" w:color="auto"/>
            <w:bottom w:val="none" w:sz="0" w:space="0" w:color="auto"/>
            <w:right w:val="none" w:sz="0" w:space="0" w:color="auto"/>
          </w:divBdr>
        </w:div>
        <w:div w:id="1919167212">
          <w:marLeft w:val="0"/>
          <w:marRight w:val="0"/>
          <w:marTop w:val="0"/>
          <w:marBottom w:val="0"/>
          <w:divBdr>
            <w:top w:val="none" w:sz="0" w:space="0" w:color="auto"/>
            <w:left w:val="none" w:sz="0" w:space="0" w:color="auto"/>
            <w:bottom w:val="none" w:sz="0" w:space="0" w:color="auto"/>
            <w:right w:val="none" w:sz="0" w:space="0" w:color="auto"/>
          </w:divBdr>
        </w:div>
        <w:div w:id="1926762588">
          <w:marLeft w:val="0"/>
          <w:marRight w:val="0"/>
          <w:marTop w:val="0"/>
          <w:marBottom w:val="0"/>
          <w:divBdr>
            <w:top w:val="none" w:sz="0" w:space="0" w:color="auto"/>
            <w:left w:val="none" w:sz="0" w:space="0" w:color="auto"/>
            <w:bottom w:val="none" w:sz="0" w:space="0" w:color="auto"/>
            <w:right w:val="none" w:sz="0" w:space="0" w:color="auto"/>
          </w:divBdr>
        </w:div>
        <w:div w:id="2050909896">
          <w:marLeft w:val="0"/>
          <w:marRight w:val="0"/>
          <w:marTop w:val="0"/>
          <w:marBottom w:val="0"/>
          <w:divBdr>
            <w:top w:val="none" w:sz="0" w:space="0" w:color="auto"/>
            <w:left w:val="none" w:sz="0" w:space="0" w:color="auto"/>
            <w:bottom w:val="none" w:sz="0" w:space="0" w:color="auto"/>
            <w:right w:val="none" w:sz="0" w:space="0" w:color="auto"/>
          </w:divBdr>
        </w:div>
        <w:div w:id="2122721194">
          <w:marLeft w:val="0"/>
          <w:marRight w:val="0"/>
          <w:marTop w:val="0"/>
          <w:marBottom w:val="0"/>
          <w:divBdr>
            <w:top w:val="none" w:sz="0" w:space="0" w:color="auto"/>
            <w:left w:val="none" w:sz="0" w:space="0" w:color="auto"/>
            <w:bottom w:val="none" w:sz="0" w:space="0" w:color="auto"/>
            <w:right w:val="none" w:sz="0" w:space="0" w:color="auto"/>
          </w:divBdr>
        </w:div>
      </w:divsChild>
    </w:div>
    <w:div w:id="690451005">
      <w:bodyDiv w:val="1"/>
      <w:marLeft w:val="0"/>
      <w:marRight w:val="0"/>
      <w:marTop w:val="0"/>
      <w:marBottom w:val="0"/>
      <w:divBdr>
        <w:top w:val="none" w:sz="0" w:space="0" w:color="auto"/>
        <w:left w:val="none" w:sz="0" w:space="0" w:color="auto"/>
        <w:bottom w:val="none" w:sz="0" w:space="0" w:color="auto"/>
        <w:right w:val="none" w:sz="0" w:space="0" w:color="auto"/>
      </w:divBdr>
    </w:div>
    <w:div w:id="706873996">
      <w:bodyDiv w:val="1"/>
      <w:marLeft w:val="0"/>
      <w:marRight w:val="0"/>
      <w:marTop w:val="0"/>
      <w:marBottom w:val="0"/>
      <w:divBdr>
        <w:top w:val="none" w:sz="0" w:space="0" w:color="auto"/>
        <w:left w:val="none" w:sz="0" w:space="0" w:color="auto"/>
        <w:bottom w:val="none" w:sz="0" w:space="0" w:color="auto"/>
        <w:right w:val="none" w:sz="0" w:space="0" w:color="auto"/>
      </w:divBdr>
    </w:div>
    <w:div w:id="714239852">
      <w:bodyDiv w:val="1"/>
      <w:marLeft w:val="0"/>
      <w:marRight w:val="0"/>
      <w:marTop w:val="0"/>
      <w:marBottom w:val="0"/>
      <w:divBdr>
        <w:top w:val="none" w:sz="0" w:space="0" w:color="auto"/>
        <w:left w:val="none" w:sz="0" w:space="0" w:color="auto"/>
        <w:bottom w:val="none" w:sz="0" w:space="0" w:color="auto"/>
        <w:right w:val="none" w:sz="0" w:space="0" w:color="auto"/>
      </w:divBdr>
    </w:div>
    <w:div w:id="721366913">
      <w:bodyDiv w:val="1"/>
      <w:marLeft w:val="0"/>
      <w:marRight w:val="0"/>
      <w:marTop w:val="0"/>
      <w:marBottom w:val="0"/>
      <w:divBdr>
        <w:top w:val="none" w:sz="0" w:space="0" w:color="auto"/>
        <w:left w:val="none" w:sz="0" w:space="0" w:color="auto"/>
        <w:bottom w:val="none" w:sz="0" w:space="0" w:color="auto"/>
        <w:right w:val="none" w:sz="0" w:space="0" w:color="auto"/>
      </w:divBdr>
    </w:div>
    <w:div w:id="726489739">
      <w:bodyDiv w:val="1"/>
      <w:marLeft w:val="0"/>
      <w:marRight w:val="0"/>
      <w:marTop w:val="0"/>
      <w:marBottom w:val="0"/>
      <w:divBdr>
        <w:top w:val="none" w:sz="0" w:space="0" w:color="auto"/>
        <w:left w:val="none" w:sz="0" w:space="0" w:color="auto"/>
        <w:bottom w:val="none" w:sz="0" w:space="0" w:color="auto"/>
        <w:right w:val="none" w:sz="0" w:space="0" w:color="auto"/>
      </w:divBdr>
      <w:divsChild>
        <w:div w:id="15157242">
          <w:marLeft w:val="0"/>
          <w:marRight w:val="0"/>
          <w:marTop w:val="0"/>
          <w:marBottom w:val="0"/>
          <w:divBdr>
            <w:top w:val="none" w:sz="0" w:space="0" w:color="auto"/>
            <w:left w:val="none" w:sz="0" w:space="0" w:color="auto"/>
            <w:bottom w:val="none" w:sz="0" w:space="0" w:color="auto"/>
            <w:right w:val="none" w:sz="0" w:space="0" w:color="auto"/>
          </w:divBdr>
        </w:div>
        <w:div w:id="83301645">
          <w:marLeft w:val="0"/>
          <w:marRight w:val="0"/>
          <w:marTop w:val="0"/>
          <w:marBottom w:val="0"/>
          <w:divBdr>
            <w:top w:val="none" w:sz="0" w:space="0" w:color="auto"/>
            <w:left w:val="none" w:sz="0" w:space="0" w:color="auto"/>
            <w:bottom w:val="none" w:sz="0" w:space="0" w:color="auto"/>
            <w:right w:val="none" w:sz="0" w:space="0" w:color="auto"/>
          </w:divBdr>
        </w:div>
        <w:div w:id="155343102">
          <w:marLeft w:val="0"/>
          <w:marRight w:val="0"/>
          <w:marTop w:val="0"/>
          <w:marBottom w:val="0"/>
          <w:divBdr>
            <w:top w:val="none" w:sz="0" w:space="0" w:color="auto"/>
            <w:left w:val="none" w:sz="0" w:space="0" w:color="auto"/>
            <w:bottom w:val="none" w:sz="0" w:space="0" w:color="auto"/>
            <w:right w:val="none" w:sz="0" w:space="0" w:color="auto"/>
          </w:divBdr>
        </w:div>
        <w:div w:id="362095425">
          <w:marLeft w:val="0"/>
          <w:marRight w:val="0"/>
          <w:marTop w:val="0"/>
          <w:marBottom w:val="0"/>
          <w:divBdr>
            <w:top w:val="none" w:sz="0" w:space="0" w:color="auto"/>
            <w:left w:val="none" w:sz="0" w:space="0" w:color="auto"/>
            <w:bottom w:val="none" w:sz="0" w:space="0" w:color="auto"/>
            <w:right w:val="none" w:sz="0" w:space="0" w:color="auto"/>
          </w:divBdr>
        </w:div>
        <w:div w:id="368339930">
          <w:marLeft w:val="0"/>
          <w:marRight w:val="0"/>
          <w:marTop w:val="0"/>
          <w:marBottom w:val="0"/>
          <w:divBdr>
            <w:top w:val="none" w:sz="0" w:space="0" w:color="auto"/>
            <w:left w:val="none" w:sz="0" w:space="0" w:color="auto"/>
            <w:bottom w:val="none" w:sz="0" w:space="0" w:color="auto"/>
            <w:right w:val="none" w:sz="0" w:space="0" w:color="auto"/>
          </w:divBdr>
        </w:div>
        <w:div w:id="384303295">
          <w:marLeft w:val="0"/>
          <w:marRight w:val="0"/>
          <w:marTop w:val="0"/>
          <w:marBottom w:val="0"/>
          <w:divBdr>
            <w:top w:val="none" w:sz="0" w:space="0" w:color="auto"/>
            <w:left w:val="none" w:sz="0" w:space="0" w:color="auto"/>
            <w:bottom w:val="none" w:sz="0" w:space="0" w:color="auto"/>
            <w:right w:val="none" w:sz="0" w:space="0" w:color="auto"/>
          </w:divBdr>
        </w:div>
        <w:div w:id="551044870">
          <w:marLeft w:val="0"/>
          <w:marRight w:val="0"/>
          <w:marTop w:val="0"/>
          <w:marBottom w:val="0"/>
          <w:divBdr>
            <w:top w:val="none" w:sz="0" w:space="0" w:color="auto"/>
            <w:left w:val="none" w:sz="0" w:space="0" w:color="auto"/>
            <w:bottom w:val="none" w:sz="0" w:space="0" w:color="auto"/>
            <w:right w:val="none" w:sz="0" w:space="0" w:color="auto"/>
          </w:divBdr>
        </w:div>
        <w:div w:id="745999764">
          <w:marLeft w:val="0"/>
          <w:marRight w:val="0"/>
          <w:marTop w:val="0"/>
          <w:marBottom w:val="0"/>
          <w:divBdr>
            <w:top w:val="none" w:sz="0" w:space="0" w:color="auto"/>
            <w:left w:val="none" w:sz="0" w:space="0" w:color="auto"/>
            <w:bottom w:val="none" w:sz="0" w:space="0" w:color="auto"/>
            <w:right w:val="none" w:sz="0" w:space="0" w:color="auto"/>
          </w:divBdr>
        </w:div>
        <w:div w:id="899442528">
          <w:marLeft w:val="0"/>
          <w:marRight w:val="0"/>
          <w:marTop w:val="0"/>
          <w:marBottom w:val="0"/>
          <w:divBdr>
            <w:top w:val="none" w:sz="0" w:space="0" w:color="auto"/>
            <w:left w:val="none" w:sz="0" w:space="0" w:color="auto"/>
            <w:bottom w:val="none" w:sz="0" w:space="0" w:color="auto"/>
            <w:right w:val="none" w:sz="0" w:space="0" w:color="auto"/>
          </w:divBdr>
        </w:div>
        <w:div w:id="1119032449">
          <w:marLeft w:val="0"/>
          <w:marRight w:val="0"/>
          <w:marTop w:val="0"/>
          <w:marBottom w:val="0"/>
          <w:divBdr>
            <w:top w:val="none" w:sz="0" w:space="0" w:color="auto"/>
            <w:left w:val="none" w:sz="0" w:space="0" w:color="auto"/>
            <w:bottom w:val="none" w:sz="0" w:space="0" w:color="auto"/>
            <w:right w:val="none" w:sz="0" w:space="0" w:color="auto"/>
          </w:divBdr>
        </w:div>
        <w:div w:id="1175848385">
          <w:marLeft w:val="0"/>
          <w:marRight w:val="0"/>
          <w:marTop w:val="0"/>
          <w:marBottom w:val="0"/>
          <w:divBdr>
            <w:top w:val="none" w:sz="0" w:space="0" w:color="auto"/>
            <w:left w:val="none" w:sz="0" w:space="0" w:color="auto"/>
            <w:bottom w:val="none" w:sz="0" w:space="0" w:color="auto"/>
            <w:right w:val="none" w:sz="0" w:space="0" w:color="auto"/>
          </w:divBdr>
        </w:div>
        <w:div w:id="1181092778">
          <w:marLeft w:val="0"/>
          <w:marRight w:val="0"/>
          <w:marTop w:val="0"/>
          <w:marBottom w:val="0"/>
          <w:divBdr>
            <w:top w:val="none" w:sz="0" w:space="0" w:color="auto"/>
            <w:left w:val="none" w:sz="0" w:space="0" w:color="auto"/>
            <w:bottom w:val="none" w:sz="0" w:space="0" w:color="auto"/>
            <w:right w:val="none" w:sz="0" w:space="0" w:color="auto"/>
          </w:divBdr>
        </w:div>
        <w:div w:id="1493987511">
          <w:marLeft w:val="0"/>
          <w:marRight w:val="0"/>
          <w:marTop w:val="0"/>
          <w:marBottom w:val="0"/>
          <w:divBdr>
            <w:top w:val="none" w:sz="0" w:space="0" w:color="auto"/>
            <w:left w:val="none" w:sz="0" w:space="0" w:color="auto"/>
            <w:bottom w:val="none" w:sz="0" w:space="0" w:color="auto"/>
            <w:right w:val="none" w:sz="0" w:space="0" w:color="auto"/>
          </w:divBdr>
        </w:div>
        <w:div w:id="1614897233">
          <w:marLeft w:val="0"/>
          <w:marRight w:val="0"/>
          <w:marTop w:val="0"/>
          <w:marBottom w:val="0"/>
          <w:divBdr>
            <w:top w:val="none" w:sz="0" w:space="0" w:color="auto"/>
            <w:left w:val="none" w:sz="0" w:space="0" w:color="auto"/>
            <w:bottom w:val="none" w:sz="0" w:space="0" w:color="auto"/>
            <w:right w:val="none" w:sz="0" w:space="0" w:color="auto"/>
          </w:divBdr>
        </w:div>
        <w:div w:id="1817646614">
          <w:marLeft w:val="0"/>
          <w:marRight w:val="0"/>
          <w:marTop w:val="0"/>
          <w:marBottom w:val="0"/>
          <w:divBdr>
            <w:top w:val="none" w:sz="0" w:space="0" w:color="auto"/>
            <w:left w:val="none" w:sz="0" w:space="0" w:color="auto"/>
            <w:bottom w:val="none" w:sz="0" w:space="0" w:color="auto"/>
            <w:right w:val="none" w:sz="0" w:space="0" w:color="auto"/>
          </w:divBdr>
        </w:div>
      </w:divsChild>
    </w:div>
    <w:div w:id="727534707">
      <w:bodyDiv w:val="1"/>
      <w:marLeft w:val="0"/>
      <w:marRight w:val="0"/>
      <w:marTop w:val="0"/>
      <w:marBottom w:val="0"/>
      <w:divBdr>
        <w:top w:val="none" w:sz="0" w:space="0" w:color="auto"/>
        <w:left w:val="none" w:sz="0" w:space="0" w:color="auto"/>
        <w:bottom w:val="none" w:sz="0" w:space="0" w:color="auto"/>
        <w:right w:val="none" w:sz="0" w:space="0" w:color="auto"/>
      </w:divBdr>
    </w:div>
    <w:div w:id="743645067">
      <w:bodyDiv w:val="1"/>
      <w:marLeft w:val="0"/>
      <w:marRight w:val="0"/>
      <w:marTop w:val="0"/>
      <w:marBottom w:val="0"/>
      <w:divBdr>
        <w:top w:val="none" w:sz="0" w:space="0" w:color="auto"/>
        <w:left w:val="none" w:sz="0" w:space="0" w:color="auto"/>
        <w:bottom w:val="none" w:sz="0" w:space="0" w:color="auto"/>
        <w:right w:val="none" w:sz="0" w:space="0" w:color="auto"/>
      </w:divBdr>
    </w:div>
    <w:div w:id="744717541">
      <w:bodyDiv w:val="1"/>
      <w:marLeft w:val="0"/>
      <w:marRight w:val="0"/>
      <w:marTop w:val="0"/>
      <w:marBottom w:val="0"/>
      <w:divBdr>
        <w:top w:val="none" w:sz="0" w:space="0" w:color="auto"/>
        <w:left w:val="none" w:sz="0" w:space="0" w:color="auto"/>
        <w:bottom w:val="none" w:sz="0" w:space="0" w:color="auto"/>
        <w:right w:val="none" w:sz="0" w:space="0" w:color="auto"/>
      </w:divBdr>
    </w:div>
    <w:div w:id="749891635">
      <w:bodyDiv w:val="1"/>
      <w:marLeft w:val="0"/>
      <w:marRight w:val="0"/>
      <w:marTop w:val="0"/>
      <w:marBottom w:val="0"/>
      <w:divBdr>
        <w:top w:val="none" w:sz="0" w:space="0" w:color="auto"/>
        <w:left w:val="none" w:sz="0" w:space="0" w:color="auto"/>
        <w:bottom w:val="none" w:sz="0" w:space="0" w:color="auto"/>
        <w:right w:val="none" w:sz="0" w:space="0" w:color="auto"/>
      </w:divBdr>
      <w:divsChild>
        <w:div w:id="865867336">
          <w:marLeft w:val="0"/>
          <w:marRight w:val="0"/>
          <w:marTop w:val="0"/>
          <w:marBottom w:val="0"/>
          <w:divBdr>
            <w:top w:val="none" w:sz="0" w:space="0" w:color="auto"/>
            <w:left w:val="none" w:sz="0" w:space="0" w:color="auto"/>
            <w:bottom w:val="none" w:sz="0" w:space="0" w:color="auto"/>
            <w:right w:val="none" w:sz="0" w:space="0" w:color="auto"/>
          </w:divBdr>
        </w:div>
        <w:div w:id="1299802861">
          <w:marLeft w:val="0"/>
          <w:marRight w:val="0"/>
          <w:marTop w:val="0"/>
          <w:marBottom w:val="0"/>
          <w:divBdr>
            <w:top w:val="none" w:sz="0" w:space="0" w:color="auto"/>
            <w:left w:val="none" w:sz="0" w:space="0" w:color="auto"/>
            <w:bottom w:val="none" w:sz="0" w:space="0" w:color="auto"/>
            <w:right w:val="none" w:sz="0" w:space="0" w:color="auto"/>
          </w:divBdr>
        </w:div>
        <w:div w:id="1571039661">
          <w:marLeft w:val="0"/>
          <w:marRight w:val="0"/>
          <w:marTop w:val="0"/>
          <w:marBottom w:val="0"/>
          <w:divBdr>
            <w:top w:val="none" w:sz="0" w:space="0" w:color="auto"/>
            <w:left w:val="none" w:sz="0" w:space="0" w:color="auto"/>
            <w:bottom w:val="none" w:sz="0" w:space="0" w:color="auto"/>
            <w:right w:val="none" w:sz="0" w:space="0" w:color="auto"/>
          </w:divBdr>
        </w:div>
        <w:div w:id="1845973443">
          <w:marLeft w:val="0"/>
          <w:marRight w:val="0"/>
          <w:marTop w:val="0"/>
          <w:marBottom w:val="0"/>
          <w:divBdr>
            <w:top w:val="none" w:sz="0" w:space="0" w:color="auto"/>
            <w:left w:val="none" w:sz="0" w:space="0" w:color="auto"/>
            <w:bottom w:val="none" w:sz="0" w:space="0" w:color="auto"/>
            <w:right w:val="none" w:sz="0" w:space="0" w:color="auto"/>
          </w:divBdr>
        </w:div>
      </w:divsChild>
    </w:div>
    <w:div w:id="751047187">
      <w:bodyDiv w:val="1"/>
      <w:marLeft w:val="0"/>
      <w:marRight w:val="0"/>
      <w:marTop w:val="0"/>
      <w:marBottom w:val="0"/>
      <w:divBdr>
        <w:top w:val="none" w:sz="0" w:space="0" w:color="auto"/>
        <w:left w:val="none" w:sz="0" w:space="0" w:color="auto"/>
        <w:bottom w:val="none" w:sz="0" w:space="0" w:color="auto"/>
        <w:right w:val="none" w:sz="0" w:space="0" w:color="auto"/>
      </w:divBdr>
      <w:divsChild>
        <w:div w:id="92937493">
          <w:marLeft w:val="0"/>
          <w:marRight w:val="0"/>
          <w:marTop w:val="0"/>
          <w:marBottom w:val="0"/>
          <w:divBdr>
            <w:top w:val="none" w:sz="0" w:space="0" w:color="auto"/>
            <w:left w:val="none" w:sz="0" w:space="0" w:color="auto"/>
            <w:bottom w:val="none" w:sz="0" w:space="0" w:color="auto"/>
            <w:right w:val="none" w:sz="0" w:space="0" w:color="auto"/>
          </w:divBdr>
        </w:div>
        <w:div w:id="516819485">
          <w:marLeft w:val="0"/>
          <w:marRight w:val="0"/>
          <w:marTop w:val="0"/>
          <w:marBottom w:val="0"/>
          <w:divBdr>
            <w:top w:val="none" w:sz="0" w:space="0" w:color="auto"/>
            <w:left w:val="none" w:sz="0" w:space="0" w:color="auto"/>
            <w:bottom w:val="none" w:sz="0" w:space="0" w:color="auto"/>
            <w:right w:val="none" w:sz="0" w:space="0" w:color="auto"/>
          </w:divBdr>
        </w:div>
        <w:div w:id="1738357308">
          <w:marLeft w:val="0"/>
          <w:marRight w:val="0"/>
          <w:marTop w:val="0"/>
          <w:marBottom w:val="0"/>
          <w:divBdr>
            <w:top w:val="none" w:sz="0" w:space="0" w:color="auto"/>
            <w:left w:val="none" w:sz="0" w:space="0" w:color="auto"/>
            <w:bottom w:val="none" w:sz="0" w:space="0" w:color="auto"/>
            <w:right w:val="none" w:sz="0" w:space="0" w:color="auto"/>
          </w:divBdr>
        </w:div>
      </w:divsChild>
    </w:div>
    <w:div w:id="770052888">
      <w:bodyDiv w:val="1"/>
      <w:marLeft w:val="0"/>
      <w:marRight w:val="0"/>
      <w:marTop w:val="0"/>
      <w:marBottom w:val="0"/>
      <w:divBdr>
        <w:top w:val="none" w:sz="0" w:space="0" w:color="auto"/>
        <w:left w:val="none" w:sz="0" w:space="0" w:color="auto"/>
        <w:bottom w:val="none" w:sz="0" w:space="0" w:color="auto"/>
        <w:right w:val="none" w:sz="0" w:space="0" w:color="auto"/>
      </w:divBdr>
    </w:div>
    <w:div w:id="783765003">
      <w:bodyDiv w:val="1"/>
      <w:marLeft w:val="0"/>
      <w:marRight w:val="0"/>
      <w:marTop w:val="0"/>
      <w:marBottom w:val="0"/>
      <w:divBdr>
        <w:top w:val="none" w:sz="0" w:space="0" w:color="auto"/>
        <w:left w:val="none" w:sz="0" w:space="0" w:color="auto"/>
        <w:bottom w:val="none" w:sz="0" w:space="0" w:color="auto"/>
        <w:right w:val="none" w:sz="0" w:space="0" w:color="auto"/>
      </w:divBdr>
    </w:div>
    <w:div w:id="783816539">
      <w:bodyDiv w:val="1"/>
      <w:marLeft w:val="0"/>
      <w:marRight w:val="0"/>
      <w:marTop w:val="0"/>
      <w:marBottom w:val="0"/>
      <w:divBdr>
        <w:top w:val="none" w:sz="0" w:space="0" w:color="auto"/>
        <w:left w:val="none" w:sz="0" w:space="0" w:color="auto"/>
        <w:bottom w:val="none" w:sz="0" w:space="0" w:color="auto"/>
        <w:right w:val="none" w:sz="0" w:space="0" w:color="auto"/>
      </w:divBdr>
    </w:div>
    <w:div w:id="786508554">
      <w:bodyDiv w:val="1"/>
      <w:marLeft w:val="0"/>
      <w:marRight w:val="0"/>
      <w:marTop w:val="0"/>
      <w:marBottom w:val="0"/>
      <w:divBdr>
        <w:top w:val="none" w:sz="0" w:space="0" w:color="auto"/>
        <w:left w:val="none" w:sz="0" w:space="0" w:color="auto"/>
        <w:bottom w:val="none" w:sz="0" w:space="0" w:color="auto"/>
        <w:right w:val="none" w:sz="0" w:space="0" w:color="auto"/>
      </w:divBdr>
    </w:div>
    <w:div w:id="824013993">
      <w:bodyDiv w:val="1"/>
      <w:marLeft w:val="0"/>
      <w:marRight w:val="0"/>
      <w:marTop w:val="0"/>
      <w:marBottom w:val="0"/>
      <w:divBdr>
        <w:top w:val="none" w:sz="0" w:space="0" w:color="auto"/>
        <w:left w:val="none" w:sz="0" w:space="0" w:color="auto"/>
        <w:bottom w:val="none" w:sz="0" w:space="0" w:color="auto"/>
        <w:right w:val="none" w:sz="0" w:space="0" w:color="auto"/>
      </w:divBdr>
    </w:div>
    <w:div w:id="831259139">
      <w:bodyDiv w:val="1"/>
      <w:marLeft w:val="0"/>
      <w:marRight w:val="0"/>
      <w:marTop w:val="0"/>
      <w:marBottom w:val="0"/>
      <w:divBdr>
        <w:top w:val="none" w:sz="0" w:space="0" w:color="auto"/>
        <w:left w:val="none" w:sz="0" w:space="0" w:color="auto"/>
        <w:bottom w:val="none" w:sz="0" w:space="0" w:color="auto"/>
        <w:right w:val="none" w:sz="0" w:space="0" w:color="auto"/>
      </w:divBdr>
    </w:div>
    <w:div w:id="858078926">
      <w:bodyDiv w:val="1"/>
      <w:marLeft w:val="0"/>
      <w:marRight w:val="0"/>
      <w:marTop w:val="0"/>
      <w:marBottom w:val="0"/>
      <w:divBdr>
        <w:top w:val="none" w:sz="0" w:space="0" w:color="auto"/>
        <w:left w:val="none" w:sz="0" w:space="0" w:color="auto"/>
        <w:bottom w:val="none" w:sz="0" w:space="0" w:color="auto"/>
        <w:right w:val="none" w:sz="0" w:space="0" w:color="auto"/>
      </w:divBdr>
      <w:divsChild>
        <w:div w:id="351028181">
          <w:marLeft w:val="0"/>
          <w:marRight w:val="0"/>
          <w:marTop w:val="0"/>
          <w:marBottom w:val="0"/>
          <w:divBdr>
            <w:top w:val="none" w:sz="0" w:space="0" w:color="auto"/>
            <w:left w:val="none" w:sz="0" w:space="0" w:color="auto"/>
            <w:bottom w:val="none" w:sz="0" w:space="0" w:color="auto"/>
            <w:right w:val="none" w:sz="0" w:space="0" w:color="auto"/>
          </w:divBdr>
        </w:div>
        <w:div w:id="521894156">
          <w:marLeft w:val="0"/>
          <w:marRight w:val="0"/>
          <w:marTop w:val="0"/>
          <w:marBottom w:val="0"/>
          <w:divBdr>
            <w:top w:val="none" w:sz="0" w:space="0" w:color="auto"/>
            <w:left w:val="none" w:sz="0" w:space="0" w:color="auto"/>
            <w:bottom w:val="none" w:sz="0" w:space="0" w:color="auto"/>
            <w:right w:val="none" w:sz="0" w:space="0" w:color="auto"/>
          </w:divBdr>
        </w:div>
        <w:div w:id="982975803">
          <w:marLeft w:val="0"/>
          <w:marRight w:val="0"/>
          <w:marTop w:val="0"/>
          <w:marBottom w:val="0"/>
          <w:divBdr>
            <w:top w:val="none" w:sz="0" w:space="0" w:color="auto"/>
            <w:left w:val="none" w:sz="0" w:space="0" w:color="auto"/>
            <w:bottom w:val="none" w:sz="0" w:space="0" w:color="auto"/>
            <w:right w:val="none" w:sz="0" w:space="0" w:color="auto"/>
          </w:divBdr>
        </w:div>
        <w:div w:id="1604726495">
          <w:marLeft w:val="0"/>
          <w:marRight w:val="0"/>
          <w:marTop w:val="0"/>
          <w:marBottom w:val="0"/>
          <w:divBdr>
            <w:top w:val="none" w:sz="0" w:space="0" w:color="auto"/>
            <w:left w:val="none" w:sz="0" w:space="0" w:color="auto"/>
            <w:bottom w:val="none" w:sz="0" w:space="0" w:color="auto"/>
            <w:right w:val="none" w:sz="0" w:space="0" w:color="auto"/>
          </w:divBdr>
        </w:div>
        <w:div w:id="1648582408">
          <w:marLeft w:val="0"/>
          <w:marRight w:val="0"/>
          <w:marTop w:val="0"/>
          <w:marBottom w:val="0"/>
          <w:divBdr>
            <w:top w:val="none" w:sz="0" w:space="0" w:color="auto"/>
            <w:left w:val="none" w:sz="0" w:space="0" w:color="auto"/>
            <w:bottom w:val="none" w:sz="0" w:space="0" w:color="auto"/>
            <w:right w:val="none" w:sz="0" w:space="0" w:color="auto"/>
          </w:divBdr>
        </w:div>
        <w:div w:id="2005737818">
          <w:marLeft w:val="0"/>
          <w:marRight w:val="0"/>
          <w:marTop w:val="0"/>
          <w:marBottom w:val="0"/>
          <w:divBdr>
            <w:top w:val="none" w:sz="0" w:space="0" w:color="auto"/>
            <w:left w:val="none" w:sz="0" w:space="0" w:color="auto"/>
            <w:bottom w:val="none" w:sz="0" w:space="0" w:color="auto"/>
            <w:right w:val="none" w:sz="0" w:space="0" w:color="auto"/>
          </w:divBdr>
        </w:div>
      </w:divsChild>
    </w:div>
    <w:div w:id="861357577">
      <w:bodyDiv w:val="1"/>
      <w:marLeft w:val="0"/>
      <w:marRight w:val="0"/>
      <w:marTop w:val="0"/>
      <w:marBottom w:val="0"/>
      <w:divBdr>
        <w:top w:val="none" w:sz="0" w:space="0" w:color="auto"/>
        <w:left w:val="none" w:sz="0" w:space="0" w:color="auto"/>
        <w:bottom w:val="none" w:sz="0" w:space="0" w:color="auto"/>
        <w:right w:val="none" w:sz="0" w:space="0" w:color="auto"/>
      </w:divBdr>
    </w:div>
    <w:div w:id="867720353">
      <w:bodyDiv w:val="1"/>
      <w:marLeft w:val="0"/>
      <w:marRight w:val="0"/>
      <w:marTop w:val="0"/>
      <w:marBottom w:val="0"/>
      <w:divBdr>
        <w:top w:val="none" w:sz="0" w:space="0" w:color="auto"/>
        <w:left w:val="none" w:sz="0" w:space="0" w:color="auto"/>
        <w:bottom w:val="none" w:sz="0" w:space="0" w:color="auto"/>
        <w:right w:val="none" w:sz="0" w:space="0" w:color="auto"/>
      </w:divBdr>
    </w:div>
    <w:div w:id="882670961">
      <w:bodyDiv w:val="1"/>
      <w:marLeft w:val="0"/>
      <w:marRight w:val="0"/>
      <w:marTop w:val="0"/>
      <w:marBottom w:val="0"/>
      <w:divBdr>
        <w:top w:val="none" w:sz="0" w:space="0" w:color="auto"/>
        <w:left w:val="none" w:sz="0" w:space="0" w:color="auto"/>
        <w:bottom w:val="none" w:sz="0" w:space="0" w:color="auto"/>
        <w:right w:val="none" w:sz="0" w:space="0" w:color="auto"/>
      </w:divBdr>
    </w:div>
    <w:div w:id="895506550">
      <w:bodyDiv w:val="1"/>
      <w:marLeft w:val="0"/>
      <w:marRight w:val="0"/>
      <w:marTop w:val="0"/>
      <w:marBottom w:val="0"/>
      <w:divBdr>
        <w:top w:val="none" w:sz="0" w:space="0" w:color="auto"/>
        <w:left w:val="none" w:sz="0" w:space="0" w:color="auto"/>
        <w:bottom w:val="none" w:sz="0" w:space="0" w:color="auto"/>
        <w:right w:val="none" w:sz="0" w:space="0" w:color="auto"/>
      </w:divBdr>
    </w:div>
    <w:div w:id="908880326">
      <w:bodyDiv w:val="1"/>
      <w:marLeft w:val="0"/>
      <w:marRight w:val="0"/>
      <w:marTop w:val="0"/>
      <w:marBottom w:val="0"/>
      <w:divBdr>
        <w:top w:val="none" w:sz="0" w:space="0" w:color="auto"/>
        <w:left w:val="none" w:sz="0" w:space="0" w:color="auto"/>
        <w:bottom w:val="none" w:sz="0" w:space="0" w:color="auto"/>
        <w:right w:val="none" w:sz="0" w:space="0" w:color="auto"/>
      </w:divBdr>
    </w:div>
    <w:div w:id="961154648">
      <w:bodyDiv w:val="1"/>
      <w:marLeft w:val="0"/>
      <w:marRight w:val="0"/>
      <w:marTop w:val="0"/>
      <w:marBottom w:val="0"/>
      <w:divBdr>
        <w:top w:val="none" w:sz="0" w:space="0" w:color="auto"/>
        <w:left w:val="none" w:sz="0" w:space="0" w:color="auto"/>
        <w:bottom w:val="none" w:sz="0" w:space="0" w:color="auto"/>
        <w:right w:val="none" w:sz="0" w:space="0" w:color="auto"/>
      </w:divBdr>
    </w:div>
    <w:div w:id="981616873">
      <w:bodyDiv w:val="1"/>
      <w:marLeft w:val="0"/>
      <w:marRight w:val="0"/>
      <w:marTop w:val="0"/>
      <w:marBottom w:val="0"/>
      <w:divBdr>
        <w:top w:val="none" w:sz="0" w:space="0" w:color="auto"/>
        <w:left w:val="none" w:sz="0" w:space="0" w:color="auto"/>
        <w:bottom w:val="none" w:sz="0" w:space="0" w:color="auto"/>
        <w:right w:val="none" w:sz="0" w:space="0" w:color="auto"/>
      </w:divBdr>
    </w:div>
    <w:div w:id="990989888">
      <w:bodyDiv w:val="1"/>
      <w:marLeft w:val="0"/>
      <w:marRight w:val="0"/>
      <w:marTop w:val="0"/>
      <w:marBottom w:val="0"/>
      <w:divBdr>
        <w:top w:val="none" w:sz="0" w:space="0" w:color="auto"/>
        <w:left w:val="none" w:sz="0" w:space="0" w:color="auto"/>
        <w:bottom w:val="none" w:sz="0" w:space="0" w:color="auto"/>
        <w:right w:val="none" w:sz="0" w:space="0" w:color="auto"/>
      </w:divBdr>
      <w:divsChild>
        <w:div w:id="102578866">
          <w:marLeft w:val="0"/>
          <w:marRight w:val="0"/>
          <w:marTop w:val="0"/>
          <w:marBottom w:val="0"/>
          <w:divBdr>
            <w:top w:val="none" w:sz="0" w:space="0" w:color="auto"/>
            <w:left w:val="none" w:sz="0" w:space="0" w:color="auto"/>
            <w:bottom w:val="none" w:sz="0" w:space="0" w:color="auto"/>
            <w:right w:val="none" w:sz="0" w:space="0" w:color="auto"/>
          </w:divBdr>
        </w:div>
        <w:div w:id="225650979">
          <w:marLeft w:val="0"/>
          <w:marRight w:val="0"/>
          <w:marTop w:val="0"/>
          <w:marBottom w:val="0"/>
          <w:divBdr>
            <w:top w:val="none" w:sz="0" w:space="0" w:color="auto"/>
            <w:left w:val="none" w:sz="0" w:space="0" w:color="auto"/>
            <w:bottom w:val="none" w:sz="0" w:space="0" w:color="auto"/>
            <w:right w:val="none" w:sz="0" w:space="0" w:color="auto"/>
          </w:divBdr>
        </w:div>
        <w:div w:id="243145458">
          <w:marLeft w:val="0"/>
          <w:marRight w:val="0"/>
          <w:marTop w:val="0"/>
          <w:marBottom w:val="0"/>
          <w:divBdr>
            <w:top w:val="none" w:sz="0" w:space="0" w:color="auto"/>
            <w:left w:val="none" w:sz="0" w:space="0" w:color="auto"/>
            <w:bottom w:val="none" w:sz="0" w:space="0" w:color="auto"/>
            <w:right w:val="none" w:sz="0" w:space="0" w:color="auto"/>
          </w:divBdr>
        </w:div>
        <w:div w:id="263808538">
          <w:marLeft w:val="0"/>
          <w:marRight w:val="0"/>
          <w:marTop w:val="0"/>
          <w:marBottom w:val="0"/>
          <w:divBdr>
            <w:top w:val="none" w:sz="0" w:space="0" w:color="auto"/>
            <w:left w:val="none" w:sz="0" w:space="0" w:color="auto"/>
            <w:bottom w:val="none" w:sz="0" w:space="0" w:color="auto"/>
            <w:right w:val="none" w:sz="0" w:space="0" w:color="auto"/>
          </w:divBdr>
        </w:div>
        <w:div w:id="514342506">
          <w:marLeft w:val="0"/>
          <w:marRight w:val="0"/>
          <w:marTop w:val="0"/>
          <w:marBottom w:val="0"/>
          <w:divBdr>
            <w:top w:val="none" w:sz="0" w:space="0" w:color="auto"/>
            <w:left w:val="none" w:sz="0" w:space="0" w:color="auto"/>
            <w:bottom w:val="none" w:sz="0" w:space="0" w:color="auto"/>
            <w:right w:val="none" w:sz="0" w:space="0" w:color="auto"/>
          </w:divBdr>
        </w:div>
        <w:div w:id="554318716">
          <w:marLeft w:val="0"/>
          <w:marRight w:val="0"/>
          <w:marTop w:val="0"/>
          <w:marBottom w:val="0"/>
          <w:divBdr>
            <w:top w:val="none" w:sz="0" w:space="0" w:color="auto"/>
            <w:left w:val="none" w:sz="0" w:space="0" w:color="auto"/>
            <w:bottom w:val="none" w:sz="0" w:space="0" w:color="auto"/>
            <w:right w:val="none" w:sz="0" w:space="0" w:color="auto"/>
          </w:divBdr>
        </w:div>
        <w:div w:id="710227895">
          <w:marLeft w:val="0"/>
          <w:marRight w:val="0"/>
          <w:marTop w:val="0"/>
          <w:marBottom w:val="0"/>
          <w:divBdr>
            <w:top w:val="none" w:sz="0" w:space="0" w:color="auto"/>
            <w:left w:val="none" w:sz="0" w:space="0" w:color="auto"/>
            <w:bottom w:val="none" w:sz="0" w:space="0" w:color="auto"/>
            <w:right w:val="none" w:sz="0" w:space="0" w:color="auto"/>
          </w:divBdr>
        </w:div>
        <w:div w:id="935669100">
          <w:marLeft w:val="0"/>
          <w:marRight w:val="0"/>
          <w:marTop w:val="0"/>
          <w:marBottom w:val="0"/>
          <w:divBdr>
            <w:top w:val="none" w:sz="0" w:space="0" w:color="auto"/>
            <w:left w:val="none" w:sz="0" w:space="0" w:color="auto"/>
            <w:bottom w:val="none" w:sz="0" w:space="0" w:color="auto"/>
            <w:right w:val="none" w:sz="0" w:space="0" w:color="auto"/>
          </w:divBdr>
        </w:div>
        <w:div w:id="1146975245">
          <w:marLeft w:val="0"/>
          <w:marRight w:val="0"/>
          <w:marTop w:val="0"/>
          <w:marBottom w:val="0"/>
          <w:divBdr>
            <w:top w:val="none" w:sz="0" w:space="0" w:color="auto"/>
            <w:left w:val="none" w:sz="0" w:space="0" w:color="auto"/>
            <w:bottom w:val="none" w:sz="0" w:space="0" w:color="auto"/>
            <w:right w:val="none" w:sz="0" w:space="0" w:color="auto"/>
          </w:divBdr>
        </w:div>
        <w:div w:id="1378092164">
          <w:marLeft w:val="0"/>
          <w:marRight w:val="0"/>
          <w:marTop w:val="0"/>
          <w:marBottom w:val="0"/>
          <w:divBdr>
            <w:top w:val="none" w:sz="0" w:space="0" w:color="auto"/>
            <w:left w:val="none" w:sz="0" w:space="0" w:color="auto"/>
            <w:bottom w:val="none" w:sz="0" w:space="0" w:color="auto"/>
            <w:right w:val="none" w:sz="0" w:space="0" w:color="auto"/>
          </w:divBdr>
        </w:div>
        <w:div w:id="1419794099">
          <w:marLeft w:val="0"/>
          <w:marRight w:val="0"/>
          <w:marTop w:val="0"/>
          <w:marBottom w:val="0"/>
          <w:divBdr>
            <w:top w:val="none" w:sz="0" w:space="0" w:color="auto"/>
            <w:left w:val="none" w:sz="0" w:space="0" w:color="auto"/>
            <w:bottom w:val="none" w:sz="0" w:space="0" w:color="auto"/>
            <w:right w:val="none" w:sz="0" w:space="0" w:color="auto"/>
          </w:divBdr>
        </w:div>
        <w:div w:id="1428388070">
          <w:marLeft w:val="0"/>
          <w:marRight w:val="0"/>
          <w:marTop w:val="0"/>
          <w:marBottom w:val="0"/>
          <w:divBdr>
            <w:top w:val="none" w:sz="0" w:space="0" w:color="auto"/>
            <w:left w:val="none" w:sz="0" w:space="0" w:color="auto"/>
            <w:bottom w:val="none" w:sz="0" w:space="0" w:color="auto"/>
            <w:right w:val="none" w:sz="0" w:space="0" w:color="auto"/>
          </w:divBdr>
        </w:div>
        <w:div w:id="1605185603">
          <w:marLeft w:val="0"/>
          <w:marRight w:val="0"/>
          <w:marTop w:val="0"/>
          <w:marBottom w:val="0"/>
          <w:divBdr>
            <w:top w:val="none" w:sz="0" w:space="0" w:color="auto"/>
            <w:left w:val="none" w:sz="0" w:space="0" w:color="auto"/>
            <w:bottom w:val="none" w:sz="0" w:space="0" w:color="auto"/>
            <w:right w:val="none" w:sz="0" w:space="0" w:color="auto"/>
          </w:divBdr>
        </w:div>
        <w:div w:id="1729569143">
          <w:marLeft w:val="0"/>
          <w:marRight w:val="0"/>
          <w:marTop w:val="0"/>
          <w:marBottom w:val="0"/>
          <w:divBdr>
            <w:top w:val="none" w:sz="0" w:space="0" w:color="auto"/>
            <w:left w:val="none" w:sz="0" w:space="0" w:color="auto"/>
            <w:bottom w:val="none" w:sz="0" w:space="0" w:color="auto"/>
            <w:right w:val="none" w:sz="0" w:space="0" w:color="auto"/>
          </w:divBdr>
        </w:div>
        <w:div w:id="1732387048">
          <w:marLeft w:val="0"/>
          <w:marRight w:val="0"/>
          <w:marTop w:val="0"/>
          <w:marBottom w:val="0"/>
          <w:divBdr>
            <w:top w:val="none" w:sz="0" w:space="0" w:color="auto"/>
            <w:left w:val="none" w:sz="0" w:space="0" w:color="auto"/>
            <w:bottom w:val="none" w:sz="0" w:space="0" w:color="auto"/>
            <w:right w:val="none" w:sz="0" w:space="0" w:color="auto"/>
          </w:divBdr>
        </w:div>
        <w:div w:id="2080595925">
          <w:marLeft w:val="0"/>
          <w:marRight w:val="0"/>
          <w:marTop w:val="0"/>
          <w:marBottom w:val="0"/>
          <w:divBdr>
            <w:top w:val="none" w:sz="0" w:space="0" w:color="auto"/>
            <w:left w:val="none" w:sz="0" w:space="0" w:color="auto"/>
            <w:bottom w:val="none" w:sz="0" w:space="0" w:color="auto"/>
            <w:right w:val="none" w:sz="0" w:space="0" w:color="auto"/>
          </w:divBdr>
        </w:div>
      </w:divsChild>
    </w:div>
    <w:div w:id="995380448">
      <w:bodyDiv w:val="1"/>
      <w:marLeft w:val="0"/>
      <w:marRight w:val="0"/>
      <w:marTop w:val="0"/>
      <w:marBottom w:val="0"/>
      <w:divBdr>
        <w:top w:val="none" w:sz="0" w:space="0" w:color="auto"/>
        <w:left w:val="none" w:sz="0" w:space="0" w:color="auto"/>
        <w:bottom w:val="none" w:sz="0" w:space="0" w:color="auto"/>
        <w:right w:val="none" w:sz="0" w:space="0" w:color="auto"/>
      </w:divBdr>
    </w:div>
    <w:div w:id="1008023078">
      <w:bodyDiv w:val="1"/>
      <w:marLeft w:val="0"/>
      <w:marRight w:val="0"/>
      <w:marTop w:val="0"/>
      <w:marBottom w:val="0"/>
      <w:divBdr>
        <w:top w:val="none" w:sz="0" w:space="0" w:color="auto"/>
        <w:left w:val="none" w:sz="0" w:space="0" w:color="auto"/>
        <w:bottom w:val="none" w:sz="0" w:space="0" w:color="auto"/>
        <w:right w:val="none" w:sz="0" w:space="0" w:color="auto"/>
      </w:divBdr>
      <w:divsChild>
        <w:div w:id="15928318">
          <w:marLeft w:val="0"/>
          <w:marRight w:val="0"/>
          <w:marTop w:val="0"/>
          <w:marBottom w:val="0"/>
          <w:divBdr>
            <w:top w:val="none" w:sz="0" w:space="0" w:color="auto"/>
            <w:left w:val="none" w:sz="0" w:space="0" w:color="auto"/>
            <w:bottom w:val="none" w:sz="0" w:space="0" w:color="auto"/>
            <w:right w:val="none" w:sz="0" w:space="0" w:color="auto"/>
          </w:divBdr>
        </w:div>
        <w:div w:id="229004583">
          <w:marLeft w:val="0"/>
          <w:marRight w:val="0"/>
          <w:marTop w:val="0"/>
          <w:marBottom w:val="0"/>
          <w:divBdr>
            <w:top w:val="none" w:sz="0" w:space="0" w:color="auto"/>
            <w:left w:val="none" w:sz="0" w:space="0" w:color="auto"/>
            <w:bottom w:val="none" w:sz="0" w:space="0" w:color="auto"/>
            <w:right w:val="none" w:sz="0" w:space="0" w:color="auto"/>
          </w:divBdr>
        </w:div>
        <w:div w:id="476918543">
          <w:marLeft w:val="0"/>
          <w:marRight w:val="0"/>
          <w:marTop w:val="0"/>
          <w:marBottom w:val="0"/>
          <w:divBdr>
            <w:top w:val="none" w:sz="0" w:space="0" w:color="auto"/>
            <w:left w:val="none" w:sz="0" w:space="0" w:color="auto"/>
            <w:bottom w:val="none" w:sz="0" w:space="0" w:color="auto"/>
            <w:right w:val="none" w:sz="0" w:space="0" w:color="auto"/>
          </w:divBdr>
        </w:div>
        <w:div w:id="532502355">
          <w:marLeft w:val="0"/>
          <w:marRight w:val="0"/>
          <w:marTop w:val="0"/>
          <w:marBottom w:val="0"/>
          <w:divBdr>
            <w:top w:val="none" w:sz="0" w:space="0" w:color="auto"/>
            <w:left w:val="none" w:sz="0" w:space="0" w:color="auto"/>
            <w:bottom w:val="none" w:sz="0" w:space="0" w:color="auto"/>
            <w:right w:val="none" w:sz="0" w:space="0" w:color="auto"/>
          </w:divBdr>
        </w:div>
        <w:div w:id="788546968">
          <w:marLeft w:val="0"/>
          <w:marRight w:val="0"/>
          <w:marTop w:val="0"/>
          <w:marBottom w:val="0"/>
          <w:divBdr>
            <w:top w:val="none" w:sz="0" w:space="0" w:color="auto"/>
            <w:left w:val="none" w:sz="0" w:space="0" w:color="auto"/>
            <w:bottom w:val="none" w:sz="0" w:space="0" w:color="auto"/>
            <w:right w:val="none" w:sz="0" w:space="0" w:color="auto"/>
          </w:divBdr>
        </w:div>
        <w:div w:id="804083466">
          <w:marLeft w:val="0"/>
          <w:marRight w:val="0"/>
          <w:marTop w:val="0"/>
          <w:marBottom w:val="0"/>
          <w:divBdr>
            <w:top w:val="none" w:sz="0" w:space="0" w:color="auto"/>
            <w:left w:val="none" w:sz="0" w:space="0" w:color="auto"/>
            <w:bottom w:val="none" w:sz="0" w:space="0" w:color="auto"/>
            <w:right w:val="none" w:sz="0" w:space="0" w:color="auto"/>
          </w:divBdr>
        </w:div>
        <w:div w:id="1254513861">
          <w:marLeft w:val="0"/>
          <w:marRight w:val="0"/>
          <w:marTop w:val="0"/>
          <w:marBottom w:val="0"/>
          <w:divBdr>
            <w:top w:val="none" w:sz="0" w:space="0" w:color="auto"/>
            <w:left w:val="none" w:sz="0" w:space="0" w:color="auto"/>
            <w:bottom w:val="none" w:sz="0" w:space="0" w:color="auto"/>
            <w:right w:val="none" w:sz="0" w:space="0" w:color="auto"/>
          </w:divBdr>
        </w:div>
        <w:div w:id="1309241487">
          <w:marLeft w:val="0"/>
          <w:marRight w:val="0"/>
          <w:marTop w:val="0"/>
          <w:marBottom w:val="0"/>
          <w:divBdr>
            <w:top w:val="none" w:sz="0" w:space="0" w:color="auto"/>
            <w:left w:val="none" w:sz="0" w:space="0" w:color="auto"/>
            <w:bottom w:val="none" w:sz="0" w:space="0" w:color="auto"/>
            <w:right w:val="none" w:sz="0" w:space="0" w:color="auto"/>
          </w:divBdr>
        </w:div>
      </w:divsChild>
    </w:div>
    <w:div w:id="1009797725">
      <w:bodyDiv w:val="1"/>
      <w:marLeft w:val="0"/>
      <w:marRight w:val="0"/>
      <w:marTop w:val="0"/>
      <w:marBottom w:val="0"/>
      <w:divBdr>
        <w:top w:val="none" w:sz="0" w:space="0" w:color="auto"/>
        <w:left w:val="none" w:sz="0" w:space="0" w:color="auto"/>
        <w:bottom w:val="none" w:sz="0" w:space="0" w:color="auto"/>
        <w:right w:val="none" w:sz="0" w:space="0" w:color="auto"/>
      </w:divBdr>
      <w:divsChild>
        <w:div w:id="60760309">
          <w:marLeft w:val="0"/>
          <w:marRight w:val="0"/>
          <w:marTop w:val="0"/>
          <w:marBottom w:val="0"/>
          <w:divBdr>
            <w:top w:val="none" w:sz="0" w:space="0" w:color="auto"/>
            <w:left w:val="none" w:sz="0" w:space="0" w:color="auto"/>
            <w:bottom w:val="none" w:sz="0" w:space="0" w:color="auto"/>
            <w:right w:val="none" w:sz="0" w:space="0" w:color="auto"/>
          </w:divBdr>
        </w:div>
        <w:div w:id="157309865">
          <w:marLeft w:val="0"/>
          <w:marRight w:val="0"/>
          <w:marTop w:val="0"/>
          <w:marBottom w:val="0"/>
          <w:divBdr>
            <w:top w:val="none" w:sz="0" w:space="0" w:color="auto"/>
            <w:left w:val="none" w:sz="0" w:space="0" w:color="auto"/>
            <w:bottom w:val="none" w:sz="0" w:space="0" w:color="auto"/>
            <w:right w:val="none" w:sz="0" w:space="0" w:color="auto"/>
          </w:divBdr>
        </w:div>
        <w:div w:id="224031019">
          <w:marLeft w:val="0"/>
          <w:marRight w:val="0"/>
          <w:marTop w:val="0"/>
          <w:marBottom w:val="0"/>
          <w:divBdr>
            <w:top w:val="none" w:sz="0" w:space="0" w:color="auto"/>
            <w:left w:val="none" w:sz="0" w:space="0" w:color="auto"/>
            <w:bottom w:val="none" w:sz="0" w:space="0" w:color="auto"/>
            <w:right w:val="none" w:sz="0" w:space="0" w:color="auto"/>
          </w:divBdr>
        </w:div>
        <w:div w:id="299724839">
          <w:marLeft w:val="0"/>
          <w:marRight w:val="0"/>
          <w:marTop w:val="0"/>
          <w:marBottom w:val="0"/>
          <w:divBdr>
            <w:top w:val="none" w:sz="0" w:space="0" w:color="auto"/>
            <w:left w:val="none" w:sz="0" w:space="0" w:color="auto"/>
            <w:bottom w:val="none" w:sz="0" w:space="0" w:color="auto"/>
            <w:right w:val="none" w:sz="0" w:space="0" w:color="auto"/>
          </w:divBdr>
        </w:div>
        <w:div w:id="384790872">
          <w:marLeft w:val="0"/>
          <w:marRight w:val="0"/>
          <w:marTop w:val="0"/>
          <w:marBottom w:val="0"/>
          <w:divBdr>
            <w:top w:val="none" w:sz="0" w:space="0" w:color="auto"/>
            <w:left w:val="none" w:sz="0" w:space="0" w:color="auto"/>
            <w:bottom w:val="none" w:sz="0" w:space="0" w:color="auto"/>
            <w:right w:val="none" w:sz="0" w:space="0" w:color="auto"/>
          </w:divBdr>
        </w:div>
        <w:div w:id="541330344">
          <w:marLeft w:val="0"/>
          <w:marRight w:val="0"/>
          <w:marTop w:val="0"/>
          <w:marBottom w:val="0"/>
          <w:divBdr>
            <w:top w:val="none" w:sz="0" w:space="0" w:color="auto"/>
            <w:left w:val="none" w:sz="0" w:space="0" w:color="auto"/>
            <w:bottom w:val="none" w:sz="0" w:space="0" w:color="auto"/>
            <w:right w:val="none" w:sz="0" w:space="0" w:color="auto"/>
          </w:divBdr>
        </w:div>
        <w:div w:id="647442460">
          <w:marLeft w:val="0"/>
          <w:marRight w:val="0"/>
          <w:marTop w:val="0"/>
          <w:marBottom w:val="0"/>
          <w:divBdr>
            <w:top w:val="none" w:sz="0" w:space="0" w:color="auto"/>
            <w:left w:val="none" w:sz="0" w:space="0" w:color="auto"/>
            <w:bottom w:val="none" w:sz="0" w:space="0" w:color="auto"/>
            <w:right w:val="none" w:sz="0" w:space="0" w:color="auto"/>
          </w:divBdr>
        </w:div>
        <w:div w:id="736821454">
          <w:marLeft w:val="0"/>
          <w:marRight w:val="0"/>
          <w:marTop w:val="0"/>
          <w:marBottom w:val="0"/>
          <w:divBdr>
            <w:top w:val="none" w:sz="0" w:space="0" w:color="auto"/>
            <w:left w:val="none" w:sz="0" w:space="0" w:color="auto"/>
            <w:bottom w:val="none" w:sz="0" w:space="0" w:color="auto"/>
            <w:right w:val="none" w:sz="0" w:space="0" w:color="auto"/>
          </w:divBdr>
        </w:div>
        <w:div w:id="785076619">
          <w:marLeft w:val="0"/>
          <w:marRight w:val="0"/>
          <w:marTop w:val="0"/>
          <w:marBottom w:val="0"/>
          <w:divBdr>
            <w:top w:val="none" w:sz="0" w:space="0" w:color="auto"/>
            <w:left w:val="none" w:sz="0" w:space="0" w:color="auto"/>
            <w:bottom w:val="none" w:sz="0" w:space="0" w:color="auto"/>
            <w:right w:val="none" w:sz="0" w:space="0" w:color="auto"/>
          </w:divBdr>
        </w:div>
        <w:div w:id="987635969">
          <w:marLeft w:val="0"/>
          <w:marRight w:val="0"/>
          <w:marTop w:val="0"/>
          <w:marBottom w:val="0"/>
          <w:divBdr>
            <w:top w:val="none" w:sz="0" w:space="0" w:color="auto"/>
            <w:left w:val="none" w:sz="0" w:space="0" w:color="auto"/>
            <w:bottom w:val="none" w:sz="0" w:space="0" w:color="auto"/>
            <w:right w:val="none" w:sz="0" w:space="0" w:color="auto"/>
          </w:divBdr>
        </w:div>
        <w:div w:id="1032077257">
          <w:marLeft w:val="0"/>
          <w:marRight w:val="0"/>
          <w:marTop w:val="0"/>
          <w:marBottom w:val="0"/>
          <w:divBdr>
            <w:top w:val="none" w:sz="0" w:space="0" w:color="auto"/>
            <w:left w:val="none" w:sz="0" w:space="0" w:color="auto"/>
            <w:bottom w:val="none" w:sz="0" w:space="0" w:color="auto"/>
            <w:right w:val="none" w:sz="0" w:space="0" w:color="auto"/>
          </w:divBdr>
        </w:div>
        <w:div w:id="1428961133">
          <w:marLeft w:val="0"/>
          <w:marRight w:val="0"/>
          <w:marTop w:val="0"/>
          <w:marBottom w:val="0"/>
          <w:divBdr>
            <w:top w:val="none" w:sz="0" w:space="0" w:color="auto"/>
            <w:left w:val="none" w:sz="0" w:space="0" w:color="auto"/>
            <w:bottom w:val="none" w:sz="0" w:space="0" w:color="auto"/>
            <w:right w:val="none" w:sz="0" w:space="0" w:color="auto"/>
          </w:divBdr>
        </w:div>
        <w:div w:id="1476606790">
          <w:marLeft w:val="0"/>
          <w:marRight w:val="0"/>
          <w:marTop w:val="0"/>
          <w:marBottom w:val="0"/>
          <w:divBdr>
            <w:top w:val="none" w:sz="0" w:space="0" w:color="auto"/>
            <w:left w:val="none" w:sz="0" w:space="0" w:color="auto"/>
            <w:bottom w:val="none" w:sz="0" w:space="0" w:color="auto"/>
            <w:right w:val="none" w:sz="0" w:space="0" w:color="auto"/>
          </w:divBdr>
        </w:div>
        <w:div w:id="1586450555">
          <w:marLeft w:val="0"/>
          <w:marRight w:val="0"/>
          <w:marTop w:val="0"/>
          <w:marBottom w:val="0"/>
          <w:divBdr>
            <w:top w:val="none" w:sz="0" w:space="0" w:color="auto"/>
            <w:left w:val="none" w:sz="0" w:space="0" w:color="auto"/>
            <w:bottom w:val="none" w:sz="0" w:space="0" w:color="auto"/>
            <w:right w:val="none" w:sz="0" w:space="0" w:color="auto"/>
          </w:divBdr>
        </w:div>
        <w:div w:id="1602640306">
          <w:marLeft w:val="0"/>
          <w:marRight w:val="0"/>
          <w:marTop w:val="0"/>
          <w:marBottom w:val="0"/>
          <w:divBdr>
            <w:top w:val="none" w:sz="0" w:space="0" w:color="auto"/>
            <w:left w:val="none" w:sz="0" w:space="0" w:color="auto"/>
            <w:bottom w:val="none" w:sz="0" w:space="0" w:color="auto"/>
            <w:right w:val="none" w:sz="0" w:space="0" w:color="auto"/>
          </w:divBdr>
        </w:div>
        <w:div w:id="1732849648">
          <w:marLeft w:val="0"/>
          <w:marRight w:val="0"/>
          <w:marTop w:val="0"/>
          <w:marBottom w:val="0"/>
          <w:divBdr>
            <w:top w:val="none" w:sz="0" w:space="0" w:color="auto"/>
            <w:left w:val="none" w:sz="0" w:space="0" w:color="auto"/>
            <w:bottom w:val="none" w:sz="0" w:space="0" w:color="auto"/>
            <w:right w:val="none" w:sz="0" w:space="0" w:color="auto"/>
          </w:divBdr>
        </w:div>
        <w:div w:id="1907185821">
          <w:marLeft w:val="0"/>
          <w:marRight w:val="0"/>
          <w:marTop w:val="0"/>
          <w:marBottom w:val="0"/>
          <w:divBdr>
            <w:top w:val="none" w:sz="0" w:space="0" w:color="auto"/>
            <w:left w:val="none" w:sz="0" w:space="0" w:color="auto"/>
            <w:bottom w:val="none" w:sz="0" w:space="0" w:color="auto"/>
            <w:right w:val="none" w:sz="0" w:space="0" w:color="auto"/>
          </w:divBdr>
        </w:div>
        <w:div w:id="1910189835">
          <w:marLeft w:val="0"/>
          <w:marRight w:val="0"/>
          <w:marTop w:val="0"/>
          <w:marBottom w:val="0"/>
          <w:divBdr>
            <w:top w:val="none" w:sz="0" w:space="0" w:color="auto"/>
            <w:left w:val="none" w:sz="0" w:space="0" w:color="auto"/>
            <w:bottom w:val="none" w:sz="0" w:space="0" w:color="auto"/>
            <w:right w:val="none" w:sz="0" w:space="0" w:color="auto"/>
          </w:divBdr>
        </w:div>
        <w:div w:id="1973291061">
          <w:marLeft w:val="0"/>
          <w:marRight w:val="0"/>
          <w:marTop w:val="0"/>
          <w:marBottom w:val="0"/>
          <w:divBdr>
            <w:top w:val="none" w:sz="0" w:space="0" w:color="auto"/>
            <w:left w:val="none" w:sz="0" w:space="0" w:color="auto"/>
            <w:bottom w:val="none" w:sz="0" w:space="0" w:color="auto"/>
            <w:right w:val="none" w:sz="0" w:space="0" w:color="auto"/>
          </w:divBdr>
        </w:div>
        <w:div w:id="2063557726">
          <w:marLeft w:val="0"/>
          <w:marRight w:val="0"/>
          <w:marTop w:val="0"/>
          <w:marBottom w:val="0"/>
          <w:divBdr>
            <w:top w:val="none" w:sz="0" w:space="0" w:color="auto"/>
            <w:left w:val="none" w:sz="0" w:space="0" w:color="auto"/>
            <w:bottom w:val="none" w:sz="0" w:space="0" w:color="auto"/>
            <w:right w:val="none" w:sz="0" w:space="0" w:color="auto"/>
          </w:divBdr>
        </w:div>
        <w:div w:id="2099061929">
          <w:marLeft w:val="0"/>
          <w:marRight w:val="0"/>
          <w:marTop w:val="0"/>
          <w:marBottom w:val="0"/>
          <w:divBdr>
            <w:top w:val="none" w:sz="0" w:space="0" w:color="auto"/>
            <w:left w:val="none" w:sz="0" w:space="0" w:color="auto"/>
            <w:bottom w:val="none" w:sz="0" w:space="0" w:color="auto"/>
            <w:right w:val="none" w:sz="0" w:space="0" w:color="auto"/>
          </w:divBdr>
        </w:div>
      </w:divsChild>
    </w:div>
    <w:div w:id="1026098045">
      <w:bodyDiv w:val="1"/>
      <w:marLeft w:val="0"/>
      <w:marRight w:val="0"/>
      <w:marTop w:val="0"/>
      <w:marBottom w:val="0"/>
      <w:divBdr>
        <w:top w:val="none" w:sz="0" w:space="0" w:color="auto"/>
        <w:left w:val="none" w:sz="0" w:space="0" w:color="auto"/>
        <w:bottom w:val="none" w:sz="0" w:space="0" w:color="auto"/>
        <w:right w:val="none" w:sz="0" w:space="0" w:color="auto"/>
      </w:divBdr>
    </w:div>
    <w:div w:id="1039818232">
      <w:bodyDiv w:val="1"/>
      <w:marLeft w:val="0"/>
      <w:marRight w:val="0"/>
      <w:marTop w:val="0"/>
      <w:marBottom w:val="0"/>
      <w:divBdr>
        <w:top w:val="none" w:sz="0" w:space="0" w:color="auto"/>
        <w:left w:val="none" w:sz="0" w:space="0" w:color="auto"/>
        <w:bottom w:val="none" w:sz="0" w:space="0" w:color="auto"/>
        <w:right w:val="none" w:sz="0" w:space="0" w:color="auto"/>
      </w:divBdr>
    </w:div>
    <w:div w:id="1044908475">
      <w:bodyDiv w:val="1"/>
      <w:marLeft w:val="0"/>
      <w:marRight w:val="0"/>
      <w:marTop w:val="0"/>
      <w:marBottom w:val="0"/>
      <w:divBdr>
        <w:top w:val="none" w:sz="0" w:space="0" w:color="auto"/>
        <w:left w:val="none" w:sz="0" w:space="0" w:color="auto"/>
        <w:bottom w:val="none" w:sz="0" w:space="0" w:color="auto"/>
        <w:right w:val="none" w:sz="0" w:space="0" w:color="auto"/>
      </w:divBdr>
    </w:div>
    <w:div w:id="1046221134">
      <w:bodyDiv w:val="1"/>
      <w:marLeft w:val="0"/>
      <w:marRight w:val="0"/>
      <w:marTop w:val="0"/>
      <w:marBottom w:val="0"/>
      <w:divBdr>
        <w:top w:val="none" w:sz="0" w:space="0" w:color="auto"/>
        <w:left w:val="none" w:sz="0" w:space="0" w:color="auto"/>
        <w:bottom w:val="none" w:sz="0" w:space="0" w:color="auto"/>
        <w:right w:val="none" w:sz="0" w:space="0" w:color="auto"/>
      </w:divBdr>
    </w:div>
    <w:div w:id="1050687492">
      <w:bodyDiv w:val="1"/>
      <w:marLeft w:val="0"/>
      <w:marRight w:val="0"/>
      <w:marTop w:val="0"/>
      <w:marBottom w:val="0"/>
      <w:divBdr>
        <w:top w:val="none" w:sz="0" w:space="0" w:color="auto"/>
        <w:left w:val="none" w:sz="0" w:space="0" w:color="auto"/>
        <w:bottom w:val="none" w:sz="0" w:space="0" w:color="auto"/>
        <w:right w:val="none" w:sz="0" w:space="0" w:color="auto"/>
      </w:divBdr>
      <w:divsChild>
        <w:div w:id="121001925">
          <w:marLeft w:val="0"/>
          <w:marRight w:val="0"/>
          <w:marTop w:val="0"/>
          <w:marBottom w:val="0"/>
          <w:divBdr>
            <w:top w:val="none" w:sz="0" w:space="0" w:color="auto"/>
            <w:left w:val="none" w:sz="0" w:space="0" w:color="auto"/>
            <w:bottom w:val="none" w:sz="0" w:space="0" w:color="auto"/>
            <w:right w:val="none" w:sz="0" w:space="0" w:color="auto"/>
          </w:divBdr>
        </w:div>
        <w:div w:id="551426126">
          <w:marLeft w:val="0"/>
          <w:marRight w:val="0"/>
          <w:marTop w:val="0"/>
          <w:marBottom w:val="0"/>
          <w:divBdr>
            <w:top w:val="none" w:sz="0" w:space="0" w:color="auto"/>
            <w:left w:val="none" w:sz="0" w:space="0" w:color="auto"/>
            <w:bottom w:val="none" w:sz="0" w:space="0" w:color="auto"/>
            <w:right w:val="none" w:sz="0" w:space="0" w:color="auto"/>
          </w:divBdr>
        </w:div>
        <w:div w:id="593444018">
          <w:marLeft w:val="0"/>
          <w:marRight w:val="0"/>
          <w:marTop w:val="0"/>
          <w:marBottom w:val="0"/>
          <w:divBdr>
            <w:top w:val="none" w:sz="0" w:space="0" w:color="auto"/>
            <w:left w:val="none" w:sz="0" w:space="0" w:color="auto"/>
            <w:bottom w:val="none" w:sz="0" w:space="0" w:color="auto"/>
            <w:right w:val="none" w:sz="0" w:space="0" w:color="auto"/>
          </w:divBdr>
        </w:div>
        <w:div w:id="838812323">
          <w:marLeft w:val="0"/>
          <w:marRight w:val="0"/>
          <w:marTop w:val="0"/>
          <w:marBottom w:val="0"/>
          <w:divBdr>
            <w:top w:val="none" w:sz="0" w:space="0" w:color="auto"/>
            <w:left w:val="none" w:sz="0" w:space="0" w:color="auto"/>
            <w:bottom w:val="none" w:sz="0" w:space="0" w:color="auto"/>
            <w:right w:val="none" w:sz="0" w:space="0" w:color="auto"/>
          </w:divBdr>
        </w:div>
        <w:div w:id="1170364827">
          <w:marLeft w:val="0"/>
          <w:marRight w:val="0"/>
          <w:marTop w:val="0"/>
          <w:marBottom w:val="0"/>
          <w:divBdr>
            <w:top w:val="none" w:sz="0" w:space="0" w:color="auto"/>
            <w:left w:val="none" w:sz="0" w:space="0" w:color="auto"/>
            <w:bottom w:val="none" w:sz="0" w:space="0" w:color="auto"/>
            <w:right w:val="none" w:sz="0" w:space="0" w:color="auto"/>
          </w:divBdr>
        </w:div>
        <w:div w:id="1953508974">
          <w:marLeft w:val="0"/>
          <w:marRight w:val="0"/>
          <w:marTop w:val="0"/>
          <w:marBottom w:val="0"/>
          <w:divBdr>
            <w:top w:val="none" w:sz="0" w:space="0" w:color="auto"/>
            <w:left w:val="none" w:sz="0" w:space="0" w:color="auto"/>
            <w:bottom w:val="none" w:sz="0" w:space="0" w:color="auto"/>
            <w:right w:val="none" w:sz="0" w:space="0" w:color="auto"/>
          </w:divBdr>
        </w:div>
        <w:div w:id="2094619482">
          <w:marLeft w:val="0"/>
          <w:marRight w:val="0"/>
          <w:marTop w:val="0"/>
          <w:marBottom w:val="0"/>
          <w:divBdr>
            <w:top w:val="none" w:sz="0" w:space="0" w:color="auto"/>
            <w:left w:val="none" w:sz="0" w:space="0" w:color="auto"/>
            <w:bottom w:val="none" w:sz="0" w:space="0" w:color="auto"/>
            <w:right w:val="none" w:sz="0" w:space="0" w:color="auto"/>
          </w:divBdr>
        </w:div>
      </w:divsChild>
    </w:div>
    <w:div w:id="1080755330">
      <w:bodyDiv w:val="1"/>
      <w:marLeft w:val="0"/>
      <w:marRight w:val="0"/>
      <w:marTop w:val="0"/>
      <w:marBottom w:val="0"/>
      <w:divBdr>
        <w:top w:val="none" w:sz="0" w:space="0" w:color="auto"/>
        <w:left w:val="none" w:sz="0" w:space="0" w:color="auto"/>
        <w:bottom w:val="none" w:sz="0" w:space="0" w:color="auto"/>
        <w:right w:val="none" w:sz="0" w:space="0" w:color="auto"/>
      </w:divBdr>
    </w:div>
    <w:div w:id="1083179989">
      <w:bodyDiv w:val="1"/>
      <w:marLeft w:val="0"/>
      <w:marRight w:val="0"/>
      <w:marTop w:val="0"/>
      <w:marBottom w:val="0"/>
      <w:divBdr>
        <w:top w:val="none" w:sz="0" w:space="0" w:color="auto"/>
        <w:left w:val="none" w:sz="0" w:space="0" w:color="auto"/>
        <w:bottom w:val="none" w:sz="0" w:space="0" w:color="auto"/>
        <w:right w:val="none" w:sz="0" w:space="0" w:color="auto"/>
      </w:divBdr>
      <w:divsChild>
        <w:div w:id="564607999">
          <w:marLeft w:val="0"/>
          <w:marRight w:val="0"/>
          <w:marTop w:val="0"/>
          <w:marBottom w:val="0"/>
          <w:divBdr>
            <w:top w:val="none" w:sz="0" w:space="0" w:color="auto"/>
            <w:left w:val="none" w:sz="0" w:space="0" w:color="auto"/>
            <w:bottom w:val="none" w:sz="0" w:space="0" w:color="auto"/>
            <w:right w:val="none" w:sz="0" w:space="0" w:color="auto"/>
          </w:divBdr>
        </w:div>
        <w:div w:id="698706416">
          <w:marLeft w:val="0"/>
          <w:marRight w:val="0"/>
          <w:marTop w:val="0"/>
          <w:marBottom w:val="0"/>
          <w:divBdr>
            <w:top w:val="none" w:sz="0" w:space="0" w:color="auto"/>
            <w:left w:val="none" w:sz="0" w:space="0" w:color="auto"/>
            <w:bottom w:val="none" w:sz="0" w:space="0" w:color="auto"/>
            <w:right w:val="none" w:sz="0" w:space="0" w:color="auto"/>
          </w:divBdr>
        </w:div>
        <w:div w:id="938148058">
          <w:marLeft w:val="0"/>
          <w:marRight w:val="0"/>
          <w:marTop w:val="0"/>
          <w:marBottom w:val="0"/>
          <w:divBdr>
            <w:top w:val="none" w:sz="0" w:space="0" w:color="auto"/>
            <w:left w:val="none" w:sz="0" w:space="0" w:color="auto"/>
            <w:bottom w:val="none" w:sz="0" w:space="0" w:color="auto"/>
            <w:right w:val="none" w:sz="0" w:space="0" w:color="auto"/>
          </w:divBdr>
        </w:div>
        <w:div w:id="1002049598">
          <w:marLeft w:val="0"/>
          <w:marRight w:val="0"/>
          <w:marTop w:val="0"/>
          <w:marBottom w:val="0"/>
          <w:divBdr>
            <w:top w:val="none" w:sz="0" w:space="0" w:color="auto"/>
            <w:left w:val="none" w:sz="0" w:space="0" w:color="auto"/>
            <w:bottom w:val="none" w:sz="0" w:space="0" w:color="auto"/>
            <w:right w:val="none" w:sz="0" w:space="0" w:color="auto"/>
          </w:divBdr>
        </w:div>
        <w:div w:id="1025597157">
          <w:marLeft w:val="0"/>
          <w:marRight w:val="0"/>
          <w:marTop w:val="0"/>
          <w:marBottom w:val="0"/>
          <w:divBdr>
            <w:top w:val="none" w:sz="0" w:space="0" w:color="auto"/>
            <w:left w:val="none" w:sz="0" w:space="0" w:color="auto"/>
            <w:bottom w:val="none" w:sz="0" w:space="0" w:color="auto"/>
            <w:right w:val="none" w:sz="0" w:space="0" w:color="auto"/>
          </w:divBdr>
        </w:div>
        <w:div w:id="1329089252">
          <w:marLeft w:val="0"/>
          <w:marRight w:val="0"/>
          <w:marTop w:val="0"/>
          <w:marBottom w:val="0"/>
          <w:divBdr>
            <w:top w:val="none" w:sz="0" w:space="0" w:color="auto"/>
            <w:left w:val="none" w:sz="0" w:space="0" w:color="auto"/>
            <w:bottom w:val="none" w:sz="0" w:space="0" w:color="auto"/>
            <w:right w:val="none" w:sz="0" w:space="0" w:color="auto"/>
          </w:divBdr>
        </w:div>
        <w:div w:id="1537037654">
          <w:marLeft w:val="0"/>
          <w:marRight w:val="0"/>
          <w:marTop w:val="0"/>
          <w:marBottom w:val="0"/>
          <w:divBdr>
            <w:top w:val="none" w:sz="0" w:space="0" w:color="auto"/>
            <w:left w:val="none" w:sz="0" w:space="0" w:color="auto"/>
            <w:bottom w:val="none" w:sz="0" w:space="0" w:color="auto"/>
            <w:right w:val="none" w:sz="0" w:space="0" w:color="auto"/>
          </w:divBdr>
        </w:div>
        <w:div w:id="1685017925">
          <w:marLeft w:val="0"/>
          <w:marRight w:val="0"/>
          <w:marTop w:val="0"/>
          <w:marBottom w:val="0"/>
          <w:divBdr>
            <w:top w:val="none" w:sz="0" w:space="0" w:color="auto"/>
            <w:left w:val="none" w:sz="0" w:space="0" w:color="auto"/>
            <w:bottom w:val="none" w:sz="0" w:space="0" w:color="auto"/>
            <w:right w:val="none" w:sz="0" w:space="0" w:color="auto"/>
          </w:divBdr>
        </w:div>
        <w:div w:id="2129272132">
          <w:marLeft w:val="0"/>
          <w:marRight w:val="0"/>
          <w:marTop w:val="0"/>
          <w:marBottom w:val="0"/>
          <w:divBdr>
            <w:top w:val="none" w:sz="0" w:space="0" w:color="auto"/>
            <w:left w:val="none" w:sz="0" w:space="0" w:color="auto"/>
            <w:bottom w:val="none" w:sz="0" w:space="0" w:color="auto"/>
            <w:right w:val="none" w:sz="0" w:space="0" w:color="auto"/>
          </w:divBdr>
        </w:div>
      </w:divsChild>
    </w:div>
    <w:div w:id="1091203117">
      <w:bodyDiv w:val="1"/>
      <w:marLeft w:val="0"/>
      <w:marRight w:val="0"/>
      <w:marTop w:val="0"/>
      <w:marBottom w:val="0"/>
      <w:divBdr>
        <w:top w:val="none" w:sz="0" w:space="0" w:color="auto"/>
        <w:left w:val="none" w:sz="0" w:space="0" w:color="auto"/>
        <w:bottom w:val="none" w:sz="0" w:space="0" w:color="auto"/>
        <w:right w:val="none" w:sz="0" w:space="0" w:color="auto"/>
      </w:divBdr>
    </w:div>
    <w:div w:id="1103110500">
      <w:bodyDiv w:val="1"/>
      <w:marLeft w:val="0"/>
      <w:marRight w:val="0"/>
      <w:marTop w:val="0"/>
      <w:marBottom w:val="0"/>
      <w:divBdr>
        <w:top w:val="none" w:sz="0" w:space="0" w:color="auto"/>
        <w:left w:val="none" w:sz="0" w:space="0" w:color="auto"/>
        <w:bottom w:val="none" w:sz="0" w:space="0" w:color="auto"/>
        <w:right w:val="none" w:sz="0" w:space="0" w:color="auto"/>
      </w:divBdr>
      <w:divsChild>
        <w:div w:id="17318460">
          <w:marLeft w:val="0"/>
          <w:marRight w:val="0"/>
          <w:marTop w:val="0"/>
          <w:marBottom w:val="0"/>
          <w:divBdr>
            <w:top w:val="none" w:sz="0" w:space="0" w:color="auto"/>
            <w:left w:val="none" w:sz="0" w:space="0" w:color="auto"/>
            <w:bottom w:val="none" w:sz="0" w:space="0" w:color="auto"/>
            <w:right w:val="none" w:sz="0" w:space="0" w:color="auto"/>
          </w:divBdr>
        </w:div>
        <w:div w:id="65304553">
          <w:marLeft w:val="0"/>
          <w:marRight w:val="0"/>
          <w:marTop w:val="0"/>
          <w:marBottom w:val="0"/>
          <w:divBdr>
            <w:top w:val="none" w:sz="0" w:space="0" w:color="auto"/>
            <w:left w:val="none" w:sz="0" w:space="0" w:color="auto"/>
            <w:bottom w:val="none" w:sz="0" w:space="0" w:color="auto"/>
            <w:right w:val="none" w:sz="0" w:space="0" w:color="auto"/>
          </w:divBdr>
        </w:div>
        <w:div w:id="620258612">
          <w:marLeft w:val="0"/>
          <w:marRight w:val="0"/>
          <w:marTop w:val="0"/>
          <w:marBottom w:val="0"/>
          <w:divBdr>
            <w:top w:val="none" w:sz="0" w:space="0" w:color="auto"/>
            <w:left w:val="none" w:sz="0" w:space="0" w:color="auto"/>
            <w:bottom w:val="none" w:sz="0" w:space="0" w:color="auto"/>
            <w:right w:val="none" w:sz="0" w:space="0" w:color="auto"/>
          </w:divBdr>
        </w:div>
        <w:div w:id="711343884">
          <w:marLeft w:val="0"/>
          <w:marRight w:val="0"/>
          <w:marTop w:val="0"/>
          <w:marBottom w:val="0"/>
          <w:divBdr>
            <w:top w:val="none" w:sz="0" w:space="0" w:color="auto"/>
            <w:left w:val="none" w:sz="0" w:space="0" w:color="auto"/>
            <w:bottom w:val="none" w:sz="0" w:space="0" w:color="auto"/>
            <w:right w:val="none" w:sz="0" w:space="0" w:color="auto"/>
          </w:divBdr>
        </w:div>
        <w:div w:id="786003971">
          <w:marLeft w:val="0"/>
          <w:marRight w:val="0"/>
          <w:marTop w:val="0"/>
          <w:marBottom w:val="0"/>
          <w:divBdr>
            <w:top w:val="none" w:sz="0" w:space="0" w:color="auto"/>
            <w:left w:val="none" w:sz="0" w:space="0" w:color="auto"/>
            <w:bottom w:val="none" w:sz="0" w:space="0" w:color="auto"/>
            <w:right w:val="none" w:sz="0" w:space="0" w:color="auto"/>
          </w:divBdr>
        </w:div>
        <w:div w:id="1268196434">
          <w:marLeft w:val="0"/>
          <w:marRight w:val="0"/>
          <w:marTop w:val="0"/>
          <w:marBottom w:val="0"/>
          <w:divBdr>
            <w:top w:val="none" w:sz="0" w:space="0" w:color="auto"/>
            <w:left w:val="none" w:sz="0" w:space="0" w:color="auto"/>
            <w:bottom w:val="none" w:sz="0" w:space="0" w:color="auto"/>
            <w:right w:val="none" w:sz="0" w:space="0" w:color="auto"/>
          </w:divBdr>
        </w:div>
        <w:div w:id="2107144000">
          <w:marLeft w:val="0"/>
          <w:marRight w:val="0"/>
          <w:marTop w:val="0"/>
          <w:marBottom w:val="0"/>
          <w:divBdr>
            <w:top w:val="none" w:sz="0" w:space="0" w:color="auto"/>
            <w:left w:val="none" w:sz="0" w:space="0" w:color="auto"/>
            <w:bottom w:val="none" w:sz="0" w:space="0" w:color="auto"/>
            <w:right w:val="none" w:sz="0" w:space="0" w:color="auto"/>
          </w:divBdr>
        </w:div>
        <w:div w:id="2137985756">
          <w:marLeft w:val="0"/>
          <w:marRight w:val="0"/>
          <w:marTop w:val="0"/>
          <w:marBottom w:val="0"/>
          <w:divBdr>
            <w:top w:val="none" w:sz="0" w:space="0" w:color="auto"/>
            <w:left w:val="none" w:sz="0" w:space="0" w:color="auto"/>
            <w:bottom w:val="none" w:sz="0" w:space="0" w:color="auto"/>
            <w:right w:val="none" w:sz="0" w:space="0" w:color="auto"/>
          </w:divBdr>
        </w:div>
      </w:divsChild>
    </w:div>
    <w:div w:id="1120564866">
      <w:bodyDiv w:val="1"/>
      <w:marLeft w:val="0"/>
      <w:marRight w:val="0"/>
      <w:marTop w:val="0"/>
      <w:marBottom w:val="0"/>
      <w:divBdr>
        <w:top w:val="none" w:sz="0" w:space="0" w:color="auto"/>
        <w:left w:val="none" w:sz="0" w:space="0" w:color="auto"/>
        <w:bottom w:val="none" w:sz="0" w:space="0" w:color="auto"/>
        <w:right w:val="none" w:sz="0" w:space="0" w:color="auto"/>
      </w:divBdr>
    </w:div>
    <w:div w:id="1128741340">
      <w:bodyDiv w:val="1"/>
      <w:marLeft w:val="0"/>
      <w:marRight w:val="0"/>
      <w:marTop w:val="0"/>
      <w:marBottom w:val="0"/>
      <w:divBdr>
        <w:top w:val="none" w:sz="0" w:space="0" w:color="auto"/>
        <w:left w:val="none" w:sz="0" w:space="0" w:color="auto"/>
        <w:bottom w:val="none" w:sz="0" w:space="0" w:color="auto"/>
        <w:right w:val="none" w:sz="0" w:space="0" w:color="auto"/>
      </w:divBdr>
    </w:div>
    <w:div w:id="1128822029">
      <w:bodyDiv w:val="1"/>
      <w:marLeft w:val="0"/>
      <w:marRight w:val="0"/>
      <w:marTop w:val="0"/>
      <w:marBottom w:val="0"/>
      <w:divBdr>
        <w:top w:val="none" w:sz="0" w:space="0" w:color="auto"/>
        <w:left w:val="none" w:sz="0" w:space="0" w:color="auto"/>
        <w:bottom w:val="none" w:sz="0" w:space="0" w:color="auto"/>
        <w:right w:val="none" w:sz="0" w:space="0" w:color="auto"/>
      </w:divBdr>
    </w:div>
    <w:div w:id="1143473531">
      <w:bodyDiv w:val="1"/>
      <w:marLeft w:val="0"/>
      <w:marRight w:val="0"/>
      <w:marTop w:val="0"/>
      <w:marBottom w:val="0"/>
      <w:divBdr>
        <w:top w:val="none" w:sz="0" w:space="0" w:color="auto"/>
        <w:left w:val="none" w:sz="0" w:space="0" w:color="auto"/>
        <w:bottom w:val="none" w:sz="0" w:space="0" w:color="auto"/>
        <w:right w:val="none" w:sz="0" w:space="0" w:color="auto"/>
      </w:divBdr>
    </w:div>
    <w:div w:id="1145470785">
      <w:bodyDiv w:val="1"/>
      <w:marLeft w:val="0"/>
      <w:marRight w:val="0"/>
      <w:marTop w:val="0"/>
      <w:marBottom w:val="0"/>
      <w:divBdr>
        <w:top w:val="none" w:sz="0" w:space="0" w:color="auto"/>
        <w:left w:val="none" w:sz="0" w:space="0" w:color="auto"/>
        <w:bottom w:val="none" w:sz="0" w:space="0" w:color="auto"/>
        <w:right w:val="none" w:sz="0" w:space="0" w:color="auto"/>
      </w:divBdr>
      <w:divsChild>
        <w:div w:id="105974473">
          <w:marLeft w:val="0"/>
          <w:marRight w:val="0"/>
          <w:marTop w:val="0"/>
          <w:marBottom w:val="0"/>
          <w:divBdr>
            <w:top w:val="none" w:sz="0" w:space="0" w:color="auto"/>
            <w:left w:val="none" w:sz="0" w:space="0" w:color="auto"/>
            <w:bottom w:val="none" w:sz="0" w:space="0" w:color="auto"/>
            <w:right w:val="none" w:sz="0" w:space="0" w:color="auto"/>
          </w:divBdr>
        </w:div>
        <w:div w:id="334916784">
          <w:marLeft w:val="0"/>
          <w:marRight w:val="0"/>
          <w:marTop w:val="0"/>
          <w:marBottom w:val="0"/>
          <w:divBdr>
            <w:top w:val="none" w:sz="0" w:space="0" w:color="auto"/>
            <w:left w:val="none" w:sz="0" w:space="0" w:color="auto"/>
            <w:bottom w:val="none" w:sz="0" w:space="0" w:color="auto"/>
            <w:right w:val="none" w:sz="0" w:space="0" w:color="auto"/>
          </w:divBdr>
        </w:div>
        <w:div w:id="364986310">
          <w:marLeft w:val="0"/>
          <w:marRight w:val="0"/>
          <w:marTop w:val="0"/>
          <w:marBottom w:val="0"/>
          <w:divBdr>
            <w:top w:val="none" w:sz="0" w:space="0" w:color="auto"/>
            <w:left w:val="none" w:sz="0" w:space="0" w:color="auto"/>
            <w:bottom w:val="none" w:sz="0" w:space="0" w:color="auto"/>
            <w:right w:val="none" w:sz="0" w:space="0" w:color="auto"/>
          </w:divBdr>
        </w:div>
        <w:div w:id="430904778">
          <w:marLeft w:val="0"/>
          <w:marRight w:val="0"/>
          <w:marTop w:val="0"/>
          <w:marBottom w:val="0"/>
          <w:divBdr>
            <w:top w:val="none" w:sz="0" w:space="0" w:color="auto"/>
            <w:left w:val="none" w:sz="0" w:space="0" w:color="auto"/>
            <w:bottom w:val="none" w:sz="0" w:space="0" w:color="auto"/>
            <w:right w:val="none" w:sz="0" w:space="0" w:color="auto"/>
          </w:divBdr>
        </w:div>
        <w:div w:id="449596036">
          <w:marLeft w:val="0"/>
          <w:marRight w:val="0"/>
          <w:marTop w:val="0"/>
          <w:marBottom w:val="0"/>
          <w:divBdr>
            <w:top w:val="none" w:sz="0" w:space="0" w:color="auto"/>
            <w:left w:val="none" w:sz="0" w:space="0" w:color="auto"/>
            <w:bottom w:val="none" w:sz="0" w:space="0" w:color="auto"/>
            <w:right w:val="none" w:sz="0" w:space="0" w:color="auto"/>
          </w:divBdr>
        </w:div>
        <w:div w:id="1082218860">
          <w:marLeft w:val="0"/>
          <w:marRight w:val="0"/>
          <w:marTop w:val="0"/>
          <w:marBottom w:val="0"/>
          <w:divBdr>
            <w:top w:val="none" w:sz="0" w:space="0" w:color="auto"/>
            <w:left w:val="none" w:sz="0" w:space="0" w:color="auto"/>
            <w:bottom w:val="none" w:sz="0" w:space="0" w:color="auto"/>
            <w:right w:val="none" w:sz="0" w:space="0" w:color="auto"/>
          </w:divBdr>
        </w:div>
        <w:div w:id="1434521739">
          <w:marLeft w:val="0"/>
          <w:marRight w:val="0"/>
          <w:marTop w:val="0"/>
          <w:marBottom w:val="0"/>
          <w:divBdr>
            <w:top w:val="none" w:sz="0" w:space="0" w:color="auto"/>
            <w:left w:val="none" w:sz="0" w:space="0" w:color="auto"/>
            <w:bottom w:val="none" w:sz="0" w:space="0" w:color="auto"/>
            <w:right w:val="none" w:sz="0" w:space="0" w:color="auto"/>
          </w:divBdr>
        </w:div>
        <w:div w:id="1467505350">
          <w:marLeft w:val="0"/>
          <w:marRight w:val="0"/>
          <w:marTop w:val="0"/>
          <w:marBottom w:val="0"/>
          <w:divBdr>
            <w:top w:val="none" w:sz="0" w:space="0" w:color="auto"/>
            <w:left w:val="none" w:sz="0" w:space="0" w:color="auto"/>
            <w:bottom w:val="none" w:sz="0" w:space="0" w:color="auto"/>
            <w:right w:val="none" w:sz="0" w:space="0" w:color="auto"/>
          </w:divBdr>
        </w:div>
        <w:div w:id="1624456527">
          <w:marLeft w:val="0"/>
          <w:marRight w:val="0"/>
          <w:marTop w:val="0"/>
          <w:marBottom w:val="0"/>
          <w:divBdr>
            <w:top w:val="none" w:sz="0" w:space="0" w:color="auto"/>
            <w:left w:val="none" w:sz="0" w:space="0" w:color="auto"/>
            <w:bottom w:val="none" w:sz="0" w:space="0" w:color="auto"/>
            <w:right w:val="none" w:sz="0" w:space="0" w:color="auto"/>
          </w:divBdr>
        </w:div>
        <w:div w:id="1939487991">
          <w:marLeft w:val="0"/>
          <w:marRight w:val="0"/>
          <w:marTop w:val="0"/>
          <w:marBottom w:val="0"/>
          <w:divBdr>
            <w:top w:val="none" w:sz="0" w:space="0" w:color="auto"/>
            <w:left w:val="none" w:sz="0" w:space="0" w:color="auto"/>
            <w:bottom w:val="none" w:sz="0" w:space="0" w:color="auto"/>
            <w:right w:val="none" w:sz="0" w:space="0" w:color="auto"/>
          </w:divBdr>
        </w:div>
      </w:divsChild>
    </w:div>
    <w:div w:id="1145970629">
      <w:bodyDiv w:val="1"/>
      <w:marLeft w:val="0"/>
      <w:marRight w:val="0"/>
      <w:marTop w:val="0"/>
      <w:marBottom w:val="0"/>
      <w:divBdr>
        <w:top w:val="none" w:sz="0" w:space="0" w:color="auto"/>
        <w:left w:val="none" w:sz="0" w:space="0" w:color="auto"/>
        <w:bottom w:val="none" w:sz="0" w:space="0" w:color="auto"/>
        <w:right w:val="none" w:sz="0" w:space="0" w:color="auto"/>
      </w:divBdr>
      <w:divsChild>
        <w:div w:id="389499508">
          <w:marLeft w:val="0"/>
          <w:marRight w:val="0"/>
          <w:marTop w:val="0"/>
          <w:marBottom w:val="0"/>
          <w:divBdr>
            <w:top w:val="none" w:sz="0" w:space="0" w:color="auto"/>
            <w:left w:val="none" w:sz="0" w:space="0" w:color="auto"/>
            <w:bottom w:val="none" w:sz="0" w:space="0" w:color="auto"/>
            <w:right w:val="none" w:sz="0" w:space="0" w:color="auto"/>
          </w:divBdr>
        </w:div>
        <w:div w:id="492765297">
          <w:marLeft w:val="0"/>
          <w:marRight w:val="0"/>
          <w:marTop w:val="0"/>
          <w:marBottom w:val="0"/>
          <w:divBdr>
            <w:top w:val="none" w:sz="0" w:space="0" w:color="auto"/>
            <w:left w:val="none" w:sz="0" w:space="0" w:color="auto"/>
            <w:bottom w:val="none" w:sz="0" w:space="0" w:color="auto"/>
            <w:right w:val="none" w:sz="0" w:space="0" w:color="auto"/>
          </w:divBdr>
        </w:div>
        <w:div w:id="981271409">
          <w:marLeft w:val="0"/>
          <w:marRight w:val="0"/>
          <w:marTop w:val="0"/>
          <w:marBottom w:val="0"/>
          <w:divBdr>
            <w:top w:val="none" w:sz="0" w:space="0" w:color="auto"/>
            <w:left w:val="none" w:sz="0" w:space="0" w:color="auto"/>
            <w:bottom w:val="none" w:sz="0" w:space="0" w:color="auto"/>
            <w:right w:val="none" w:sz="0" w:space="0" w:color="auto"/>
          </w:divBdr>
        </w:div>
        <w:div w:id="1423381791">
          <w:marLeft w:val="0"/>
          <w:marRight w:val="0"/>
          <w:marTop w:val="0"/>
          <w:marBottom w:val="0"/>
          <w:divBdr>
            <w:top w:val="none" w:sz="0" w:space="0" w:color="auto"/>
            <w:left w:val="none" w:sz="0" w:space="0" w:color="auto"/>
            <w:bottom w:val="none" w:sz="0" w:space="0" w:color="auto"/>
            <w:right w:val="none" w:sz="0" w:space="0" w:color="auto"/>
          </w:divBdr>
        </w:div>
        <w:div w:id="1688946851">
          <w:marLeft w:val="0"/>
          <w:marRight w:val="0"/>
          <w:marTop w:val="0"/>
          <w:marBottom w:val="0"/>
          <w:divBdr>
            <w:top w:val="none" w:sz="0" w:space="0" w:color="auto"/>
            <w:left w:val="none" w:sz="0" w:space="0" w:color="auto"/>
            <w:bottom w:val="none" w:sz="0" w:space="0" w:color="auto"/>
            <w:right w:val="none" w:sz="0" w:space="0" w:color="auto"/>
          </w:divBdr>
        </w:div>
        <w:div w:id="2078241934">
          <w:marLeft w:val="0"/>
          <w:marRight w:val="0"/>
          <w:marTop w:val="0"/>
          <w:marBottom w:val="0"/>
          <w:divBdr>
            <w:top w:val="none" w:sz="0" w:space="0" w:color="auto"/>
            <w:left w:val="none" w:sz="0" w:space="0" w:color="auto"/>
            <w:bottom w:val="none" w:sz="0" w:space="0" w:color="auto"/>
            <w:right w:val="none" w:sz="0" w:space="0" w:color="auto"/>
          </w:divBdr>
        </w:div>
      </w:divsChild>
    </w:div>
    <w:div w:id="1146972834">
      <w:bodyDiv w:val="1"/>
      <w:marLeft w:val="0"/>
      <w:marRight w:val="0"/>
      <w:marTop w:val="0"/>
      <w:marBottom w:val="0"/>
      <w:divBdr>
        <w:top w:val="none" w:sz="0" w:space="0" w:color="auto"/>
        <w:left w:val="none" w:sz="0" w:space="0" w:color="auto"/>
        <w:bottom w:val="none" w:sz="0" w:space="0" w:color="auto"/>
        <w:right w:val="none" w:sz="0" w:space="0" w:color="auto"/>
      </w:divBdr>
      <w:divsChild>
        <w:div w:id="57442269">
          <w:marLeft w:val="0"/>
          <w:marRight w:val="0"/>
          <w:marTop w:val="0"/>
          <w:marBottom w:val="0"/>
          <w:divBdr>
            <w:top w:val="none" w:sz="0" w:space="0" w:color="auto"/>
            <w:left w:val="none" w:sz="0" w:space="0" w:color="auto"/>
            <w:bottom w:val="none" w:sz="0" w:space="0" w:color="auto"/>
            <w:right w:val="none" w:sz="0" w:space="0" w:color="auto"/>
          </w:divBdr>
        </w:div>
        <w:div w:id="139929691">
          <w:marLeft w:val="0"/>
          <w:marRight w:val="0"/>
          <w:marTop w:val="0"/>
          <w:marBottom w:val="0"/>
          <w:divBdr>
            <w:top w:val="none" w:sz="0" w:space="0" w:color="auto"/>
            <w:left w:val="none" w:sz="0" w:space="0" w:color="auto"/>
            <w:bottom w:val="none" w:sz="0" w:space="0" w:color="auto"/>
            <w:right w:val="none" w:sz="0" w:space="0" w:color="auto"/>
          </w:divBdr>
        </w:div>
        <w:div w:id="234828766">
          <w:marLeft w:val="0"/>
          <w:marRight w:val="0"/>
          <w:marTop w:val="0"/>
          <w:marBottom w:val="0"/>
          <w:divBdr>
            <w:top w:val="none" w:sz="0" w:space="0" w:color="auto"/>
            <w:left w:val="none" w:sz="0" w:space="0" w:color="auto"/>
            <w:bottom w:val="none" w:sz="0" w:space="0" w:color="auto"/>
            <w:right w:val="none" w:sz="0" w:space="0" w:color="auto"/>
          </w:divBdr>
        </w:div>
        <w:div w:id="862010908">
          <w:marLeft w:val="0"/>
          <w:marRight w:val="0"/>
          <w:marTop w:val="0"/>
          <w:marBottom w:val="0"/>
          <w:divBdr>
            <w:top w:val="none" w:sz="0" w:space="0" w:color="auto"/>
            <w:left w:val="none" w:sz="0" w:space="0" w:color="auto"/>
            <w:bottom w:val="none" w:sz="0" w:space="0" w:color="auto"/>
            <w:right w:val="none" w:sz="0" w:space="0" w:color="auto"/>
          </w:divBdr>
        </w:div>
        <w:div w:id="956717419">
          <w:marLeft w:val="0"/>
          <w:marRight w:val="0"/>
          <w:marTop w:val="0"/>
          <w:marBottom w:val="0"/>
          <w:divBdr>
            <w:top w:val="none" w:sz="0" w:space="0" w:color="auto"/>
            <w:left w:val="none" w:sz="0" w:space="0" w:color="auto"/>
            <w:bottom w:val="none" w:sz="0" w:space="0" w:color="auto"/>
            <w:right w:val="none" w:sz="0" w:space="0" w:color="auto"/>
          </w:divBdr>
        </w:div>
        <w:div w:id="973288225">
          <w:marLeft w:val="0"/>
          <w:marRight w:val="0"/>
          <w:marTop w:val="0"/>
          <w:marBottom w:val="0"/>
          <w:divBdr>
            <w:top w:val="none" w:sz="0" w:space="0" w:color="auto"/>
            <w:left w:val="none" w:sz="0" w:space="0" w:color="auto"/>
            <w:bottom w:val="none" w:sz="0" w:space="0" w:color="auto"/>
            <w:right w:val="none" w:sz="0" w:space="0" w:color="auto"/>
          </w:divBdr>
        </w:div>
        <w:div w:id="1002047540">
          <w:marLeft w:val="0"/>
          <w:marRight w:val="0"/>
          <w:marTop w:val="0"/>
          <w:marBottom w:val="0"/>
          <w:divBdr>
            <w:top w:val="none" w:sz="0" w:space="0" w:color="auto"/>
            <w:left w:val="none" w:sz="0" w:space="0" w:color="auto"/>
            <w:bottom w:val="none" w:sz="0" w:space="0" w:color="auto"/>
            <w:right w:val="none" w:sz="0" w:space="0" w:color="auto"/>
          </w:divBdr>
        </w:div>
        <w:div w:id="1176991857">
          <w:marLeft w:val="0"/>
          <w:marRight w:val="0"/>
          <w:marTop w:val="0"/>
          <w:marBottom w:val="0"/>
          <w:divBdr>
            <w:top w:val="none" w:sz="0" w:space="0" w:color="auto"/>
            <w:left w:val="none" w:sz="0" w:space="0" w:color="auto"/>
            <w:bottom w:val="none" w:sz="0" w:space="0" w:color="auto"/>
            <w:right w:val="none" w:sz="0" w:space="0" w:color="auto"/>
          </w:divBdr>
        </w:div>
        <w:div w:id="1447693822">
          <w:marLeft w:val="0"/>
          <w:marRight w:val="0"/>
          <w:marTop w:val="0"/>
          <w:marBottom w:val="0"/>
          <w:divBdr>
            <w:top w:val="none" w:sz="0" w:space="0" w:color="auto"/>
            <w:left w:val="none" w:sz="0" w:space="0" w:color="auto"/>
            <w:bottom w:val="none" w:sz="0" w:space="0" w:color="auto"/>
            <w:right w:val="none" w:sz="0" w:space="0" w:color="auto"/>
          </w:divBdr>
        </w:div>
        <w:div w:id="1863396282">
          <w:marLeft w:val="0"/>
          <w:marRight w:val="0"/>
          <w:marTop w:val="0"/>
          <w:marBottom w:val="0"/>
          <w:divBdr>
            <w:top w:val="none" w:sz="0" w:space="0" w:color="auto"/>
            <w:left w:val="none" w:sz="0" w:space="0" w:color="auto"/>
            <w:bottom w:val="none" w:sz="0" w:space="0" w:color="auto"/>
            <w:right w:val="none" w:sz="0" w:space="0" w:color="auto"/>
          </w:divBdr>
        </w:div>
        <w:div w:id="2029288605">
          <w:marLeft w:val="0"/>
          <w:marRight w:val="0"/>
          <w:marTop w:val="0"/>
          <w:marBottom w:val="0"/>
          <w:divBdr>
            <w:top w:val="none" w:sz="0" w:space="0" w:color="auto"/>
            <w:left w:val="none" w:sz="0" w:space="0" w:color="auto"/>
            <w:bottom w:val="none" w:sz="0" w:space="0" w:color="auto"/>
            <w:right w:val="none" w:sz="0" w:space="0" w:color="auto"/>
          </w:divBdr>
        </w:div>
      </w:divsChild>
    </w:div>
    <w:div w:id="1174615736">
      <w:bodyDiv w:val="1"/>
      <w:marLeft w:val="0"/>
      <w:marRight w:val="0"/>
      <w:marTop w:val="0"/>
      <w:marBottom w:val="0"/>
      <w:divBdr>
        <w:top w:val="none" w:sz="0" w:space="0" w:color="auto"/>
        <w:left w:val="none" w:sz="0" w:space="0" w:color="auto"/>
        <w:bottom w:val="none" w:sz="0" w:space="0" w:color="auto"/>
        <w:right w:val="none" w:sz="0" w:space="0" w:color="auto"/>
      </w:divBdr>
    </w:div>
    <w:div w:id="1183207226">
      <w:bodyDiv w:val="1"/>
      <w:marLeft w:val="0"/>
      <w:marRight w:val="0"/>
      <w:marTop w:val="0"/>
      <w:marBottom w:val="0"/>
      <w:divBdr>
        <w:top w:val="none" w:sz="0" w:space="0" w:color="auto"/>
        <w:left w:val="none" w:sz="0" w:space="0" w:color="auto"/>
        <w:bottom w:val="none" w:sz="0" w:space="0" w:color="auto"/>
        <w:right w:val="none" w:sz="0" w:space="0" w:color="auto"/>
      </w:divBdr>
    </w:div>
    <w:div w:id="1198393382">
      <w:bodyDiv w:val="1"/>
      <w:marLeft w:val="0"/>
      <w:marRight w:val="0"/>
      <w:marTop w:val="0"/>
      <w:marBottom w:val="0"/>
      <w:divBdr>
        <w:top w:val="none" w:sz="0" w:space="0" w:color="auto"/>
        <w:left w:val="none" w:sz="0" w:space="0" w:color="auto"/>
        <w:bottom w:val="none" w:sz="0" w:space="0" w:color="auto"/>
        <w:right w:val="none" w:sz="0" w:space="0" w:color="auto"/>
      </w:divBdr>
    </w:div>
    <w:div w:id="1215847604">
      <w:bodyDiv w:val="1"/>
      <w:marLeft w:val="0"/>
      <w:marRight w:val="0"/>
      <w:marTop w:val="0"/>
      <w:marBottom w:val="0"/>
      <w:divBdr>
        <w:top w:val="none" w:sz="0" w:space="0" w:color="auto"/>
        <w:left w:val="none" w:sz="0" w:space="0" w:color="auto"/>
        <w:bottom w:val="none" w:sz="0" w:space="0" w:color="auto"/>
        <w:right w:val="none" w:sz="0" w:space="0" w:color="auto"/>
      </w:divBdr>
    </w:div>
    <w:div w:id="1220048013">
      <w:bodyDiv w:val="1"/>
      <w:marLeft w:val="0"/>
      <w:marRight w:val="0"/>
      <w:marTop w:val="0"/>
      <w:marBottom w:val="0"/>
      <w:divBdr>
        <w:top w:val="none" w:sz="0" w:space="0" w:color="auto"/>
        <w:left w:val="none" w:sz="0" w:space="0" w:color="auto"/>
        <w:bottom w:val="none" w:sz="0" w:space="0" w:color="auto"/>
        <w:right w:val="none" w:sz="0" w:space="0" w:color="auto"/>
      </w:divBdr>
    </w:div>
    <w:div w:id="1271863361">
      <w:bodyDiv w:val="1"/>
      <w:marLeft w:val="0"/>
      <w:marRight w:val="0"/>
      <w:marTop w:val="0"/>
      <w:marBottom w:val="0"/>
      <w:divBdr>
        <w:top w:val="none" w:sz="0" w:space="0" w:color="auto"/>
        <w:left w:val="none" w:sz="0" w:space="0" w:color="auto"/>
        <w:bottom w:val="none" w:sz="0" w:space="0" w:color="auto"/>
        <w:right w:val="none" w:sz="0" w:space="0" w:color="auto"/>
      </w:divBdr>
    </w:div>
    <w:div w:id="1273827237">
      <w:bodyDiv w:val="1"/>
      <w:marLeft w:val="0"/>
      <w:marRight w:val="0"/>
      <w:marTop w:val="0"/>
      <w:marBottom w:val="0"/>
      <w:divBdr>
        <w:top w:val="none" w:sz="0" w:space="0" w:color="auto"/>
        <w:left w:val="none" w:sz="0" w:space="0" w:color="auto"/>
        <w:bottom w:val="none" w:sz="0" w:space="0" w:color="auto"/>
        <w:right w:val="none" w:sz="0" w:space="0" w:color="auto"/>
      </w:divBdr>
    </w:div>
    <w:div w:id="1277248564">
      <w:bodyDiv w:val="1"/>
      <w:marLeft w:val="0"/>
      <w:marRight w:val="0"/>
      <w:marTop w:val="0"/>
      <w:marBottom w:val="0"/>
      <w:divBdr>
        <w:top w:val="none" w:sz="0" w:space="0" w:color="auto"/>
        <w:left w:val="none" w:sz="0" w:space="0" w:color="auto"/>
        <w:bottom w:val="none" w:sz="0" w:space="0" w:color="auto"/>
        <w:right w:val="none" w:sz="0" w:space="0" w:color="auto"/>
      </w:divBdr>
    </w:div>
    <w:div w:id="1286428089">
      <w:bodyDiv w:val="1"/>
      <w:marLeft w:val="0"/>
      <w:marRight w:val="0"/>
      <w:marTop w:val="0"/>
      <w:marBottom w:val="0"/>
      <w:divBdr>
        <w:top w:val="none" w:sz="0" w:space="0" w:color="auto"/>
        <w:left w:val="none" w:sz="0" w:space="0" w:color="auto"/>
        <w:bottom w:val="none" w:sz="0" w:space="0" w:color="auto"/>
        <w:right w:val="none" w:sz="0" w:space="0" w:color="auto"/>
      </w:divBdr>
    </w:div>
    <w:div w:id="1289436222">
      <w:bodyDiv w:val="1"/>
      <w:marLeft w:val="0"/>
      <w:marRight w:val="0"/>
      <w:marTop w:val="0"/>
      <w:marBottom w:val="0"/>
      <w:divBdr>
        <w:top w:val="none" w:sz="0" w:space="0" w:color="auto"/>
        <w:left w:val="none" w:sz="0" w:space="0" w:color="auto"/>
        <w:bottom w:val="none" w:sz="0" w:space="0" w:color="auto"/>
        <w:right w:val="none" w:sz="0" w:space="0" w:color="auto"/>
      </w:divBdr>
    </w:div>
    <w:div w:id="1295408287">
      <w:bodyDiv w:val="1"/>
      <w:marLeft w:val="0"/>
      <w:marRight w:val="0"/>
      <w:marTop w:val="0"/>
      <w:marBottom w:val="0"/>
      <w:divBdr>
        <w:top w:val="none" w:sz="0" w:space="0" w:color="auto"/>
        <w:left w:val="none" w:sz="0" w:space="0" w:color="auto"/>
        <w:bottom w:val="none" w:sz="0" w:space="0" w:color="auto"/>
        <w:right w:val="none" w:sz="0" w:space="0" w:color="auto"/>
      </w:divBdr>
      <w:divsChild>
        <w:div w:id="64961944">
          <w:marLeft w:val="0"/>
          <w:marRight w:val="0"/>
          <w:marTop w:val="0"/>
          <w:marBottom w:val="0"/>
          <w:divBdr>
            <w:top w:val="none" w:sz="0" w:space="0" w:color="auto"/>
            <w:left w:val="none" w:sz="0" w:space="0" w:color="auto"/>
            <w:bottom w:val="none" w:sz="0" w:space="0" w:color="auto"/>
            <w:right w:val="none" w:sz="0" w:space="0" w:color="auto"/>
          </w:divBdr>
        </w:div>
        <w:div w:id="105538883">
          <w:marLeft w:val="0"/>
          <w:marRight w:val="0"/>
          <w:marTop w:val="0"/>
          <w:marBottom w:val="0"/>
          <w:divBdr>
            <w:top w:val="none" w:sz="0" w:space="0" w:color="auto"/>
            <w:left w:val="none" w:sz="0" w:space="0" w:color="auto"/>
            <w:bottom w:val="none" w:sz="0" w:space="0" w:color="auto"/>
            <w:right w:val="none" w:sz="0" w:space="0" w:color="auto"/>
          </w:divBdr>
        </w:div>
        <w:div w:id="136143347">
          <w:marLeft w:val="0"/>
          <w:marRight w:val="0"/>
          <w:marTop w:val="0"/>
          <w:marBottom w:val="0"/>
          <w:divBdr>
            <w:top w:val="none" w:sz="0" w:space="0" w:color="auto"/>
            <w:left w:val="none" w:sz="0" w:space="0" w:color="auto"/>
            <w:bottom w:val="none" w:sz="0" w:space="0" w:color="auto"/>
            <w:right w:val="none" w:sz="0" w:space="0" w:color="auto"/>
          </w:divBdr>
        </w:div>
        <w:div w:id="218127622">
          <w:marLeft w:val="0"/>
          <w:marRight w:val="0"/>
          <w:marTop w:val="0"/>
          <w:marBottom w:val="0"/>
          <w:divBdr>
            <w:top w:val="none" w:sz="0" w:space="0" w:color="auto"/>
            <w:left w:val="none" w:sz="0" w:space="0" w:color="auto"/>
            <w:bottom w:val="none" w:sz="0" w:space="0" w:color="auto"/>
            <w:right w:val="none" w:sz="0" w:space="0" w:color="auto"/>
          </w:divBdr>
        </w:div>
        <w:div w:id="246891073">
          <w:marLeft w:val="0"/>
          <w:marRight w:val="0"/>
          <w:marTop w:val="0"/>
          <w:marBottom w:val="0"/>
          <w:divBdr>
            <w:top w:val="none" w:sz="0" w:space="0" w:color="auto"/>
            <w:left w:val="none" w:sz="0" w:space="0" w:color="auto"/>
            <w:bottom w:val="none" w:sz="0" w:space="0" w:color="auto"/>
            <w:right w:val="none" w:sz="0" w:space="0" w:color="auto"/>
          </w:divBdr>
        </w:div>
        <w:div w:id="475613937">
          <w:marLeft w:val="0"/>
          <w:marRight w:val="0"/>
          <w:marTop w:val="0"/>
          <w:marBottom w:val="0"/>
          <w:divBdr>
            <w:top w:val="none" w:sz="0" w:space="0" w:color="auto"/>
            <w:left w:val="none" w:sz="0" w:space="0" w:color="auto"/>
            <w:bottom w:val="none" w:sz="0" w:space="0" w:color="auto"/>
            <w:right w:val="none" w:sz="0" w:space="0" w:color="auto"/>
          </w:divBdr>
        </w:div>
        <w:div w:id="539172356">
          <w:marLeft w:val="0"/>
          <w:marRight w:val="0"/>
          <w:marTop w:val="0"/>
          <w:marBottom w:val="0"/>
          <w:divBdr>
            <w:top w:val="none" w:sz="0" w:space="0" w:color="auto"/>
            <w:left w:val="none" w:sz="0" w:space="0" w:color="auto"/>
            <w:bottom w:val="none" w:sz="0" w:space="0" w:color="auto"/>
            <w:right w:val="none" w:sz="0" w:space="0" w:color="auto"/>
          </w:divBdr>
        </w:div>
        <w:div w:id="743651426">
          <w:marLeft w:val="0"/>
          <w:marRight w:val="0"/>
          <w:marTop w:val="0"/>
          <w:marBottom w:val="0"/>
          <w:divBdr>
            <w:top w:val="none" w:sz="0" w:space="0" w:color="auto"/>
            <w:left w:val="none" w:sz="0" w:space="0" w:color="auto"/>
            <w:bottom w:val="none" w:sz="0" w:space="0" w:color="auto"/>
            <w:right w:val="none" w:sz="0" w:space="0" w:color="auto"/>
          </w:divBdr>
        </w:div>
        <w:div w:id="878589893">
          <w:marLeft w:val="0"/>
          <w:marRight w:val="0"/>
          <w:marTop w:val="0"/>
          <w:marBottom w:val="0"/>
          <w:divBdr>
            <w:top w:val="none" w:sz="0" w:space="0" w:color="auto"/>
            <w:left w:val="none" w:sz="0" w:space="0" w:color="auto"/>
            <w:bottom w:val="none" w:sz="0" w:space="0" w:color="auto"/>
            <w:right w:val="none" w:sz="0" w:space="0" w:color="auto"/>
          </w:divBdr>
        </w:div>
        <w:div w:id="1148669761">
          <w:marLeft w:val="0"/>
          <w:marRight w:val="0"/>
          <w:marTop w:val="0"/>
          <w:marBottom w:val="0"/>
          <w:divBdr>
            <w:top w:val="none" w:sz="0" w:space="0" w:color="auto"/>
            <w:left w:val="none" w:sz="0" w:space="0" w:color="auto"/>
            <w:bottom w:val="none" w:sz="0" w:space="0" w:color="auto"/>
            <w:right w:val="none" w:sz="0" w:space="0" w:color="auto"/>
          </w:divBdr>
        </w:div>
        <w:div w:id="1148789085">
          <w:marLeft w:val="0"/>
          <w:marRight w:val="0"/>
          <w:marTop w:val="0"/>
          <w:marBottom w:val="0"/>
          <w:divBdr>
            <w:top w:val="none" w:sz="0" w:space="0" w:color="auto"/>
            <w:left w:val="none" w:sz="0" w:space="0" w:color="auto"/>
            <w:bottom w:val="none" w:sz="0" w:space="0" w:color="auto"/>
            <w:right w:val="none" w:sz="0" w:space="0" w:color="auto"/>
          </w:divBdr>
        </w:div>
        <w:div w:id="1486362838">
          <w:marLeft w:val="0"/>
          <w:marRight w:val="0"/>
          <w:marTop w:val="0"/>
          <w:marBottom w:val="0"/>
          <w:divBdr>
            <w:top w:val="none" w:sz="0" w:space="0" w:color="auto"/>
            <w:left w:val="none" w:sz="0" w:space="0" w:color="auto"/>
            <w:bottom w:val="none" w:sz="0" w:space="0" w:color="auto"/>
            <w:right w:val="none" w:sz="0" w:space="0" w:color="auto"/>
          </w:divBdr>
        </w:div>
        <w:div w:id="1585869468">
          <w:marLeft w:val="0"/>
          <w:marRight w:val="0"/>
          <w:marTop w:val="0"/>
          <w:marBottom w:val="0"/>
          <w:divBdr>
            <w:top w:val="none" w:sz="0" w:space="0" w:color="auto"/>
            <w:left w:val="none" w:sz="0" w:space="0" w:color="auto"/>
            <w:bottom w:val="none" w:sz="0" w:space="0" w:color="auto"/>
            <w:right w:val="none" w:sz="0" w:space="0" w:color="auto"/>
          </w:divBdr>
        </w:div>
      </w:divsChild>
    </w:div>
    <w:div w:id="1310020200">
      <w:bodyDiv w:val="1"/>
      <w:marLeft w:val="0"/>
      <w:marRight w:val="0"/>
      <w:marTop w:val="0"/>
      <w:marBottom w:val="0"/>
      <w:divBdr>
        <w:top w:val="none" w:sz="0" w:space="0" w:color="auto"/>
        <w:left w:val="none" w:sz="0" w:space="0" w:color="auto"/>
        <w:bottom w:val="none" w:sz="0" w:space="0" w:color="auto"/>
        <w:right w:val="none" w:sz="0" w:space="0" w:color="auto"/>
      </w:divBdr>
    </w:div>
    <w:div w:id="1334602905">
      <w:bodyDiv w:val="1"/>
      <w:marLeft w:val="0"/>
      <w:marRight w:val="0"/>
      <w:marTop w:val="0"/>
      <w:marBottom w:val="0"/>
      <w:divBdr>
        <w:top w:val="none" w:sz="0" w:space="0" w:color="auto"/>
        <w:left w:val="none" w:sz="0" w:space="0" w:color="auto"/>
        <w:bottom w:val="none" w:sz="0" w:space="0" w:color="auto"/>
        <w:right w:val="none" w:sz="0" w:space="0" w:color="auto"/>
      </w:divBdr>
    </w:div>
    <w:div w:id="1355575863">
      <w:bodyDiv w:val="1"/>
      <w:marLeft w:val="0"/>
      <w:marRight w:val="0"/>
      <w:marTop w:val="0"/>
      <w:marBottom w:val="0"/>
      <w:divBdr>
        <w:top w:val="none" w:sz="0" w:space="0" w:color="auto"/>
        <w:left w:val="none" w:sz="0" w:space="0" w:color="auto"/>
        <w:bottom w:val="none" w:sz="0" w:space="0" w:color="auto"/>
        <w:right w:val="none" w:sz="0" w:space="0" w:color="auto"/>
      </w:divBdr>
    </w:div>
    <w:div w:id="1357075014">
      <w:bodyDiv w:val="1"/>
      <w:marLeft w:val="0"/>
      <w:marRight w:val="0"/>
      <w:marTop w:val="0"/>
      <w:marBottom w:val="0"/>
      <w:divBdr>
        <w:top w:val="none" w:sz="0" w:space="0" w:color="auto"/>
        <w:left w:val="none" w:sz="0" w:space="0" w:color="auto"/>
        <w:bottom w:val="none" w:sz="0" w:space="0" w:color="auto"/>
        <w:right w:val="none" w:sz="0" w:space="0" w:color="auto"/>
      </w:divBdr>
    </w:div>
    <w:div w:id="1369451150">
      <w:bodyDiv w:val="1"/>
      <w:marLeft w:val="0"/>
      <w:marRight w:val="0"/>
      <w:marTop w:val="0"/>
      <w:marBottom w:val="0"/>
      <w:divBdr>
        <w:top w:val="none" w:sz="0" w:space="0" w:color="auto"/>
        <w:left w:val="none" w:sz="0" w:space="0" w:color="auto"/>
        <w:bottom w:val="none" w:sz="0" w:space="0" w:color="auto"/>
        <w:right w:val="none" w:sz="0" w:space="0" w:color="auto"/>
      </w:divBdr>
    </w:div>
    <w:div w:id="1369572235">
      <w:bodyDiv w:val="1"/>
      <w:marLeft w:val="0"/>
      <w:marRight w:val="0"/>
      <w:marTop w:val="0"/>
      <w:marBottom w:val="0"/>
      <w:divBdr>
        <w:top w:val="none" w:sz="0" w:space="0" w:color="auto"/>
        <w:left w:val="none" w:sz="0" w:space="0" w:color="auto"/>
        <w:bottom w:val="none" w:sz="0" w:space="0" w:color="auto"/>
        <w:right w:val="none" w:sz="0" w:space="0" w:color="auto"/>
      </w:divBdr>
      <w:divsChild>
        <w:div w:id="11807881">
          <w:marLeft w:val="0"/>
          <w:marRight w:val="0"/>
          <w:marTop w:val="0"/>
          <w:marBottom w:val="0"/>
          <w:divBdr>
            <w:top w:val="none" w:sz="0" w:space="0" w:color="auto"/>
            <w:left w:val="none" w:sz="0" w:space="0" w:color="auto"/>
            <w:bottom w:val="none" w:sz="0" w:space="0" w:color="auto"/>
            <w:right w:val="none" w:sz="0" w:space="0" w:color="auto"/>
          </w:divBdr>
        </w:div>
        <w:div w:id="23755996">
          <w:marLeft w:val="0"/>
          <w:marRight w:val="0"/>
          <w:marTop w:val="0"/>
          <w:marBottom w:val="0"/>
          <w:divBdr>
            <w:top w:val="none" w:sz="0" w:space="0" w:color="auto"/>
            <w:left w:val="none" w:sz="0" w:space="0" w:color="auto"/>
            <w:bottom w:val="none" w:sz="0" w:space="0" w:color="auto"/>
            <w:right w:val="none" w:sz="0" w:space="0" w:color="auto"/>
          </w:divBdr>
        </w:div>
        <w:div w:id="24065028">
          <w:marLeft w:val="0"/>
          <w:marRight w:val="0"/>
          <w:marTop w:val="0"/>
          <w:marBottom w:val="0"/>
          <w:divBdr>
            <w:top w:val="none" w:sz="0" w:space="0" w:color="auto"/>
            <w:left w:val="none" w:sz="0" w:space="0" w:color="auto"/>
            <w:bottom w:val="none" w:sz="0" w:space="0" w:color="auto"/>
            <w:right w:val="none" w:sz="0" w:space="0" w:color="auto"/>
          </w:divBdr>
        </w:div>
        <w:div w:id="91515811">
          <w:marLeft w:val="0"/>
          <w:marRight w:val="0"/>
          <w:marTop w:val="0"/>
          <w:marBottom w:val="0"/>
          <w:divBdr>
            <w:top w:val="none" w:sz="0" w:space="0" w:color="auto"/>
            <w:left w:val="none" w:sz="0" w:space="0" w:color="auto"/>
            <w:bottom w:val="none" w:sz="0" w:space="0" w:color="auto"/>
            <w:right w:val="none" w:sz="0" w:space="0" w:color="auto"/>
          </w:divBdr>
        </w:div>
        <w:div w:id="108202716">
          <w:marLeft w:val="0"/>
          <w:marRight w:val="0"/>
          <w:marTop w:val="0"/>
          <w:marBottom w:val="0"/>
          <w:divBdr>
            <w:top w:val="none" w:sz="0" w:space="0" w:color="auto"/>
            <w:left w:val="none" w:sz="0" w:space="0" w:color="auto"/>
            <w:bottom w:val="none" w:sz="0" w:space="0" w:color="auto"/>
            <w:right w:val="none" w:sz="0" w:space="0" w:color="auto"/>
          </w:divBdr>
        </w:div>
        <w:div w:id="147137119">
          <w:marLeft w:val="0"/>
          <w:marRight w:val="0"/>
          <w:marTop w:val="0"/>
          <w:marBottom w:val="0"/>
          <w:divBdr>
            <w:top w:val="none" w:sz="0" w:space="0" w:color="auto"/>
            <w:left w:val="none" w:sz="0" w:space="0" w:color="auto"/>
            <w:bottom w:val="none" w:sz="0" w:space="0" w:color="auto"/>
            <w:right w:val="none" w:sz="0" w:space="0" w:color="auto"/>
          </w:divBdr>
        </w:div>
        <w:div w:id="147718886">
          <w:marLeft w:val="0"/>
          <w:marRight w:val="0"/>
          <w:marTop w:val="0"/>
          <w:marBottom w:val="0"/>
          <w:divBdr>
            <w:top w:val="none" w:sz="0" w:space="0" w:color="auto"/>
            <w:left w:val="none" w:sz="0" w:space="0" w:color="auto"/>
            <w:bottom w:val="none" w:sz="0" w:space="0" w:color="auto"/>
            <w:right w:val="none" w:sz="0" w:space="0" w:color="auto"/>
          </w:divBdr>
        </w:div>
        <w:div w:id="197207626">
          <w:marLeft w:val="0"/>
          <w:marRight w:val="0"/>
          <w:marTop w:val="0"/>
          <w:marBottom w:val="0"/>
          <w:divBdr>
            <w:top w:val="none" w:sz="0" w:space="0" w:color="auto"/>
            <w:left w:val="none" w:sz="0" w:space="0" w:color="auto"/>
            <w:bottom w:val="none" w:sz="0" w:space="0" w:color="auto"/>
            <w:right w:val="none" w:sz="0" w:space="0" w:color="auto"/>
          </w:divBdr>
        </w:div>
        <w:div w:id="217130004">
          <w:marLeft w:val="0"/>
          <w:marRight w:val="0"/>
          <w:marTop w:val="0"/>
          <w:marBottom w:val="0"/>
          <w:divBdr>
            <w:top w:val="none" w:sz="0" w:space="0" w:color="auto"/>
            <w:left w:val="none" w:sz="0" w:space="0" w:color="auto"/>
            <w:bottom w:val="none" w:sz="0" w:space="0" w:color="auto"/>
            <w:right w:val="none" w:sz="0" w:space="0" w:color="auto"/>
          </w:divBdr>
        </w:div>
        <w:div w:id="320618317">
          <w:marLeft w:val="0"/>
          <w:marRight w:val="0"/>
          <w:marTop w:val="0"/>
          <w:marBottom w:val="0"/>
          <w:divBdr>
            <w:top w:val="none" w:sz="0" w:space="0" w:color="auto"/>
            <w:left w:val="none" w:sz="0" w:space="0" w:color="auto"/>
            <w:bottom w:val="none" w:sz="0" w:space="0" w:color="auto"/>
            <w:right w:val="none" w:sz="0" w:space="0" w:color="auto"/>
          </w:divBdr>
        </w:div>
        <w:div w:id="323096890">
          <w:marLeft w:val="0"/>
          <w:marRight w:val="0"/>
          <w:marTop w:val="0"/>
          <w:marBottom w:val="0"/>
          <w:divBdr>
            <w:top w:val="none" w:sz="0" w:space="0" w:color="auto"/>
            <w:left w:val="none" w:sz="0" w:space="0" w:color="auto"/>
            <w:bottom w:val="none" w:sz="0" w:space="0" w:color="auto"/>
            <w:right w:val="none" w:sz="0" w:space="0" w:color="auto"/>
          </w:divBdr>
        </w:div>
        <w:div w:id="350841613">
          <w:marLeft w:val="0"/>
          <w:marRight w:val="0"/>
          <w:marTop w:val="0"/>
          <w:marBottom w:val="0"/>
          <w:divBdr>
            <w:top w:val="none" w:sz="0" w:space="0" w:color="auto"/>
            <w:left w:val="none" w:sz="0" w:space="0" w:color="auto"/>
            <w:bottom w:val="none" w:sz="0" w:space="0" w:color="auto"/>
            <w:right w:val="none" w:sz="0" w:space="0" w:color="auto"/>
          </w:divBdr>
        </w:div>
        <w:div w:id="371807111">
          <w:marLeft w:val="0"/>
          <w:marRight w:val="0"/>
          <w:marTop w:val="0"/>
          <w:marBottom w:val="0"/>
          <w:divBdr>
            <w:top w:val="none" w:sz="0" w:space="0" w:color="auto"/>
            <w:left w:val="none" w:sz="0" w:space="0" w:color="auto"/>
            <w:bottom w:val="none" w:sz="0" w:space="0" w:color="auto"/>
            <w:right w:val="none" w:sz="0" w:space="0" w:color="auto"/>
          </w:divBdr>
        </w:div>
        <w:div w:id="387655930">
          <w:marLeft w:val="0"/>
          <w:marRight w:val="0"/>
          <w:marTop w:val="0"/>
          <w:marBottom w:val="0"/>
          <w:divBdr>
            <w:top w:val="none" w:sz="0" w:space="0" w:color="auto"/>
            <w:left w:val="none" w:sz="0" w:space="0" w:color="auto"/>
            <w:bottom w:val="none" w:sz="0" w:space="0" w:color="auto"/>
            <w:right w:val="none" w:sz="0" w:space="0" w:color="auto"/>
          </w:divBdr>
        </w:div>
        <w:div w:id="484979769">
          <w:marLeft w:val="0"/>
          <w:marRight w:val="0"/>
          <w:marTop w:val="0"/>
          <w:marBottom w:val="0"/>
          <w:divBdr>
            <w:top w:val="none" w:sz="0" w:space="0" w:color="auto"/>
            <w:left w:val="none" w:sz="0" w:space="0" w:color="auto"/>
            <w:bottom w:val="none" w:sz="0" w:space="0" w:color="auto"/>
            <w:right w:val="none" w:sz="0" w:space="0" w:color="auto"/>
          </w:divBdr>
        </w:div>
        <w:div w:id="509370764">
          <w:marLeft w:val="0"/>
          <w:marRight w:val="0"/>
          <w:marTop w:val="0"/>
          <w:marBottom w:val="0"/>
          <w:divBdr>
            <w:top w:val="none" w:sz="0" w:space="0" w:color="auto"/>
            <w:left w:val="none" w:sz="0" w:space="0" w:color="auto"/>
            <w:bottom w:val="none" w:sz="0" w:space="0" w:color="auto"/>
            <w:right w:val="none" w:sz="0" w:space="0" w:color="auto"/>
          </w:divBdr>
        </w:div>
        <w:div w:id="516235015">
          <w:marLeft w:val="0"/>
          <w:marRight w:val="0"/>
          <w:marTop w:val="0"/>
          <w:marBottom w:val="0"/>
          <w:divBdr>
            <w:top w:val="none" w:sz="0" w:space="0" w:color="auto"/>
            <w:left w:val="none" w:sz="0" w:space="0" w:color="auto"/>
            <w:bottom w:val="none" w:sz="0" w:space="0" w:color="auto"/>
            <w:right w:val="none" w:sz="0" w:space="0" w:color="auto"/>
          </w:divBdr>
        </w:div>
        <w:div w:id="578950113">
          <w:marLeft w:val="0"/>
          <w:marRight w:val="0"/>
          <w:marTop w:val="0"/>
          <w:marBottom w:val="0"/>
          <w:divBdr>
            <w:top w:val="none" w:sz="0" w:space="0" w:color="auto"/>
            <w:left w:val="none" w:sz="0" w:space="0" w:color="auto"/>
            <w:bottom w:val="none" w:sz="0" w:space="0" w:color="auto"/>
            <w:right w:val="none" w:sz="0" w:space="0" w:color="auto"/>
          </w:divBdr>
        </w:div>
        <w:div w:id="605041605">
          <w:marLeft w:val="0"/>
          <w:marRight w:val="0"/>
          <w:marTop w:val="0"/>
          <w:marBottom w:val="0"/>
          <w:divBdr>
            <w:top w:val="none" w:sz="0" w:space="0" w:color="auto"/>
            <w:left w:val="none" w:sz="0" w:space="0" w:color="auto"/>
            <w:bottom w:val="none" w:sz="0" w:space="0" w:color="auto"/>
            <w:right w:val="none" w:sz="0" w:space="0" w:color="auto"/>
          </w:divBdr>
        </w:div>
        <w:div w:id="625936503">
          <w:marLeft w:val="0"/>
          <w:marRight w:val="0"/>
          <w:marTop w:val="0"/>
          <w:marBottom w:val="0"/>
          <w:divBdr>
            <w:top w:val="none" w:sz="0" w:space="0" w:color="auto"/>
            <w:left w:val="none" w:sz="0" w:space="0" w:color="auto"/>
            <w:bottom w:val="none" w:sz="0" w:space="0" w:color="auto"/>
            <w:right w:val="none" w:sz="0" w:space="0" w:color="auto"/>
          </w:divBdr>
        </w:div>
        <w:div w:id="626931313">
          <w:marLeft w:val="0"/>
          <w:marRight w:val="0"/>
          <w:marTop w:val="0"/>
          <w:marBottom w:val="0"/>
          <w:divBdr>
            <w:top w:val="none" w:sz="0" w:space="0" w:color="auto"/>
            <w:left w:val="none" w:sz="0" w:space="0" w:color="auto"/>
            <w:bottom w:val="none" w:sz="0" w:space="0" w:color="auto"/>
            <w:right w:val="none" w:sz="0" w:space="0" w:color="auto"/>
          </w:divBdr>
        </w:div>
        <w:div w:id="628586067">
          <w:marLeft w:val="0"/>
          <w:marRight w:val="0"/>
          <w:marTop w:val="0"/>
          <w:marBottom w:val="0"/>
          <w:divBdr>
            <w:top w:val="none" w:sz="0" w:space="0" w:color="auto"/>
            <w:left w:val="none" w:sz="0" w:space="0" w:color="auto"/>
            <w:bottom w:val="none" w:sz="0" w:space="0" w:color="auto"/>
            <w:right w:val="none" w:sz="0" w:space="0" w:color="auto"/>
          </w:divBdr>
        </w:div>
        <w:div w:id="633995488">
          <w:marLeft w:val="0"/>
          <w:marRight w:val="0"/>
          <w:marTop w:val="0"/>
          <w:marBottom w:val="0"/>
          <w:divBdr>
            <w:top w:val="none" w:sz="0" w:space="0" w:color="auto"/>
            <w:left w:val="none" w:sz="0" w:space="0" w:color="auto"/>
            <w:bottom w:val="none" w:sz="0" w:space="0" w:color="auto"/>
            <w:right w:val="none" w:sz="0" w:space="0" w:color="auto"/>
          </w:divBdr>
        </w:div>
        <w:div w:id="654647004">
          <w:marLeft w:val="0"/>
          <w:marRight w:val="0"/>
          <w:marTop w:val="0"/>
          <w:marBottom w:val="0"/>
          <w:divBdr>
            <w:top w:val="none" w:sz="0" w:space="0" w:color="auto"/>
            <w:left w:val="none" w:sz="0" w:space="0" w:color="auto"/>
            <w:bottom w:val="none" w:sz="0" w:space="0" w:color="auto"/>
            <w:right w:val="none" w:sz="0" w:space="0" w:color="auto"/>
          </w:divBdr>
        </w:div>
        <w:div w:id="654917602">
          <w:marLeft w:val="0"/>
          <w:marRight w:val="0"/>
          <w:marTop w:val="0"/>
          <w:marBottom w:val="0"/>
          <w:divBdr>
            <w:top w:val="none" w:sz="0" w:space="0" w:color="auto"/>
            <w:left w:val="none" w:sz="0" w:space="0" w:color="auto"/>
            <w:bottom w:val="none" w:sz="0" w:space="0" w:color="auto"/>
            <w:right w:val="none" w:sz="0" w:space="0" w:color="auto"/>
          </w:divBdr>
        </w:div>
        <w:div w:id="715743035">
          <w:marLeft w:val="0"/>
          <w:marRight w:val="0"/>
          <w:marTop w:val="0"/>
          <w:marBottom w:val="0"/>
          <w:divBdr>
            <w:top w:val="none" w:sz="0" w:space="0" w:color="auto"/>
            <w:left w:val="none" w:sz="0" w:space="0" w:color="auto"/>
            <w:bottom w:val="none" w:sz="0" w:space="0" w:color="auto"/>
            <w:right w:val="none" w:sz="0" w:space="0" w:color="auto"/>
          </w:divBdr>
        </w:div>
        <w:div w:id="717434325">
          <w:marLeft w:val="0"/>
          <w:marRight w:val="0"/>
          <w:marTop w:val="0"/>
          <w:marBottom w:val="0"/>
          <w:divBdr>
            <w:top w:val="none" w:sz="0" w:space="0" w:color="auto"/>
            <w:left w:val="none" w:sz="0" w:space="0" w:color="auto"/>
            <w:bottom w:val="none" w:sz="0" w:space="0" w:color="auto"/>
            <w:right w:val="none" w:sz="0" w:space="0" w:color="auto"/>
          </w:divBdr>
        </w:div>
        <w:div w:id="717584447">
          <w:marLeft w:val="0"/>
          <w:marRight w:val="0"/>
          <w:marTop w:val="0"/>
          <w:marBottom w:val="0"/>
          <w:divBdr>
            <w:top w:val="none" w:sz="0" w:space="0" w:color="auto"/>
            <w:left w:val="none" w:sz="0" w:space="0" w:color="auto"/>
            <w:bottom w:val="none" w:sz="0" w:space="0" w:color="auto"/>
            <w:right w:val="none" w:sz="0" w:space="0" w:color="auto"/>
          </w:divBdr>
        </w:div>
        <w:div w:id="725298779">
          <w:marLeft w:val="0"/>
          <w:marRight w:val="0"/>
          <w:marTop w:val="0"/>
          <w:marBottom w:val="0"/>
          <w:divBdr>
            <w:top w:val="none" w:sz="0" w:space="0" w:color="auto"/>
            <w:left w:val="none" w:sz="0" w:space="0" w:color="auto"/>
            <w:bottom w:val="none" w:sz="0" w:space="0" w:color="auto"/>
            <w:right w:val="none" w:sz="0" w:space="0" w:color="auto"/>
          </w:divBdr>
        </w:div>
        <w:div w:id="733545775">
          <w:marLeft w:val="0"/>
          <w:marRight w:val="0"/>
          <w:marTop w:val="0"/>
          <w:marBottom w:val="0"/>
          <w:divBdr>
            <w:top w:val="none" w:sz="0" w:space="0" w:color="auto"/>
            <w:left w:val="none" w:sz="0" w:space="0" w:color="auto"/>
            <w:bottom w:val="none" w:sz="0" w:space="0" w:color="auto"/>
            <w:right w:val="none" w:sz="0" w:space="0" w:color="auto"/>
          </w:divBdr>
        </w:div>
        <w:div w:id="779226389">
          <w:marLeft w:val="0"/>
          <w:marRight w:val="0"/>
          <w:marTop w:val="0"/>
          <w:marBottom w:val="0"/>
          <w:divBdr>
            <w:top w:val="none" w:sz="0" w:space="0" w:color="auto"/>
            <w:left w:val="none" w:sz="0" w:space="0" w:color="auto"/>
            <w:bottom w:val="none" w:sz="0" w:space="0" w:color="auto"/>
            <w:right w:val="none" w:sz="0" w:space="0" w:color="auto"/>
          </w:divBdr>
        </w:div>
        <w:div w:id="789936071">
          <w:marLeft w:val="0"/>
          <w:marRight w:val="0"/>
          <w:marTop w:val="0"/>
          <w:marBottom w:val="0"/>
          <w:divBdr>
            <w:top w:val="none" w:sz="0" w:space="0" w:color="auto"/>
            <w:left w:val="none" w:sz="0" w:space="0" w:color="auto"/>
            <w:bottom w:val="none" w:sz="0" w:space="0" w:color="auto"/>
            <w:right w:val="none" w:sz="0" w:space="0" w:color="auto"/>
          </w:divBdr>
        </w:div>
        <w:div w:id="799808725">
          <w:marLeft w:val="0"/>
          <w:marRight w:val="0"/>
          <w:marTop w:val="0"/>
          <w:marBottom w:val="0"/>
          <w:divBdr>
            <w:top w:val="none" w:sz="0" w:space="0" w:color="auto"/>
            <w:left w:val="none" w:sz="0" w:space="0" w:color="auto"/>
            <w:bottom w:val="none" w:sz="0" w:space="0" w:color="auto"/>
            <w:right w:val="none" w:sz="0" w:space="0" w:color="auto"/>
          </w:divBdr>
        </w:div>
        <w:div w:id="803545548">
          <w:marLeft w:val="0"/>
          <w:marRight w:val="0"/>
          <w:marTop w:val="0"/>
          <w:marBottom w:val="0"/>
          <w:divBdr>
            <w:top w:val="none" w:sz="0" w:space="0" w:color="auto"/>
            <w:left w:val="none" w:sz="0" w:space="0" w:color="auto"/>
            <w:bottom w:val="none" w:sz="0" w:space="0" w:color="auto"/>
            <w:right w:val="none" w:sz="0" w:space="0" w:color="auto"/>
          </w:divBdr>
        </w:div>
        <w:div w:id="870728471">
          <w:marLeft w:val="0"/>
          <w:marRight w:val="0"/>
          <w:marTop w:val="0"/>
          <w:marBottom w:val="0"/>
          <w:divBdr>
            <w:top w:val="none" w:sz="0" w:space="0" w:color="auto"/>
            <w:left w:val="none" w:sz="0" w:space="0" w:color="auto"/>
            <w:bottom w:val="none" w:sz="0" w:space="0" w:color="auto"/>
            <w:right w:val="none" w:sz="0" w:space="0" w:color="auto"/>
          </w:divBdr>
        </w:div>
        <w:div w:id="873349657">
          <w:marLeft w:val="0"/>
          <w:marRight w:val="0"/>
          <w:marTop w:val="0"/>
          <w:marBottom w:val="0"/>
          <w:divBdr>
            <w:top w:val="none" w:sz="0" w:space="0" w:color="auto"/>
            <w:left w:val="none" w:sz="0" w:space="0" w:color="auto"/>
            <w:bottom w:val="none" w:sz="0" w:space="0" w:color="auto"/>
            <w:right w:val="none" w:sz="0" w:space="0" w:color="auto"/>
          </w:divBdr>
        </w:div>
        <w:div w:id="926037059">
          <w:marLeft w:val="0"/>
          <w:marRight w:val="0"/>
          <w:marTop w:val="0"/>
          <w:marBottom w:val="0"/>
          <w:divBdr>
            <w:top w:val="none" w:sz="0" w:space="0" w:color="auto"/>
            <w:left w:val="none" w:sz="0" w:space="0" w:color="auto"/>
            <w:bottom w:val="none" w:sz="0" w:space="0" w:color="auto"/>
            <w:right w:val="none" w:sz="0" w:space="0" w:color="auto"/>
          </w:divBdr>
        </w:div>
        <w:div w:id="943728152">
          <w:marLeft w:val="0"/>
          <w:marRight w:val="0"/>
          <w:marTop w:val="0"/>
          <w:marBottom w:val="0"/>
          <w:divBdr>
            <w:top w:val="none" w:sz="0" w:space="0" w:color="auto"/>
            <w:left w:val="none" w:sz="0" w:space="0" w:color="auto"/>
            <w:bottom w:val="none" w:sz="0" w:space="0" w:color="auto"/>
            <w:right w:val="none" w:sz="0" w:space="0" w:color="auto"/>
          </w:divBdr>
        </w:div>
        <w:div w:id="951938612">
          <w:marLeft w:val="0"/>
          <w:marRight w:val="0"/>
          <w:marTop w:val="0"/>
          <w:marBottom w:val="0"/>
          <w:divBdr>
            <w:top w:val="none" w:sz="0" w:space="0" w:color="auto"/>
            <w:left w:val="none" w:sz="0" w:space="0" w:color="auto"/>
            <w:bottom w:val="none" w:sz="0" w:space="0" w:color="auto"/>
            <w:right w:val="none" w:sz="0" w:space="0" w:color="auto"/>
          </w:divBdr>
        </w:div>
        <w:div w:id="1058895214">
          <w:marLeft w:val="0"/>
          <w:marRight w:val="0"/>
          <w:marTop w:val="0"/>
          <w:marBottom w:val="0"/>
          <w:divBdr>
            <w:top w:val="none" w:sz="0" w:space="0" w:color="auto"/>
            <w:left w:val="none" w:sz="0" w:space="0" w:color="auto"/>
            <w:bottom w:val="none" w:sz="0" w:space="0" w:color="auto"/>
            <w:right w:val="none" w:sz="0" w:space="0" w:color="auto"/>
          </w:divBdr>
        </w:div>
        <w:div w:id="1112867125">
          <w:marLeft w:val="0"/>
          <w:marRight w:val="0"/>
          <w:marTop w:val="0"/>
          <w:marBottom w:val="0"/>
          <w:divBdr>
            <w:top w:val="none" w:sz="0" w:space="0" w:color="auto"/>
            <w:left w:val="none" w:sz="0" w:space="0" w:color="auto"/>
            <w:bottom w:val="none" w:sz="0" w:space="0" w:color="auto"/>
            <w:right w:val="none" w:sz="0" w:space="0" w:color="auto"/>
          </w:divBdr>
        </w:div>
        <w:div w:id="1317302563">
          <w:marLeft w:val="0"/>
          <w:marRight w:val="0"/>
          <w:marTop w:val="0"/>
          <w:marBottom w:val="0"/>
          <w:divBdr>
            <w:top w:val="none" w:sz="0" w:space="0" w:color="auto"/>
            <w:left w:val="none" w:sz="0" w:space="0" w:color="auto"/>
            <w:bottom w:val="none" w:sz="0" w:space="0" w:color="auto"/>
            <w:right w:val="none" w:sz="0" w:space="0" w:color="auto"/>
          </w:divBdr>
        </w:div>
        <w:div w:id="1335570195">
          <w:marLeft w:val="0"/>
          <w:marRight w:val="0"/>
          <w:marTop w:val="0"/>
          <w:marBottom w:val="0"/>
          <w:divBdr>
            <w:top w:val="none" w:sz="0" w:space="0" w:color="auto"/>
            <w:left w:val="none" w:sz="0" w:space="0" w:color="auto"/>
            <w:bottom w:val="none" w:sz="0" w:space="0" w:color="auto"/>
            <w:right w:val="none" w:sz="0" w:space="0" w:color="auto"/>
          </w:divBdr>
        </w:div>
        <w:div w:id="1336222232">
          <w:marLeft w:val="0"/>
          <w:marRight w:val="0"/>
          <w:marTop w:val="0"/>
          <w:marBottom w:val="0"/>
          <w:divBdr>
            <w:top w:val="none" w:sz="0" w:space="0" w:color="auto"/>
            <w:left w:val="none" w:sz="0" w:space="0" w:color="auto"/>
            <w:bottom w:val="none" w:sz="0" w:space="0" w:color="auto"/>
            <w:right w:val="none" w:sz="0" w:space="0" w:color="auto"/>
          </w:divBdr>
        </w:div>
        <w:div w:id="1392776654">
          <w:marLeft w:val="0"/>
          <w:marRight w:val="0"/>
          <w:marTop w:val="0"/>
          <w:marBottom w:val="0"/>
          <w:divBdr>
            <w:top w:val="none" w:sz="0" w:space="0" w:color="auto"/>
            <w:left w:val="none" w:sz="0" w:space="0" w:color="auto"/>
            <w:bottom w:val="none" w:sz="0" w:space="0" w:color="auto"/>
            <w:right w:val="none" w:sz="0" w:space="0" w:color="auto"/>
          </w:divBdr>
        </w:div>
        <w:div w:id="1429617436">
          <w:marLeft w:val="0"/>
          <w:marRight w:val="0"/>
          <w:marTop w:val="0"/>
          <w:marBottom w:val="0"/>
          <w:divBdr>
            <w:top w:val="none" w:sz="0" w:space="0" w:color="auto"/>
            <w:left w:val="none" w:sz="0" w:space="0" w:color="auto"/>
            <w:bottom w:val="none" w:sz="0" w:space="0" w:color="auto"/>
            <w:right w:val="none" w:sz="0" w:space="0" w:color="auto"/>
          </w:divBdr>
        </w:div>
        <w:div w:id="1434940800">
          <w:marLeft w:val="0"/>
          <w:marRight w:val="0"/>
          <w:marTop w:val="0"/>
          <w:marBottom w:val="0"/>
          <w:divBdr>
            <w:top w:val="none" w:sz="0" w:space="0" w:color="auto"/>
            <w:left w:val="none" w:sz="0" w:space="0" w:color="auto"/>
            <w:bottom w:val="none" w:sz="0" w:space="0" w:color="auto"/>
            <w:right w:val="none" w:sz="0" w:space="0" w:color="auto"/>
          </w:divBdr>
        </w:div>
        <w:div w:id="1436025480">
          <w:marLeft w:val="0"/>
          <w:marRight w:val="0"/>
          <w:marTop w:val="0"/>
          <w:marBottom w:val="0"/>
          <w:divBdr>
            <w:top w:val="none" w:sz="0" w:space="0" w:color="auto"/>
            <w:left w:val="none" w:sz="0" w:space="0" w:color="auto"/>
            <w:bottom w:val="none" w:sz="0" w:space="0" w:color="auto"/>
            <w:right w:val="none" w:sz="0" w:space="0" w:color="auto"/>
          </w:divBdr>
        </w:div>
        <w:div w:id="1480462377">
          <w:marLeft w:val="0"/>
          <w:marRight w:val="0"/>
          <w:marTop w:val="0"/>
          <w:marBottom w:val="0"/>
          <w:divBdr>
            <w:top w:val="none" w:sz="0" w:space="0" w:color="auto"/>
            <w:left w:val="none" w:sz="0" w:space="0" w:color="auto"/>
            <w:bottom w:val="none" w:sz="0" w:space="0" w:color="auto"/>
            <w:right w:val="none" w:sz="0" w:space="0" w:color="auto"/>
          </w:divBdr>
        </w:div>
        <w:div w:id="1532259456">
          <w:marLeft w:val="0"/>
          <w:marRight w:val="0"/>
          <w:marTop w:val="0"/>
          <w:marBottom w:val="0"/>
          <w:divBdr>
            <w:top w:val="none" w:sz="0" w:space="0" w:color="auto"/>
            <w:left w:val="none" w:sz="0" w:space="0" w:color="auto"/>
            <w:bottom w:val="none" w:sz="0" w:space="0" w:color="auto"/>
            <w:right w:val="none" w:sz="0" w:space="0" w:color="auto"/>
          </w:divBdr>
        </w:div>
        <w:div w:id="1615212324">
          <w:marLeft w:val="0"/>
          <w:marRight w:val="0"/>
          <w:marTop w:val="0"/>
          <w:marBottom w:val="0"/>
          <w:divBdr>
            <w:top w:val="none" w:sz="0" w:space="0" w:color="auto"/>
            <w:left w:val="none" w:sz="0" w:space="0" w:color="auto"/>
            <w:bottom w:val="none" w:sz="0" w:space="0" w:color="auto"/>
            <w:right w:val="none" w:sz="0" w:space="0" w:color="auto"/>
          </w:divBdr>
        </w:div>
        <w:div w:id="1738285341">
          <w:marLeft w:val="0"/>
          <w:marRight w:val="0"/>
          <w:marTop w:val="0"/>
          <w:marBottom w:val="0"/>
          <w:divBdr>
            <w:top w:val="none" w:sz="0" w:space="0" w:color="auto"/>
            <w:left w:val="none" w:sz="0" w:space="0" w:color="auto"/>
            <w:bottom w:val="none" w:sz="0" w:space="0" w:color="auto"/>
            <w:right w:val="none" w:sz="0" w:space="0" w:color="auto"/>
          </w:divBdr>
        </w:div>
        <w:div w:id="1741709600">
          <w:marLeft w:val="0"/>
          <w:marRight w:val="0"/>
          <w:marTop w:val="0"/>
          <w:marBottom w:val="0"/>
          <w:divBdr>
            <w:top w:val="none" w:sz="0" w:space="0" w:color="auto"/>
            <w:left w:val="none" w:sz="0" w:space="0" w:color="auto"/>
            <w:bottom w:val="none" w:sz="0" w:space="0" w:color="auto"/>
            <w:right w:val="none" w:sz="0" w:space="0" w:color="auto"/>
          </w:divBdr>
        </w:div>
        <w:div w:id="1742556877">
          <w:marLeft w:val="0"/>
          <w:marRight w:val="0"/>
          <w:marTop w:val="0"/>
          <w:marBottom w:val="0"/>
          <w:divBdr>
            <w:top w:val="none" w:sz="0" w:space="0" w:color="auto"/>
            <w:left w:val="none" w:sz="0" w:space="0" w:color="auto"/>
            <w:bottom w:val="none" w:sz="0" w:space="0" w:color="auto"/>
            <w:right w:val="none" w:sz="0" w:space="0" w:color="auto"/>
          </w:divBdr>
        </w:div>
        <w:div w:id="1744722090">
          <w:marLeft w:val="0"/>
          <w:marRight w:val="0"/>
          <w:marTop w:val="0"/>
          <w:marBottom w:val="0"/>
          <w:divBdr>
            <w:top w:val="none" w:sz="0" w:space="0" w:color="auto"/>
            <w:left w:val="none" w:sz="0" w:space="0" w:color="auto"/>
            <w:bottom w:val="none" w:sz="0" w:space="0" w:color="auto"/>
            <w:right w:val="none" w:sz="0" w:space="0" w:color="auto"/>
          </w:divBdr>
        </w:div>
        <w:div w:id="1771312761">
          <w:marLeft w:val="0"/>
          <w:marRight w:val="0"/>
          <w:marTop w:val="0"/>
          <w:marBottom w:val="0"/>
          <w:divBdr>
            <w:top w:val="none" w:sz="0" w:space="0" w:color="auto"/>
            <w:left w:val="none" w:sz="0" w:space="0" w:color="auto"/>
            <w:bottom w:val="none" w:sz="0" w:space="0" w:color="auto"/>
            <w:right w:val="none" w:sz="0" w:space="0" w:color="auto"/>
          </w:divBdr>
        </w:div>
        <w:div w:id="1798990746">
          <w:marLeft w:val="0"/>
          <w:marRight w:val="0"/>
          <w:marTop w:val="0"/>
          <w:marBottom w:val="0"/>
          <w:divBdr>
            <w:top w:val="none" w:sz="0" w:space="0" w:color="auto"/>
            <w:left w:val="none" w:sz="0" w:space="0" w:color="auto"/>
            <w:bottom w:val="none" w:sz="0" w:space="0" w:color="auto"/>
            <w:right w:val="none" w:sz="0" w:space="0" w:color="auto"/>
          </w:divBdr>
        </w:div>
        <w:div w:id="1832989224">
          <w:marLeft w:val="0"/>
          <w:marRight w:val="0"/>
          <w:marTop w:val="0"/>
          <w:marBottom w:val="0"/>
          <w:divBdr>
            <w:top w:val="none" w:sz="0" w:space="0" w:color="auto"/>
            <w:left w:val="none" w:sz="0" w:space="0" w:color="auto"/>
            <w:bottom w:val="none" w:sz="0" w:space="0" w:color="auto"/>
            <w:right w:val="none" w:sz="0" w:space="0" w:color="auto"/>
          </w:divBdr>
        </w:div>
        <w:div w:id="1835149285">
          <w:marLeft w:val="0"/>
          <w:marRight w:val="0"/>
          <w:marTop w:val="0"/>
          <w:marBottom w:val="0"/>
          <w:divBdr>
            <w:top w:val="none" w:sz="0" w:space="0" w:color="auto"/>
            <w:left w:val="none" w:sz="0" w:space="0" w:color="auto"/>
            <w:bottom w:val="none" w:sz="0" w:space="0" w:color="auto"/>
            <w:right w:val="none" w:sz="0" w:space="0" w:color="auto"/>
          </w:divBdr>
        </w:div>
        <w:div w:id="1845395359">
          <w:marLeft w:val="0"/>
          <w:marRight w:val="0"/>
          <w:marTop w:val="0"/>
          <w:marBottom w:val="0"/>
          <w:divBdr>
            <w:top w:val="none" w:sz="0" w:space="0" w:color="auto"/>
            <w:left w:val="none" w:sz="0" w:space="0" w:color="auto"/>
            <w:bottom w:val="none" w:sz="0" w:space="0" w:color="auto"/>
            <w:right w:val="none" w:sz="0" w:space="0" w:color="auto"/>
          </w:divBdr>
        </w:div>
        <w:div w:id="1871600675">
          <w:marLeft w:val="0"/>
          <w:marRight w:val="0"/>
          <w:marTop w:val="0"/>
          <w:marBottom w:val="0"/>
          <w:divBdr>
            <w:top w:val="none" w:sz="0" w:space="0" w:color="auto"/>
            <w:left w:val="none" w:sz="0" w:space="0" w:color="auto"/>
            <w:bottom w:val="none" w:sz="0" w:space="0" w:color="auto"/>
            <w:right w:val="none" w:sz="0" w:space="0" w:color="auto"/>
          </w:divBdr>
        </w:div>
        <w:div w:id="2005425166">
          <w:marLeft w:val="0"/>
          <w:marRight w:val="0"/>
          <w:marTop w:val="0"/>
          <w:marBottom w:val="0"/>
          <w:divBdr>
            <w:top w:val="none" w:sz="0" w:space="0" w:color="auto"/>
            <w:left w:val="none" w:sz="0" w:space="0" w:color="auto"/>
            <w:bottom w:val="none" w:sz="0" w:space="0" w:color="auto"/>
            <w:right w:val="none" w:sz="0" w:space="0" w:color="auto"/>
          </w:divBdr>
        </w:div>
        <w:div w:id="2019699679">
          <w:marLeft w:val="0"/>
          <w:marRight w:val="0"/>
          <w:marTop w:val="0"/>
          <w:marBottom w:val="0"/>
          <w:divBdr>
            <w:top w:val="none" w:sz="0" w:space="0" w:color="auto"/>
            <w:left w:val="none" w:sz="0" w:space="0" w:color="auto"/>
            <w:bottom w:val="none" w:sz="0" w:space="0" w:color="auto"/>
            <w:right w:val="none" w:sz="0" w:space="0" w:color="auto"/>
          </w:divBdr>
        </w:div>
        <w:div w:id="2036954441">
          <w:marLeft w:val="0"/>
          <w:marRight w:val="0"/>
          <w:marTop w:val="0"/>
          <w:marBottom w:val="0"/>
          <w:divBdr>
            <w:top w:val="none" w:sz="0" w:space="0" w:color="auto"/>
            <w:left w:val="none" w:sz="0" w:space="0" w:color="auto"/>
            <w:bottom w:val="none" w:sz="0" w:space="0" w:color="auto"/>
            <w:right w:val="none" w:sz="0" w:space="0" w:color="auto"/>
          </w:divBdr>
        </w:div>
        <w:div w:id="2060322843">
          <w:marLeft w:val="0"/>
          <w:marRight w:val="0"/>
          <w:marTop w:val="0"/>
          <w:marBottom w:val="0"/>
          <w:divBdr>
            <w:top w:val="none" w:sz="0" w:space="0" w:color="auto"/>
            <w:left w:val="none" w:sz="0" w:space="0" w:color="auto"/>
            <w:bottom w:val="none" w:sz="0" w:space="0" w:color="auto"/>
            <w:right w:val="none" w:sz="0" w:space="0" w:color="auto"/>
          </w:divBdr>
        </w:div>
        <w:div w:id="2066491287">
          <w:marLeft w:val="0"/>
          <w:marRight w:val="0"/>
          <w:marTop w:val="0"/>
          <w:marBottom w:val="0"/>
          <w:divBdr>
            <w:top w:val="none" w:sz="0" w:space="0" w:color="auto"/>
            <w:left w:val="none" w:sz="0" w:space="0" w:color="auto"/>
            <w:bottom w:val="none" w:sz="0" w:space="0" w:color="auto"/>
            <w:right w:val="none" w:sz="0" w:space="0" w:color="auto"/>
          </w:divBdr>
        </w:div>
        <w:div w:id="2070839101">
          <w:marLeft w:val="0"/>
          <w:marRight w:val="0"/>
          <w:marTop w:val="0"/>
          <w:marBottom w:val="0"/>
          <w:divBdr>
            <w:top w:val="none" w:sz="0" w:space="0" w:color="auto"/>
            <w:left w:val="none" w:sz="0" w:space="0" w:color="auto"/>
            <w:bottom w:val="none" w:sz="0" w:space="0" w:color="auto"/>
            <w:right w:val="none" w:sz="0" w:space="0" w:color="auto"/>
          </w:divBdr>
        </w:div>
        <w:div w:id="2072730324">
          <w:marLeft w:val="0"/>
          <w:marRight w:val="0"/>
          <w:marTop w:val="0"/>
          <w:marBottom w:val="0"/>
          <w:divBdr>
            <w:top w:val="none" w:sz="0" w:space="0" w:color="auto"/>
            <w:left w:val="none" w:sz="0" w:space="0" w:color="auto"/>
            <w:bottom w:val="none" w:sz="0" w:space="0" w:color="auto"/>
            <w:right w:val="none" w:sz="0" w:space="0" w:color="auto"/>
          </w:divBdr>
        </w:div>
        <w:div w:id="2140026643">
          <w:marLeft w:val="0"/>
          <w:marRight w:val="0"/>
          <w:marTop w:val="0"/>
          <w:marBottom w:val="0"/>
          <w:divBdr>
            <w:top w:val="none" w:sz="0" w:space="0" w:color="auto"/>
            <w:left w:val="none" w:sz="0" w:space="0" w:color="auto"/>
            <w:bottom w:val="none" w:sz="0" w:space="0" w:color="auto"/>
            <w:right w:val="none" w:sz="0" w:space="0" w:color="auto"/>
          </w:divBdr>
        </w:div>
      </w:divsChild>
    </w:div>
    <w:div w:id="1384527161">
      <w:bodyDiv w:val="1"/>
      <w:marLeft w:val="0"/>
      <w:marRight w:val="0"/>
      <w:marTop w:val="0"/>
      <w:marBottom w:val="0"/>
      <w:divBdr>
        <w:top w:val="none" w:sz="0" w:space="0" w:color="auto"/>
        <w:left w:val="none" w:sz="0" w:space="0" w:color="auto"/>
        <w:bottom w:val="none" w:sz="0" w:space="0" w:color="auto"/>
        <w:right w:val="none" w:sz="0" w:space="0" w:color="auto"/>
      </w:divBdr>
    </w:div>
    <w:div w:id="1388725854">
      <w:bodyDiv w:val="1"/>
      <w:marLeft w:val="0"/>
      <w:marRight w:val="0"/>
      <w:marTop w:val="0"/>
      <w:marBottom w:val="0"/>
      <w:divBdr>
        <w:top w:val="none" w:sz="0" w:space="0" w:color="auto"/>
        <w:left w:val="none" w:sz="0" w:space="0" w:color="auto"/>
        <w:bottom w:val="none" w:sz="0" w:space="0" w:color="auto"/>
        <w:right w:val="none" w:sz="0" w:space="0" w:color="auto"/>
      </w:divBdr>
    </w:div>
    <w:div w:id="1401557988">
      <w:bodyDiv w:val="1"/>
      <w:marLeft w:val="0"/>
      <w:marRight w:val="0"/>
      <w:marTop w:val="0"/>
      <w:marBottom w:val="0"/>
      <w:divBdr>
        <w:top w:val="none" w:sz="0" w:space="0" w:color="auto"/>
        <w:left w:val="none" w:sz="0" w:space="0" w:color="auto"/>
        <w:bottom w:val="none" w:sz="0" w:space="0" w:color="auto"/>
        <w:right w:val="none" w:sz="0" w:space="0" w:color="auto"/>
      </w:divBdr>
    </w:div>
    <w:div w:id="1403136076">
      <w:bodyDiv w:val="1"/>
      <w:marLeft w:val="0"/>
      <w:marRight w:val="0"/>
      <w:marTop w:val="0"/>
      <w:marBottom w:val="0"/>
      <w:divBdr>
        <w:top w:val="none" w:sz="0" w:space="0" w:color="auto"/>
        <w:left w:val="none" w:sz="0" w:space="0" w:color="auto"/>
        <w:bottom w:val="none" w:sz="0" w:space="0" w:color="auto"/>
        <w:right w:val="none" w:sz="0" w:space="0" w:color="auto"/>
      </w:divBdr>
    </w:div>
    <w:div w:id="1421221463">
      <w:bodyDiv w:val="1"/>
      <w:marLeft w:val="0"/>
      <w:marRight w:val="0"/>
      <w:marTop w:val="0"/>
      <w:marBottom w:val="0"/>
      <w:divBdr>
        <w:top w:val="none" w:sz="0" w:space="0" w:color="auto"/>
        <w:left w:val="none" w:sz="0" w:space="0" w:color="auto"/>
        <w:bottom w:val="none" w:sz="0" w:space="0" w:color="auto"/>
        <w:right w:val="none" w:sz="0" w:space="0" w:color="auto"/>
      </w:divBdr>
    </w:div>
    <w:div w:id="1429503606">
      <w:bodyDiv w:val="1"/>
      <w:marLeft w:val="0"/>
      <w:marRight w:val="0"/>
      <w:marTop w:val="0"/>
      <w:marBottom w:val="0"/>
      <w:divBdr>
        <w:top w:val="none" w:sz="0" w:space="0" w:color="auto"/>
        <w:left w:val="none" w:sz="0" w:space="0" w:color="auto"/>
        <w:bottom w:val="none" w:sz="0" w:space="0" w:color="auto"/>
        <w:right w:val="none" w:sz="0" w:space="0" w:color="auto"/>
      </w:divBdr>
    </w:div>
    <w:div w:id="1447193833">
      <w:bodyDiv w:val="1"/>
      <w:marLeft w:val="0"/>
      <w:marRight w:val="0"/>
      <w:marTop w:val="0"/>
      <w:marBottom w:val="0"/>
      <w:divBdr>
        <w:top w:val="none" w:sz="0" w:space="0" w:color="auto"/>
        <w:left w:val="none" w:sz="0" w:space="0" w:color="auto"/>
        <w:bottom w:val="none" w:sz="0" w:space="0" w:color="auto"/>
        <w:right w:val="none" w:sz="0" w:space="0" w:color="auto"/>
      </w:divBdr>
    </w:div>
    <w:div w:id="1464542386">
      <w:bodyDiv w:val="1"/>
      <w:marLeft w:val="0"/>
      <w:marRight w:val="0"/>
      <w:marTop w:val="0"/>
      <w:marBottom w:val="0"/>
      <w:divBdr>
        <w:top w:val="none" w:sz="0" w:space="0" w:color="auto"/>
        <w:left w:val="none" w:sz="0" w:space="0" w:color="auto"/>
        <w:bottom w:val="none" w:sz="0" w:space="0" w:color="auto"/>
        <w:right w:val="none" w:sz="0" w:space="0" w:color="auto"/>
      </w:divBdr>
    </w:div>
    <w:div w:id="1496334895">
      <w:bodyDiv w:val="1"/>
      <w:marLeft w:val="0"/>
      <w:marRight w:val="0"/>
      <w:marTop w:val="0"/>
      <w:marBottom w:val="0"/>
      <w:divBdr>
        <w:top w:val="none" w:sz="0" w:space="0" w:color="auto"/>
        <w:left w:val="none" w:sz="0" w:space="0" w:color="auto"/>
        <w:bottom w:val="none" w:sz="0" w:space="0" w:color="auto"/>
        <w:right w:val="none" w:sz="0" w:space="0" w:color="auto"/>
      </w:divBdr>
      <w:divsChild>
        <w:div w:id="411775145">
          <w:marLeft w:val="0"/>
          <w:marRight w:val="0"/>
          <w:marTop w:val="0"/>
          <w:marBottom w:val="0"/>
          <w:divBdr>
            <w:top w:val="none" w:sz="0" w:space="0" w:color="auto"/>
            <w:left w:val="none" w:sz="0" w:space="0" w:color="auto"/>
            <w:bottom w:val="none" w:sz="0" w:space="0" w:color="auto"/>
            <w:right w:val="none" w:sz="0" w:space="0" w:color="auto"/>
          </w:divBdr>
        </w:div>
        <w:div w:id="428353265">
          <w:marLeft w:val="0"/>
          <w:marRight w:val="0"/>
          <w:marTop w:val="0"/>
          <w:marBottom w:val="0"/>
          <w:divBdr>
            <w:top w:val="none" w:sz="0" w:space="0" w:color="auto"/>
            <w:left w:val="none" w:sz="0" w:space="0" w:color="auto"/>
            <w:bottom w:val="none" w:sz="0" w:space="0" w:color="auto"/>
            <w:right w:val="none" w:sz="0" w:space="0" w:color="auto"/>
          </w:divBdr>
        </w:div>
        <w:div w:id="474223356">
          <w:marLeft w:val="0"/>
          <w:marRight w:val="0"/>
          <w:marTop w:val="0"/>
          <w:marBottom w:val="0"/>
          <w:divBdr>
            <w:top w:val="none" w:sz="0" w:space="0" w:color="auto"/>
            <w:left w:val="none" w:sz="0" w:space="0" w:color="auto"/>
            <w:bottom w:val="none" w:sz="0" w:space="0" w:color="auto"/>
            <w:right w:val="none" w:sz="0" w:space="0" w:color="auto"/>
          </w:divBdr>
        </w:div>
        <w:div w:id="1360203094">
          <w:marLeft w:val="0"/>
          <w:marRight w:val="0"/>
          <w:marTop w:val="0"/>
          <w:marBottom w:val="0"/>
          <w:divBdr>
            <w:top w:val="none" w:sz="0" w:space="0" w:color="auto"/>
            <w:left w:val="none" w:sz="0" w:space="0" w:color="auto"/>
            <w:bottom w:val="none" w:sz="0" w:space="0" w:color="auto"/>
            <w:right w:val="none" w:sz="0" w:space="0" w:color="auto"/>
          </w:divBdr>
        </w:div>
        <w:div w:id="1361586254">
          <w:marLeft w:val="0"/>
          <w:marRight w:val="0"/>
          <w:marTop w:val="0"/>
          <w:marBottom w:val="0"/>
          <w:divBdr>
            <w:top w:val="none" w:sz="0" w:space="0" w:color="auto"/>
            <w:left w:val="none" w:sz="0" w:space="0" w:color="auto"/>
            <w:bottom w:val="none" w:sz="0" w:space="0" w:color="auto"/>
            <w:right w:val="none" w:sz="0" w:space="0" w:color="auto"/>
          </w:divBdr>
        </w:div>
        <w:div w:id="1426995066">
          <w:marLeft w:val="0"/>
          <w:marRight w:val="0"/>
          <w:marTop w:val="0"/>
          <w:marBottom w:val="0"/>
          <w:divBdr>
            <w:top w:val="none" w:sz="0" w:space="0" w:color="auto"/>
            <w:left w:val="none" w:sz="0" w:space="0" w:color="auto"/>
            <w:bottom w:val="none" w:sz="0" w:space="0" w:color="auto"/>
            <w:right w:val="none" w:sz="0" w:space="0" w:color="auto"/>
          </w:divBdr>
        </w:div>
        <w:div w:id="1591889572">
          <w:marLeft w:val="0"/>
          <w:marRight w:val="0"/>
          <w:marTop w:val="0"/>
          <w:marBottom w:val="0"/>
          <w:divBdr>
            <w:top w:val="none" w:sz="0" w:space="0" w:color="auto"/>
            <w:left w:val="none" w:sz="0" w:space="0" w:color="auto"/>
            <w:bottom w:val="none" w:sz="0" w:space="0" w:color="auto"/>
            <w:right w:val="none" w:sz="0" w:space="0" w:color="auto"/>
          </w:divBdr>
        </w:div>
        <w:div w:id="1626959328">
          <w:marLeft w:val="0"/>
          <w:marRight w:val="0"/>
          <w:marTop w:val="0"/>
          <w:marBottom w:val="0"/>
          <w:divBdr>
            <w:top w:val="none" w:sz="0" w:space="0" w:color="auto"/>
            <w:left w:val="none" w:sz="0" w:space="0" w:color="auto"/>
            <w:bottom w:val="none" w:sz="0" w:space="0" w:color="auto"/>
            <w:right w:val="none" w:sz="0" w:space="0" w:color="auto"/>
          </w:divBdr>
        </w:div>
        <w:div w:id="1792482056">
          <w:marLeft w:val="0"/>
          <w:marRight w:val="0"/>
          <w:marTop w:val="0"/>
          <w:marBottom w:val="0"/>
          <w:divBdr>
            <w:top w:val="none" w:sz="0" w:space="0" w:color="auto"/>
            <w:left w:val="none" w:sz="0" w:space="0" w:color="auto"/>
            <w:bottom w:val="none" w:sz="0" w:space="0" w:color="auto"/>
            <w:right w:val="none" w:sz="0" w:space="0" w:color="auto"/>
          </w:divBdr>
        </w:div>
        <w:div w:id="1917321519">
          <w:marLeft w:val="0"/>
          <w:marRight w:val="0"/>
          <w:marTop w:val="0"/>
          <w:marBottom w:val="0"/>
          <w:divBdr>
            <w:top w:val="none" w:sz="0" w:space="0" w:color="auto"/>
            <w:left w:val="none" w:sz="0" w:space="0" w:color="auto"/>
            <w:bottom w:val="none" w:sz="0" w:space="0" w:color="auto"/>
            <w:right w:val="none" w:sz="0" w:space="0" w:color="auto"/>
          </w:divBdr>
        </w:div>
      </w:divsChild>
    </w:div>
    <w:div w:id="1520465390">
      <w:bodyDiv w:val="1"/>
      <w:marLeft w:val="0"/>
      <w:marRight w:val="0"/>
      <w:marTop w:val="0"/>
      <w:marBottom w:val="0"/>
      <w:divBdr>
        <w:top w:val="none" w:sz="0" w:space="0" w:color="auto"/>
        <w:left w:val="none" w:sz="0" w:space="0" w:color="auto"/>
        <w:bottom w:val="none" w:sz="0" w:space="0" w:color="auto"/>
        <w:right w:val="none" w:sz="0" w:space="0" w:color="auto"/>
      </w:divBdr>
    </w:div>
    <w:div w:id="1529172442">
      <w:bodyDiv w:val="1"/>
      <w:marLeft w:val="0"/>
      <w:marRight w:val="0"/>
      <w:marTop w:val="0"/>
      <w:marBottom w:val="0"/>
      <w:divBdr>
        <w:top w:val="none" w:sz="0" w:space="0" w:color="auto"/>
        <w:left w:val="none" w:sz="0" w:space="0" w:color="auto"/>
        <w:bottom w:val="none" w:sz="0" w:space="0" w:color="auto"/>
        <w:right w:val="none" w:sz="0" w:space="0" w:color="auto"/>
      </w:divBdr>
    </w:div>
    <w:div w:id="1536963352">
      <w:bodyDiv w:val="1"/>
      <w:marLeft w:val="0"/>
      <w:marRight w:val="0"/>
      <w:marTop w:val="0"/>
      <w:marBottom w:val="0"/>
      <w:divBdr>
        <w:top w:val="none" w:sz="0" w:space="0" w:color="auto"/>
        <w:left w:val="none" w:sz="0" w:space="0" w:color="auto"/>
        <w:bottom w:val="none" w:sz="0" w:space="0" w:color="auto"/>
        <w:right w:val="none" w:sz="0" w:space="0" w:color="auto"/>
      </w:divBdr>
    </w:div>
    <w:div w:id="1539047942">
      <w:bodyDiv w:val="1"/>
      <w:marLeft w:val="0"/>
      <w:marRight w:val="0"/>
      <w:marTop w:val="0"/>
      <w:marBottom w:val="0"/>
      <w:divBdr>
        <w:top w:val="none" w:sz="0" w:space="0" w:color="auto"/>
        <w:left w:val="none" w:sz="0" w:space="0" w:color="auto"/>
        <w:bottom w:val="none" w:sz="0" w:space="0" w:color="auto"/>
        <w:right w:val="none" w:sz="0" w:space="0" w:color="auto"/>
      </w:divBdr>
      <w:divsChild>
        <w:div w:id="693961662">
          <w:marLeft w:val="0"/>
          <w:marRight w:val="0"/>
          <w:marTop w:val="0"/>
          <w:marBottom w:val="0"/>
          <w:divBdr>
            <w:top w:val="none" w:sz="0" w:space="0" w:color="auto"/>
            <w:left w:val="none" w:sz="0" w:space="0" w:color="auto"/>
            <w:bottom w:val="none" w:sz="0" w:space="0" w:color="auto"/>
            <w:right w:val="none" w:sz="0" w:space="0" w:color="auto"/>
          </w:divBdr>
        </w:div>
        <w:div w:id="709304031">
          <w:marLeft w:val="0"/>
          <w:marRight w:val="0"/>
          <w:marTop w:val="0"/>
          <w:marBottom w:val="0"/>
          <w:divBdr>
            <w:top w:val="none" w:sz="0" w:space="0" w:color="auto"/>
            <w:left w:val="none" w:sz="0" w:space="0" w:color="auto"/>
            <w:bottom w:val="none" w:sz="0" w:space="0" w:color="auto"/>
            <w:right w:val="none" w:sz="0" w:space="0" w:color="auto"/>
          </w:divBdr>
        </w:div>
        <w:div w:id="1645617434">
          <w:marLeft w:val="0"/>
          <w:marRight w:val="0"/>
          <w:marTop w:val="0"/>
          <w:marBottom w:val="0"/>
          <w:divBdr>
            <w:top w:val="none" w:sz="0" w:space="0" w:color="auto"/>
            <w:left w:val="none" w:sz="0" w:space="0" w:color="auto"/>
            <w:bottom w:val="none" w:sz="0" w:space="0" w:color="auto"/>
            <w:right w:val="none" w:sz="0" w:space="0" w:color="auto"/>
          </w:divBdr>
        </w:div>
        <w:div w:id="1775635322">
          <w:marLeft w:val="0"/>
          <w:marRight w:val="0"/>
          <w:marTop w:val="0"/>
          <w:marBottom w:val="0"/>
          <w:divBdr>
            <w:top w:val="none" w:sz="0" w:space="0" w:color="auto"/>
            <w:left w:val="none" w:sz="0" w:space="0" w:color="auto"/>
            <w:bottom w:val="none" w:sz="0" w:space="0" w:color="auto"/>
            <w:right w:val="none" w:sz="0" w:space="0" w:color="auto"/>
          </w:divBdr>
        </w:div>
        <w:div w:id="1784348700">
          <w:marLeft w:val="0"/>
          <w:marRight w:val="0"/>
          <w:marTop w:val="0"/>
          <w:marBottom w:val="0"/>
          <w:divBdr>
            <w:top w:val="none" w:sz="0" w:space="0" w:color="auto"/>
            <w:left w:val="none" w:sz="0" w:space="0" w:color="auto"/>
            <w:bottom w:val="none" w:sz="0" w:space="0" w:color="auto"/>
            <w:right w:val="none" w:sz="0" w:space="0" w:color="auto"/>
          </w:divBdr>
        </w:div>
      </w:divsChild>
    </w:div>
    <w:div w:id="1541160547">
      <w:bodyDiv w:val="1"/>
      <w:marLeft w:val="0"/>
      <w:marRight w:val="0"/>
      <w:marTop w:val="0"/>
      <w:marBottom w:val="0"/>
      <w:divBdr>
        <w:top w:val="none" w:sz="0" w:space="0" w:color="auto"/>
        <w:left w:val="none" w:sz="0" w:space="0" w:color="auto"/>
        <w:bottom w:val="none" w:sz="0" w:space="0" w:color="auto"/>
        <w:right w:val="none" w:sz="0" w:space="0" w:color="auto"/>
      </w:divBdr>
    </w:div>
    <w:div w:id="1547140785">
      <w:bodyDiv w:val="1"/>
      <w:marLeft w:val="0"/>
      <w:marRight w:val="0"/>
      <w:marTop w:val="0"/>
      <w:marBottom w:val="0"/>
      <w:divBdr>
        <w:top w:val="none" w:sz="0" w:space="0" w:color="auto"/>
        <w:left w:val="none" w:sz="0" w:space="0" w:color="auto"/>
        <w:bottom w:val="none" w:sz="0" w:space="0" w:color="auto"/>
        <w:right w:val="none" w:sz="0" w:space="0" w:color="auto"/>
      </w:divBdr>
    </w:div>
    <w:div w:id="1559393169">
      <w:bodyDiv w:val="1"/>
      <w:marLeft w:val="0"/>
      <w:marRight w:val="0"/>
      <w:marTop w:val="0"/>
      <w:marBottom w:val="0"/>
      <w:divBdr>
        <w:top w:val="none" w:sz="0" w:space="0" w:color="auto"/>
        <w:left w:val="none" w:sz="0" w:space="0" w:color="auto"/>
        <w:bottom w:val="none" w:sz="0" w:space="0" w:color="auto"/>
        <w:right w:val="none" w:sz="0" w:space="0" w:color="auto"/>
      </w:divBdr>
    </w:div>
    <w:div w:id="1573539338">
      <w:bodyDiv w:val="1"/>
      <w:marLeft w:val="0"/>
      <w:marRight w:val="0"/>
      <w:marTop w:val="0"/>
      <w:marBottom w:val="0"/>
      <w:divBdr>
        <w:top w:val="none" w:sz="0" w:space="0" w:color="auto"/>
        <w:left w:val="none" w:sz="0" w:space="0" w:color="auto"/>
        <w:bottom w:val="none" w:sz="0" w:space="0" w:color="auto"/>
        <w:right w:val="none" w:sz="0" w:space="0" w:color="auto"/>
      </w:divBdr>
      <w:divsChild>
        <w:div w:id="119766946">
          <w:marLeft w:val="0"/>
          <w:marRight w:val="0"/>
          <w:marTop w:val="0"/>
          <w:marBottom w:val="0"/>
          <w:divBdr>
            <w:top w:val="none" w:sz="0" w:space="0" w:color="auto"/>
            <w:left w:val="none" w:sz="0" w:space="0" w:color="auto"/>
            <w:bottom w:val="none" w:sz="0" w:space="0" w:color="auto"/>
            <w:right w:val="none" w:sz="0" w:space="0" w:color="auto"/>
          </w:divBdr>
        </w:div>
        <w:div w:id="265775844">
          <w:marLeft w:val="0"/>
          <w:marRight w:val="0"/>
          <w:marTop w:val="0"/>
          <w:marBottom w:val="0"/>
          <w:divBdr>
            <w:top w:val="none" w:sz="0" w:space="0" w:color="auto"/>
            <w:left w:val="none" w:sz="0" w:space="0" w:color="auto"/>
            <w:bottom w:val="none" w:sz="0" w:space="0" w:color="auto"/>
            <w:right w:val="none" w:sz="0" w:space="0" w:color="auto"/>
          </w:divBdr>
        </w:div>
        <w:div w:id="370808497">
          <w:marLeft w:val="0"/>
          <w:marRight w:val="0"/>
          <w:marTop w:val="0"/>
          <w:marBottom w:val="0"/>
          <w:divBdr>
            <w:top w:val="none" w:sz="0" w:space="0" w:color="auto"/>
            <w:left w:val="none" w:sz="0" w:space="0" w:color="auto"/>
            <w:bottom w:val="none" w:sz="0" w:space="0" w:color="auto"/>
            <w:right w:val="none" w:sz="0" w:space="0" w:color="auto"/>
          </w:divBdr>
        </w:div>
        <w:div w:id="436606364">
          <w:marLeft w:val="0"/>
          <w:marRight w:val="0"/>
          <w:marTop w:val="0"/>
          <w:marBottom w:val="0"/>
          <w:divBdr>
            <w:top w:val="none" w:sz="0" w:space="0" w:color="auto"/>
            <w:left w:val="none" w:sz="0" w:space="0" w:color="auto"/>
            <w:bottom w:val="none" w:sz="0" w:space="0" w:color="auto"/>
            <w:right w:val="none" w:sz="0" w:space="0" w:color="auto"/>
          </w:divBdr>
        </w:div>
        <w:div w:id="545216058">
          <w:marLeft w:val="0"/>
          <w:marRight w:val="0"/>
          <w:marTop w:val="0"/>
          <w:marBottom w:val="0"/>
          <w:divBdr>
            <w:top w:val="none" w:sz="0" w:space="0" w:color="auto"/>
            <w:left w:val="none" w:sz="0" w:space="0" w:color="auto"/>
            <w:bottom w:val="none" w:sz="0" w:space="0" w:color="auto"/>
            <w:right w:val="none" w:sz="0" w:space="0" w:color="auto"/>
          </w:divBdr>
        </w:div>
        <w:div w:id="623003912">
          <w:marLeft w:val="0"/>
          <w:marRight w:val="0"/>
          <w:marTop w:val="0"/>
          <w:marBottom w:val="0"/>
          <w:divBdr>
            <w:top w:val="none" w:sz="0" w:space="0" w:color="auto"/>
            <w:left w:val="none" w:sz="0" w:space="0" w:color="auto"/>
            <w:bottom w:val="none" w:sz="0" w:space="0" w:color="auto"/>
            <w:right w:val="none" w:sz="0" w:space="0" w:color="auto"/>
          </w:divBdr>
        </w:div>
        <w:div w:id="766074942">
          <w:marLeft w:val="0"/>
          <w:marRight w:val="0"/>
          <w:marTop w:val="0"/>
          <w:marBottom w:val="0"/>
          <w:divBdr>
            <w:top w:val="none" w:sz="0" w:space="0" w:color="auto"/>
            <w:left w:val="none" w:sz="0" w:space="0" w:color="auto"/>
            <w:bottom w:val="none" w:sz="0" w:space="0" w:color="auto"/>
            <w:right w:val="none" w:sz="0" w:space="0" w:color="auto"/>
          </w:divBdr>
        </w:div>
        <w:div w:id="993342002">
          <w:marLeft w:val="0"/>
          <w:marRight w:val="0"/>
          <w:marTop w:val="0"/>
          <w:marBottom w:val="0"/>
          <w:divBdr>
            <w:top w:val="none" w:sz="0" w:space="0" w:color="auto"/>
            <w:left w:val="none" w:sz="0" w:space="0" w:color="auto"/>
            <w:bottom w:val="none" w:sz="0" w:space="0" w:color="auto"/>
            <w:right w:val="none" w:sz="0" w:space="0" w:color="auto"/>
          </w:divBdr>
        </w:div>
        <w:div w:id="1112163475">
          <w:marLeft w:val="0"/>
          <w:marRight w:val="0"/>
          <w:marTop w:val="0"/>
          <w:marBottom w:val="0"/>
          <w:divBdr>
            <w:top w:val="none" w:sz="0" w:space="0" w:color="auto"/>
            <w:left w:val="none" w:sz="0" w:space="0" w:color="auto"/>
            <w:bottom w:val="none" w:sz="0" w:space="0" w:color="auto"/>
            <w:right w:val="none" w:sz="0" w:space="0" w:color="auto"/>
          </w:divBdr>
        </w:div>
        <w:div w:id="1313829004">
          <w:marLeft w:val="0"/>
          <w:marRight w:val="0"/>
          <w:marTop w:val="0"/>
          <w:marBottom w:val="0"/>
          <w:divBdr>
            <w:top w:val="none" w:sz="0" w:space="0" w:color="auto"/>
            <w:left w:val="none" w:sz="0" w:space="0" w:color="auto"/>
            <w:bottom w:val="none" w:sz="0" w:space="0" w:color="auto"/>
            <w:right w:val="none" w:sz="0" w:space="0" w:color="auto"/>
          </w:divBdr>
        </w:div>
        <w:div w:id="1439715813">
          <w:marLeft w:val="0"/>
          <w:marRight w:val="0"/>
          <w:marTop w:val="0"/>
          <w:marBottom w:val="0"/>
          <w:divBdr>
            <w:top w:val="none" w:sz="0" w:space="0" w:color="auto"/>
            <w:left w:val="none" w:sz="0" w:space="0" w:color="auto"/>
            <w:bottom w:val="none" w:sz="0" w:space="0" w:color="auto"/>
            <w:right w:val="none" w:sz="0" w:space="0" w:color="auto"/>
          </w:divBdr>
        </w:div>
        <w:div w:id="1449202736">
          <w:marLeft w:val="0"/>
          <w:marRight w:val="0"/>
          <w:marTop w:val="0"/>
          <w:marBottom w:val="0"/>
          <w:divBdr>
            <w:top w:val="none" w:sz="0" w:space="0" w:color="auto"/>
            <w:left w:val="none" w:sz="0" w:space="0" w:color="auto"/>
            <w:bottom w:val="none" w:sz="0" w:space="0" w:color="auto"/>
            <w:right w:val="none" w:sz="0" w:space="0" w:color="auto"/>
          </w:divBdr>
        </w:div>
        <w:div w:id="1696224319">
          <w:marLeft w:val="0"/>
          <w:marRight w:val="0"/>
          <w:marTop w:val="0"/>
          <w:marBottom w:val="0"/>
          <w:divBdr>
            <w:top w:val="none" w:sz="0" w:space="0" w:color="auto"/>
            <w:left w:val="none" w:sz="0" w:space="0" w:color="auto"/>
            <w:bottom w:val="none" w:sz="0" w:space="0" w:color="auto"/>
            <w:right w:val="none" w:sz="0" w:space="0" w:color="auto"/>
          </w:divBdr>
        </w:div>
        <w:div w:id="1719891848">
          <w:marLeft w:val="0"/>
          <w:marRight w:val="0"/>
          <w:marTop w:val="0"/>
          <w:marBottom w:val="0"/>
          <w:divBdr>
            <w:top w:val="none" w:sz="0" w:space="0" w:color="auto"/>
            <w:left w:val="none" w:sz="0" w:space="0" w:color="auto"/>
            <w:bottom w:val="none" w:sz="0" w:space="0" w:color="auto"/>
            <w:right w:val="none" w:sz="0" w:space="0" w:color="auto"/>
          </w:divBdr>
        </w:div>
        <w:div w:id="2115787071">
          <w:marLeft w:val="0"/>
          <w:marRight w:val="0"/>
          <w:marTop w:val="0"/>
          <w:marBottom w:val="0"/>
          <w:divBdr>
            <w:top w:val="none" w:sz="0" w:space="0" w:color="auto"/>
            <w:left w:val="none" w:sz="0" w:space="0" w:color="auto"/>
            <w:bottom w:val="none" w:sz="0" w:space="0" w:color="auto"/>
            <w:right w:val="none" w:sz="0" w:space="0" w:color="auto"/>
          </w:divBdr>
        </w:div>
      </w:divsChild>
    </w:div>
    <w:div w:id="1574007203">
      <w:bodyDiv w:val="1"/>
      <w:marLeft w:val="0"/>
      <w:marRight w:val="0"/>
      <w:marTop w:val="0"/>
      <w:marBottom w:val="0"/>
      <w:divBdr>
        <w:top w:val="none" w:sz="0" w:space="0" w:color="auto"/>
        <w:left w:val="none" w:sz="0" w:space="0" w:color="auto"/>
        <w:bottom w:val="none" w:sz="0" w:space="0" w:color="auto"/>
        <w:right w:val="none" w:sz="0" w:space="0" w:color="auto"/>
      </w:divBdr>
    </w:div>
    <w:div w:id="1579628604">
      <w:bodyDiv w:val="1"/>
      <w:marLeft w:val="0"/>
      <w:marRight w:val="0"/>
      <w:marTop w:val="0"/>
      <w:marBottom w:val="0"/>
      <w:divBdr>
        <w:top w:val="none" w:sz="0" w:space="0" w:color="auto"/>
        <w:left w:val="none" w:sz="0" w:space="0" w:color="auto"/>
        <w:bottom w:val="none" w:sz="0" w:space="0" w:color="auto"/>
        <w:right w:val="none" w:sz="0" w:space="0" w:color="auto"/>
      </w:divBdr>
    </w:div>
    <w:div w:id="1579973511">
      <w:bodyDiv w:val="1"/>
      <w:marLeft w:val="0"/>
      <w:marRight w:val="0"/>
      <w:marTop w:val="0"/>
      <w:marBottom w:val="0"/>
      <w:divBdr>
        <w:top w:val="none" w:sz="0" w:space="0" w:color="auto"/>
        <w:left w:val="none" w:sz="0" w:space="0" w:color="auto"/>
        <w:bottom w:val="none" w:sz="0" w:space="0" w:color="auto"/>
        <w:right w:val="none" w:sz="0" w:space="0" w:color="auto"/>
      </w:divBdr>
    </w:div>
    <w:div w:id="1587609708">
      <w:bodyDiv w:val="1"/>
      <w:marLeft w:val="0"/>
      <w:marRight w:val="0"/>
      <w:marTop w:val="0"/>
      <w:marBottom w:val="0"/>
      <w:divBdr>
        <w:top w:val="none" w:sz="0" w:space="0" w:color="auto"/>
        <w:left w:val="none" w:sz="0" w:space="0" w:color="auto"/>
        <w:bottom w:val="none" w:sz="0" w:space="0" w:color="auto"/>
        <w:right w:val="none" w:sz="0" w:space="0" w:color="auto"/>
      </w:divBdr>
    </w:div>
    <w:div w:id="1599826516">
      <w:bodyDiv w:val="1"/>
      <w:marLeft w:val="0"/>
      <w:marRight w:val="0"/>
      <w:marTop w:val="0"/>
      <w:marBottom w:val="0"/>
      <w:divBdr>
        <w:top w:val="none" w:sz="0" w:space="0" w:color="auto"/>
        <w:left w:val="none" w:sz="0" w:space="0" w:color="auto"/>
        <w:bottom w:val="none" w:sz="0" w:space="0" w:color="auto"/>
        <w:right w:val="none" w:sz="0" w:space="0" w:color="auto"/>
      </w:divBdr>
    </w:div>
    <w:div w:id="1600411880">
      <w:bodyDiv w:val="1"/>
      <w:marLeft w:val="0"/>
      <w:marRight w:val="0"/>
      <w:marTop w:val="0"/>
      <w:marBottom w:val="0"/>
      <w:divBdr>
        <w:top w:val="none" w:sz="0" w:space="0" w:color="auto"/>
        <w:left w:val="none" w:sz="0" w:space="0" w:color="auto"/>
        <w:bottom w:val="none" w:sz="0" w:space="0" w:color="auto"/>
        <w:right w:val="none" w:sz="0" w:space="0" w:color="auto"/>
      </w:divBdr>
    </w:div>
    <w:div w:id="1606300839">
      <w:bodyDiv w:val="1"/>
      <w:marLeft w:val="0"/>
      <w:marRight w:val="0"/>
      <w:marTop w:val="0"/>
      <w:marBottom w:val="0"/>
      <w:divBdr>
        <w:top w:val="none" w:sz="0" w:space="0" w:color="auto"/>
        <w:left w:val="none" w:sz="0" w:space="0" w:color="auto"/>
        <w:bottom w:val="none" w:sz="0" w:space="0" w:color="auto"/>
        <w:right w:val="none" w:sz="0" w:space="0" w:color="auto"/>
      </w:divBdr>
    </w:div>
    <w:div w:id="1609921944">
      <w:bodyDiv w:val="1"/>
      <w:marLeft w:val="0"/>
      <w:marRight w:val="0"/>
      <w:marTop w:val="0"/>
      <w:marBottom w:val="0"/>
      <w:divBdr>
        <w:top w:val="none" w:sz="0" w:space="0" w:color="auto"/>
        <w:left w:val="none" w:sz="0" w:space="0" w:color="auto"/>
        <w:bottom w:val="none" w:sz="0" w:space="0" w:color="auto"/>
        <w:right w:val="none" w:sz="0" w:space="0" w:color="auto"/>
      </w:divBdr>
    </w:div>
    <w:div w:id="1612980621">
      <w:bodyDiv w:val="1"/>
      <w:marLeft w:val="0"/>
      <w:marRight w:val="0"/>
      <w:marTop w:val="0"/>
      <w:marBottom w:val="0"/>
      <w:divBdr>
        <w:top w:val="none" w:sz="0" w:space="0" w:color="auto"/>
        <w:left w:val="none" w:sz="0" w:space="0" w:color="auto"/>
        <w:bottom w:val="none" w:sz="0" w:space="0" w:color="auto"/>
        <w:right w:val="none" w:sz="0" w:space="0" w:color="auto"/>
      </w:divBdr>
    </w:div>
    <w:div w:id="1636522751">
      <w:bodyDiv w:val="1"/>
      <w:marLeft w:val="0"/>
      <w:marRight w:val="0"/>
      <w:marTop w:val="0"/>
      <w:marBottom w:val="0"/>
      <w:divBdr>
        <w:top w:val="none" w:sz="0" w:space="0" w:color="auto"/>
        <w:left w:val="none" w:sz="0" w:space="0" w:color="auto"/>
        <w:bottom w:val="none" w:sz="0" w:space="0" w:color="auto"/>
        <w:right w:val="none" w:sz="0" w:space="0" w:color="auto"/>
      </w:divBdr>
    </w:div>
    <w:div w:id="1639453636">
      <w:bodyDiv w:val="1"/>
      <w:marLeft w:val="0"/>
      <w:marRight w:val="0"/>
      <w:marTop w:val="0"/>
      <w:marBottom w:val="0"/>
      <w:divBdr>
        <w:top w:val="none" w:sz="0" w:space="0" w:color="auto"/>
        <w:left w:val="none" w:sz="0" w:space="0" w:color="auto"/>
        <w:bottom w:val="none" w:sz="0" w:space="0" w:color="auto"/>
        <w:right w:val="none" w:sz="0" w:space="0" w:color="auto"/>
      </w:divBdr>
      <w:divsChild>
        <w:div w:id="200364026">
          <w:marLeft w:val="0"/>
          <w:marRight w:val="0"/>
          <w:marTop w:val="0"/>
          <w:marBottom w:val="0"/>
          <w:divBdr>
            <w:top w:val="none" w:sz="0" w:space="0" w:color="auto"/>
            <w:left w:val="none" w:sz="0" w:space="0" w:color="auto"/>
            <w:bottom w:val="none" w:sz="0" w:space="0" w:color="auto"/>
            <w:right w:val="none" w:sz="0" w:space="0" w:color="auto"/>
          </w:divBdr>
        </w:div>
        <w:div w:id="225381526">
          <w:marLeft w:val="0"/>
          <w:marRight w:val="0"/>
          <w:marTop w:val="0"/>
          <w:marBottom w:val="0"/>
          <w:divBdr>
            <w:top w:val="none" w:sz="0" w:space="0" w:color="auto"/>
            <w:left w:val="none" w:sz="0" w:space="0" w:color="auto"/>
            <w:bottom w:val="none" w:sz="0" w:space="0" w:color="auto"/>
            <w:right w:val="none" w:sz="0" w:space="0" w:color="auto"/>
          </w:divBdr>
        </w:div>
        <w:div w:id="520972519">
          <w:marLeft w:val="0"/>
          <w:marRight w:val="0"/>
          <w:marTop w:val="0"/>
          <w:marBottom w:val="0"/>
          <w:divBdr>
            <w:top w:val="none" w:sz="0" w:space="0" w:color="auto"/>
            <w:left w:val="none" w:sz="0" w:space="0" w:color="auto"/>
            <w:bottom w:val="none" w:sz="0" w:space="0" w:color="auto"/>
            <w:right w:val="none" w:sz="0" w:space="0" w:color="auto"/>
          </w:divBdr>
        </w:div>
        <w:div w:id="1028334238">
          <w:marLeft w:val="0"/>
          <w:marRight w:val="0"/>
          <w:marTop w:val="0"/>
          <w:marBottom w:val="0"/>
          <w:divBdr>
            <w:top w:val="none" w:sz="0" w:space="0" w:color="auto"/>
            <w:left w:val="none" w:sz="0" w:space="0" w:color="auto"/>
            <w:bottom w:val="none" w:sz="0" w:space="0" w:color="auto"/>
            <w:right w:val="none" w:sz="0" w:space="0" w:color="auto"/>
          </w:divBdr>
        </w:div>
        <w:div w:id="1036002154">
          <w:marLeft w:val="0"/>
          <w:marRight w:val="0"/>
          <w:marTop w:val="0"/>
          <w:marBottom w:val="0"/>
          <w:divBdr>
            <w:top w:val="none" w:sz="0" w:space="0" w:color="auto"/>
            <w:left w:val="none" w:sz="0" w:space="0" w:color="auto"/>
            <w:bottom w:val="none" w:sz="0" w:space="0" w:color="auto"/>
            <w:right w:val="none" w:sz="0" w:space="0" w:color="auto"/>
          </w:divBdr>
        </w:div>
        <w:div w:id="1070082676">
          <w:marLeft w:val="0"/>
          <w:marRight w:val="0"/>
          <w:marTop w:val="0"/>
          <w:marBottom w:val="0"/>
          <w:divBdr>
            <w:top w:val="none" w:sz="0" w:space="0" w:color="auto"/>
            <w:left w:val="none" w:sz="0" w:space="0" w:color="auto"/>
            <w:bottom w:val="none" w:sz="0" w:space="0" w:color="auto"/>
            <w:right w:val="none" w:sz="0" w:space="0" w:color="auto"/>
          </w:divBdr>
        </w:div>
        <w:div w:id="1204514651">
          <w:marLeft w:val="0"/>
          <w:marRight w:val="0"/>
          <w:marTop w:val="0"/>
          <w:marBottom w:val="0"/>
          <w:divBdr>
            <w:top w:val="none" w:sz="0" w:space="0" w:color="auto"/>
            <w:left w:val="none" w:sz="0" w:space="0" w:color="auto"/>
            <w:bottom w:val="none" w:sz="0" w:space="0" w:color="auto"/>
            <w:right w:val="none" w:sz="0" w:space="0" w:color="auto"/>
          </w:divBdr>
        </w:div>
      </w:divsChild>
    </w:div>
    <w:div w:id="1648197573">
      <w:bodyDiv w:val="1"/>
      <w:marLeft w:val="0"/>
      <w:marRight w:val="0"/>
      <w:marTop w:val="0"/>
      <w:marBottom w:val="0"/>
      <w:divBdr>
        <w:top w:val="none" w:sz="0" w:space="0" w:color="auto"/>
        <w:left w:val="none" w:sz="0" w:space="0" w:color="auto"/>
        <w:bottom w:val="none" w:sz="0" w:space="0" w:color="auto"/>
        <w:right w:val="none" w:sz="0" w:space="0" w:color="auto"/>
      </w:divBdr>
    </w:div>
    <w:div w:id="1650791324">
      <w:bodyDiv w:val="1"/>
      <w:marLeft w:val="0"/>
      <w:marRight w:val="0"/>
      <w:marTop w:val="0"/>
      <w:marBottom w:val="0"/>
      <w:divBdr>
        <w:top w:val="none" w:sz="0" w:space="0" w:color="auto"/>
        <w:left w:val="none" w:sz="0" w:space="0" w:color="auto"/>
        <w:bottom w:val="none" w:sz="0" w:space="0" w:color="auto"/>
        <w:right w:val="none" w:sz="0" w:space="0" w:color="auto"/>
      </w:divBdr>
    </w:div>
    <w:div w:id="1652715328">
      <w:bodyDiv w:val="1"/>
      <w:marLeft w:val="0"/>
      <w:marRight w:val="0"/>
      <w:marTop w:val="0"/>
      <w:marBottom w:val="0"/>
      <w:divBdr>
        <w:top w:val="none" w:sz="0" w:space="0" w:color="auto"/>
        <w:left w:val="none" w:sz="0" w:space="0" w:color="auto"/>
        <w:bottom w:val="none" w:sz="0" w:space="0" w:color="auto"/>
        <w:right w:val="none" w:sz="0" w:space="0" w:color="auto"/>
      </w:divBdr>
      <w:divsChild>
        <w:div w:id="1158229345">
          <w:marLeft w:val="0"/>
          <w:marRight w:val="0"/>
          <w:marTop w:val="0"/>
          <w:marBottom w:val="0"/>
          <w:divBdr>
            <w:top w:val="none" w:sz="0" w:space="0" w:color="auto"/>
            <w:left w:val="none" w:sz="0" w:space="0" w:color="auto"/>
            <w:bottom w:val="none" w:sz="0" w:space="0" w:color="auto"/>
            <w:right w:val="none" w:sz="0" w:space="0" w:color="auto"/>
          </w:divBdr>
        </w:div>
        <w:div w:id="1158812339">
          <w:marLeft w:val="0"/>
          <w:marRight w:val="0"/>
          <w:marTop w:val="0"/>
          <w:marBottom w:val="0"/>
          <w:divBdr>
            <w:top w:val="none" w:sz="0" w:space="0" w:color="auto"/>
            <w:left w:val="none" w:sz="0" w:space="0" w:color="auto"/>
            <w:bottom w:val="none" w:sz="0" w:space="0" w:color="auto"/>
            <w:right w:val="none" w:sz="0" w:space="0" w:color="auto"/>
          </w:divBdr>
        </w:div>
        <w:div w:id="1220943590">
          <w:marLeft w:val="0"/>
          <w:marRight w:val="0"/>
          <w:marTop w:val="0"/>
          <w:marBottom w:val="0"/>
          <w:divBdr>
            <w:top w:val="none" w:sz="0" w:space="0" w:color="auto"/>
            <w:left w:val="none" w:sz="0" w:space="0" w:color="auto"/>
            <w:bottom w:val="none" w:sz="0" w:space="0" w:color="auto"/>
            <w:right w:val="none" w:sz="0" w:space="0" w:color="auto"/>
          </w:divBdr>
        </w:div>
        <w:div w:id="1252079378">
          <w:marLeft w:val="0"/>
          <w:marRight w:val="0"/>
          <w:marTop w:val="0"/>
          <w:marBottom w:val="0"/>
          <w:divBdr>
            <w:top w:val="none" w:sz="0" w:space="0" w:color="auto"/>
            <w:left w:val="none" w:sz="0" w:space="0" w:color="auto"/>
            <w:bottom w:val="none" w:sz="0" w:space="0" w:color="auto"/>
            <w:right w:val="none" w:sz="0" w:space="0" w:color="auto"/>
          </w:divBdr>
        </w:div>
        <w:div w:id="1285773640">
          <w:marLeft w:val="0"/>
          <w:marRight w:val="0"/>
          <w:marTop w:val="0"/>
          <w:marBottom w:val="0"/>
          <w:divBdr>
            <w:top w:val="none" w:sz="0" w:space="0" w:color="auto"/>
            <w:left w:val="none" w:sz="0" w:space="0" w:color="auto"/>
            <w:bottom w:val="none" w:sz="0" w:space="0" w:color="auto"/>
            <w:right w:val="none" w:sz="0" w:space="0" w:color="auto"/>
          </w:divBdr>
        </w:div>
        <w:div w:id="1566338365">
          <w:marLeft w:val="0"/>
          <w:marRight w:val="0"/>
          <w:marTop w:val="0"/>
          <w:marBottom w:val="0"/>
          <w:divBdr>
            <w:top w:val="none" w:sz="0" w:space="0" w:color="auto"/>
            <w:left w:val="none" w:sz="0" w:space="0" w:color="auto"/>
            <w:bottom w:val="none" w:sz="0" w:space="0" w:color="auto"/>
            <w:right w:val="none" w:sz="0" w:space="0" w:color="auto"/>
          </w:divBdr>
        </w:div>
        <w:div w:id="1674185227">
          <w:marLeft w:val="0"/>
          <w:marRight w:val="0"/>
          <w:marTop w:val="0"/>
          <w:marBottom w:val="0"/>
          <w:divBdr>
            <w:top w:val="none" w:sz="0" w:space="0" w:color="auto"/>
            <w:left w:val="none" w:sz="0" w:space="0" w:color="auto"/>
            <w:bottom w:val="none" w:sz="0" w:space="0" w:color="auto"/>
            <w:right w:val="none" w:sz="0" w:space="0" w:color="auto"/>
          </w:divBdr>
        </w:div>
        <w:div w:id="1836846910">
          <w:marLeft w:val="0"/>
          <w:marRight w:val="0"/>
          <w:marTop w:val="0"/>
          <w:marBottom w:val="0"/>
          <w:divBdr>
            <w:top w:val="none" w:sz="0" w:space="0" w:color="auto"/>
            <w:left w:val="none" w:sz="0" w:space="0" w:color="auto"/>
            <w:bottom w:val="none" w:sz="0" w:space="0" w:color="auto"/>
            <w:right w:val="none" w:sz="0" w:space="0" w:color="auto"/>
          </w:divBdr>
        </w:div>
        <w:div w:id="2094937480">
          <w:marLeft w:val="0"/>
          <w:marRight w:val="0"/>
          <w:marTop w:val="0"/>
          <w:marBottom w:val="0"/>
          <w:divBdr>
            <w:top w:val="none" w:sz="0" w:space="0" w:color="auto"/>
            <w:left w:val="none" w:sz="0" w:space="0" w:color="auto"/>
            <w:bottom w:val="none" w:sz="0" w:space="0" w:color="auto"/>
            <w:right w:val="none" w:sz="0" w:space="0" w:color="auto"/>
          </w:divBdr>
        </w:div>
      </w:divsChild>
    </w:div>
    <w:div w:id="1661497366">
      <w:bodyDiv w:val="1"/>
      <w:marLeft w:val="0"/>
      <w:marRight w:val="0"/>
      <w:marTop w:val="0"/>
      <w:marBottom w:val="0"/>
      <w:divBdr>
        <w:top w:val="none" w:sz="0" w:space="0" w:color="auto"/>
        <w:left w:val="none" w:sz="0" w:space="0" w:color="auto"/>
        <w:bottom w:val="none" w:sz="0" w:space="0" w:color="auto"/>
        <w:right w:val="none" w:sz="0" w:space="0" w:color="auto"/>
      </w:divBdr>
    </w:div>
    <w:div w:id="1664695257">
      <w:bodyDiv w:val="1"/>
      <w:marLeft w:val="0"/>
      <w:marRight w:val="0"/>
      <w:marTop w:val="0"/>
      <w:marBottom w:val="0"/>
      <w:divBdr>
        <w:top w:val="none" w:sz="0" w:space="0" w:color="auto"/>
        <w:left w:val="none" w:sz="0" w:space="0" w:color="auto"/>
        <w:bottom w:val="none" w:sz="0" w:space="0" w:color="auto"/>
        <w:right w:val="none" w:sz="0" w:space="0" w:color="auto"/>
      </w:divBdr>
      <w:divsChild>
        <w:div w:id="129177637">
          <w:marLeft w:val="0"/>
          <w:marRight w:val="0"/>
          <w:marTop w:val="0"/>
          <w:marBottom w:val="0"/>
          <w:divBdr>
            <w:top w:val="none" w:sz="0" w:space="0" w:color="auto"/>
            <w:left w:val="none" w:sz="0" w:space="0" w:color="auto"/>
            <w:bottom w:val="none" w:sz="0" w:space="0" w:color="auto"/>
            <w:right w:val="none" w:sz="0" w:space="0" w:color="auto"/>
          </w:divBdr>
        </w:div>
        <w:div w:id="167910406">
          <w:marLeft w:val="0"/>
          <w:marRight w:val="0"/>
          <w:marTop w:val="0"/>
          <w:marBottom w:val="0"/>
          <w:divBdr>
            <w:top w:val="none" w:sz="0" w:space="0" w:color="auto"/>
            <w:left w:val="none" w:sz="0" w:space="0" w:color="auto"/>
            <w:bottom w:val="none" w:sz="0" w:space="0" w:color="auto"/>
            <w:right w:val="none" w:sz="0" w:space="0" w:color="auto"/>
          </w:divBdr>
        </w:div>
        <w:div w:id="231089405">
          <w:marLeft w:val="0"/>
          <w:marRight w:val="0"/>
          <w:marTop w:val="0"/>
          <w:marBottom w:val="0"/>
          <w:divBdr>
            <w:top w:val="none" w:sz="0" w:space="0" w:color="auto"/>
            <w:left w:val="none" w:sz="0" w:space="0" w:color="auto"/>
            <w:bottom w:val="none" w:sz="0" w:space="0" w:color="auto"/>
            <w:right w:val="none" w:sz="0" w:space="0" w:color="auto"/>
          </w:divBdr>
        </w:div>
        <w:div w:id="274364103">
          <w:marLeft w:val="0"/>
          <w:marRight w:val="0"/>
          <w:marTop w:val="0"/>
          <w:marBottom w:val="0"/>
          <w:divBdr>
            <w:top w:val="none" w:sz="0" w:space="0" w:color="auto"/>
            <w:left w:val="none" w:sz="0" w:space="0" w:color="auto"/>
            <w:bottom w:val="none" w:sz="0" w:space="0" w:color="auto"/>
            <w:right w:val="none" w:sz="0" w:space="0" w:color="auto"/>
          </w:divBdr>
        </w:div>
        <w:div w:id="315455366">
          <w:marLeft w:val="0"/>
          <w:marRight w:val="0"/>
          <w:marTop w:val="0"/>
          <w:marBottom w:val="0"/>
          <w:divBdr>
            <w:top w:val="none" w:sz="0" w:space="0" w:color="auto"/>
            <w:left w:val="none" w:sz="0" w:space="0" w:color="auto"/>
            <w:bottom w:val="none" w:sz="0" w:space="0" w:color="auto"/>
            <w:right w:val="none" w:sz="0" w:space="0" w:color="auto"/>
          </w:divBdr>
        </w:div>
        <w:div w:id="423459236">
          <w:marLeft w:val="0"/>
          <w:marRight w:val="0"/>
          <w:marTop w:val="0"/>
          <w:marBottom w:val="0"/>
          <w:divBdr>
            <w:top w:val="none" w:sz="0" w:space="0" w:color="auto"/>
            <w:left w:val="none" w:sz="0" w:space="0" w:color="auto"/>
            <w:bottom w:val="none" w:sz="0" w:space="0" w:color="auto"/>
            <w:right w:val="none" w:sz="0" w:space="0" w:color="auto"/>
          </w:divBdr>
        </w:div>
        <w:div w:id="524100296">
          <w:marLeft w:val="0"/>
          <w:marRight w:val="0"/>
          <w:marTop w:val="0"/>
          <w:marBottom w:val="0"/>
          <w:divBdr>
            <w:top w:val="none" w:sz="0" w:space="0" w:color="auto"/>
            <w:left w:val="none" w:sz="0" w:space="0" w:color="auto"/>
            <w:bottom w:val="none" w:sz="0" w:space="0" w:color="auto"/>
            <w:right w:val="none" w:sz="0" w:space="0" w:color="auto"/>
          </w:divBdr>
        </w:div>
        <w:div w:id="768156477">
          <w:marLeft w:val="0"/>
          <w:marRight w:val="0"/>
          <w:marTop w:val="0"/>
          <w:marBottom w:val="0"/>
          <w:divBdr>
            <w:top w:val="none" w:sz="0" w:space="0" w:color="auto"/>
            <w:left w:val="none" w:sz="0" w:space="0" w:color="auto"/>
            <w:bottom w:val="none" w:sz="0" w:space="0" w:color="auto"/>
            <w:right w:val="none" w:sz="0" w:space="0" w:color="auto"/>
          </w:divBdr>
        </w:div>
        <w:div w:id="833490177">
          <w:marLeft w:val="0"/>
          <w:marRight w:val="0"/>
          <w:marTop w:val="0"/>
          <w:marBottom w:val="0"/>
          <w:divBdr>
            <w:top w:val="none" w:sz="0" w:space="0" w:color="auto"/>
            <w:left w:val="none" w:sz="0" w:space="0" w:color="auto"/>
            <w:bottom w:val="none" w:sz="0" w:space="0" w:color="auto"/>
            <w:right w:val="none" w:sz="0" w:space="0" w:color="auto"/>
          </w:divBdr>
        </w:div>
        <w:div w:id="865218439">
          <w:marLeft w:val="0"/>
          <w:marRight w:val="0"/>
          <w:marTop w:val="0"/>
          <w:marBottom w:val="0"/>
          <w:divBdr>
            <w:top w:val="none" w:sz="0" w:space="0" w:color="auto"/>
            <w:left w:val="none" w:sz="0" w:space="0" w:color="auto"/>
            <w:bottom w:val="none" w:sz="0" w:space="0" w:color="auto"/>
            <w:right w:val="none" w:sz="0" w:space="0" w:color="auto"/>
          </w:divBdr>
        </w:div>
        <w:div w:id="1080716217">
          <w:marLeft w:val="0"/>
          <w:marRight w:val="0"/>
          <w:marTop w:val="0"/>
          <w:marBottom w:val="0"/>
          <w:divBdr>
            <w:top w:val="none" w:sz="0" w:space="0" w:color="auto"/>
            <w:left w:val="none" w:sz="0" w:space="0" w:color="auto"/>
            <w:bottom w:val="none" w:sz="0" w:space="0" w:color="auto"/>
            <w:right w:val="none" w:sz="0" w:space="0" w:color="auto"/>
          </w:divBdr>
        </w:div>
        <w:div w:id="1272201248">
          <w:marLeft w:val="0"/>
          <w:marRight w:val="0"/>
          <w:marTop w:val="0"/>
          <w:marBottom w:val="0"/>
          <w:divBdr>
            <w:top w:val="none" w:sz="0" w:space="0" w:color="auto"/>
            <w:left w:val="none" w:sz="0" w:space="0" w:color="auto"/>
            <w:bottom w:val="none" w:sz="0" w:space="0" w:color="auto"/>
            <w:right w:val="none" w:sz="0" w:space="0" w:color="auto"/>
          </w:divBdr>
        </w:div>
        <w:div w:id="1297444105">
          <w:marLeft w:val="0"/>
          <w:marRight w:val="0"/>
          <w:marTop w:val="0"/>
          <w:marBottom w:val="0"/>
          <w:divBdr>
            <w:top w:val="none" w:sz="0" w:space="0" w:color="auto"/>
            <w:left w:val="none" w:sz="0" w:space="0" w:color="auto"/>
            <w:bottom w:val="none" w:sz="0" w:space="0" w:color="auto"/>
            <w:right w:val="none" w:sz="0" w:space="0" w:color="auto"/>
          </w:divBdr>
        </w:div>
        <w:div w:id="1359894334">
          <w:marLeft w:val="0"/>
          <w:marRight w:val="0"/>
          <w:marTop w:val="0"/>
          <w:marBottom w:val="0"/>
          <w:divBdr>
            <w:top w:val="none" w:sz="0" w:space="0" w:color="auto"/>
            <w:left w:val="none" w:sz="0" w:space="0" w:color="auto"/>
            <w:bottom w:val="none" w:sz="0" w:space="0" w:color="auto"/>
            <w:right w:val="none" w:sz="0" w:space="0" w:color="auto"/>
          </w:divBdr>
        </w:div>
        <w:div w:id="1527791412">
          <w:marLeft w:val="0"/>
          <w:marRight w:val="0"/>
          <w:marTop w:val="0"/>
          <w:marBottom w:val="0"/>
          <w:divBdr>
            <w:top w:val="none" w:sz="0" w:space="0" w:color="auto"/>
            <w:left w:val="none" w:sz="0" w:space="0" w:color="auto"/>
            <w:bottom w:val="none" w:sz="0" w:space="0" w:color="auto"/>
            <w:right w:val="none" w:sz="0" w:space="0" w:color="auto"/>
          </w:divBdr>
        </w:div>
        <w:div w:id="1596399640">
          <w:marLeft w:val="0"/>
          <w:marRight w:val="0"/>
          <w:marTop w:val="0"/>
          <w:marBottom w:val="0"/>
          <w:divBdr>
            <w:top w:val="none" w:sz="0" w:space="0" w:color="auto"/>
            <w:left w:val="none" w:sz="0" w:space="0" w:color="auto"/>
            <w:bottom w:val="none" w:sz="0" w:space="0" w:color="auto"/>
            <w:right w:val="none" w:sz="0" w:space="0" w:color="auto"/>
          </w:divBdr>
        </w:div>
        <w:div w:id="1664778094">
          <w:marLeft w:val="0"/>
          <w:marRight w:val="0"/>
          <w:marTop w:val="0"/>
          <w:marBottom w:val="0"/>
          <w:divBdr>
            <w:top w:val="none" w:sz="0" w:space="0" w:color="auto"/>
            <w:left w:val="none" w:sz="0" w:space="0" w:color="auto"/>
            <w:bottom w:val="none" w:sz="0" w:space="0" w:color="auto"/>
            <w:right w:val="none" w:sz="0" w:space="0" w:color="auto"/>
          </w:divBdr>
        </w:div>
        <w:div w:id="1884049685">
          <w:marLeft w:val="0"/>
          <w:marRight w:val="0"/>
          <w:marTop w:val="0"/>
          <w:marBottom w:val="0"/>
          <w:divBdr>
            <w:top w:val="none" w:sz="0" w:space="0" w:color="auto"/>
            <w:left w:val="none" w:sz="0" w:space="0" w:color="auto"/>
            <w:bottom w:val="none" w:sz="0" w:space="0" w:color="auto"/>
            <w:right w:val="none" w:sz="0" w:space="0" w:color="auto"/>
          </w:divBdr>
        </w:div>
        <w:div w:id="1888646149">
          <w:marLeft w:val="0"/>
          <w:marRight w:val="0"/>
          <w:marTop w:val="0"/>
          <w:marBottom w:val="0"/>
          <w:divBdr>
            <w:top w:val="none" w:sz="0" w:space="0" w:color="auto"/>
            <w:left w:val="none" w:sz="0" w:space="0" w:color="auto"/>
            <w:bottom w:val="none" w:sz="0" w:space="0" w:color="auto"/>
            <w:right w:val="none" w:sz="0" w:space="0" w:color="auto"/>
          </w:divBdr>
        </w:div>
        <w:div w:id="1892888671">
          <w:marLeft w:val="0"/>
          <w:marRight w:val="0"/>
          <w:marTop w:val="0"/>
          <w:marBottom w:val="0"/>
          <w:divBdr>
            <w:top w:val="none" w:sz="0" w:space="0" w:color="auto"/>
            <w:left w:val="none" w:sz="0" w:space="0" w:color="auto"/>
            <w:bottom w:val="none" w:sz="0" w:space="0" w:color="auto"/>
            <w:right w:val="none" w:sz="0" w:space="0" w:color="auto"/>
          </w:divBdr>
        </w:div>
      </w:divsChild>
    </w:div>
    <w:div w:id="1684162405">
      <w:bodyDiv w:val="1"/>
      <w:marLeft w:val="0"/>
      <w:marRight w:val="0"/>
      <w:marTop w:val="0"/>
      <w:marBottom w:val="0"/>
      <w:divBdr>
        <w:top w:val="none" w:sz="0" w:space="0" w:color="auto"/>
        <w:left w:val="none" w:sz="0" w:space="0" w:color="auto"/>
        <w:bottom w:val="none" w:sz="0" w:space="0" w:color="auto"/>
        <w:right w:val="none" w:sz="0" w:space="0" w:color="auto"/>
      </w:divBdr>
    </w:div>
    <w:div w:id="1695769770">
      <w:bodyDiv w:val="1"/>
      <w:marLeft w:val="0"/>
      <w:marRight w:val="0"/>
      <w:marTop w:val="0"/>
      <w:marBottom w:val="0"/>
      <w:divBdr>
        <w:top w:val="none" w:sz="0" w:space="0" w:color="auto"/>
        <w:left w:val="none" w:sz="0" w:space="0" w:color="auto"/>
        <w:bottom w:val="none" w:sz="0" w:space="0" w:color="auto"/>
        <w:right w:val="none" w:sz="0" w:space="0" w:color="auto"/>
      </w:divBdr>
    </w:div>
    <w:div w:id="1702242355">
      <w:bodyDiv w:val="1"/>
      <w:marLeft w:val="0"/>
      <w:marRight w:val="0"/>
      <w:marTop w:val="0"/>
      <w:marBottom w:val="0"/>
      <w:divBdr>
        <w:top w:val="none" w:sz="0" w:space="0" w:color="auto"/>
        <w:left w:val="none" w:sz="0" w:space="0" w:color="auto"/>
        <w:bottom w:val="none" w:sz="0" w:space="0" w:color="auto"/>
        <w:right w:val="none" w:sz="0" w:space="0" w:color="auto"/>
      </w:divBdr>
    </w:div>
    <w:div w:id="1708484909">
      <w:bodyDiv w:val="1"/>
      <w:marLeft w:val="0"/>
      <w:marRight w:val="0"/>
      <w:marTop w:val="0"/>
      <w:marBottom w:val="0"/>
      <w:divBdr>
        <w:top w:val="none" w:sz="0" w:space="0" w:color="auto"/>
        <w:left w:val="none" w:sz="0" w:space="0" w:color="auto"/>
        <w:bottom w:val="none" w:sz="0" w:space="0" w:color="auto"/>
        <w:right w:val="none" w:sz="0" w:space="0" w:color="auto"/>
      </w:divBdr>
    </w:div>
    <w:div w:id="1714572995">
      <w:bodyDiv w:val="1"/>
      <w:marLeft w:val="0"/>
      <w:marRight w:val="0"/>
      <w:marTop w:val="0"/>
      <w:marBottom w:val="0"/>
      <w:divBdr>
        <w:top w:val="none" w:sz="0" w:space="0" w:color="auto"/>
        <w:left w:val="none" w:sz="0" w:space="0" w:color="auto"/>
        <w:bottom w:val="none" w:sz="0" w:space="0" w:color="auto"/>
        <w:right w:val="none" w:sz="0" w:space="0" w:color="auto"/>
      </w:divBdr>
      <w:divsChild>
        <w:div w:id="96143046">
          <w:marLeft w:val="0"/>
          <w:marRight w:val="0"/>
          <w:marTop w:val="0"/>
          <w:marBottom w:val="0"/>
          <w:divBdr>
            <w:top w:val="none" w:sz="0" w:space="0" w:color="auto"/>
            <w:left w:val="none" w:sz="0" w:space="0" w:color="auto"/>
            <w:bottom w:val="none" w:sz="0" w:space="0" w:color="auto"/>
            <w:right w:val="none" w:sz="0" w:space="0" w:color="auto"/>
          </w:divBdr>
        </w:div>
        <w:div w:id="551118417">
          <w:marLeft w:val="0"/>
          <w:marRight w:val="0"/>
          <w:marTop w:val="0"/>
          <w:marBottom w:val="0"/>
          <w:divBdr>
            <w:top w:val="none" w:sz="0" w:space="0" w:color="auto"/>
            <w:left w:val="none" w:sz="0" w:space="0" w:color="auto"/>
            <w:bottom w:val="none" w:sz="0" w:space="0" w:color="auto"/>
            <w:right w:val="none" w:sz="0" w:space="0" w:color="auto"/>
          </w:divBdr>
        </w:div>
        <w:div w:id="916403611">
          <w:marLeft w:val="0"/>
          <w:marRight w:val="0"/>
          <w:marTop w:val="0"/>
          <w:marBottom w:val="0"/>
          <w:divBdr>
            <w:top w:val="none" w:sz="0" w:space="0" w:color="auto"/>
            <w:left w:val="none" w:sz="0" w:space="0" w:color="auto"/>
            <w:bottom w:val="none" w:sz="0" w:space="0" w:color="auto"/>
            <w:right w:val="none" w:sz="0" w:space="0" w:color="auto"/>
          </w:divBdr>
        </w:div>
        <w:div w:id="1192185176">
          <w:marLeft w:val="0"/>
          <w:marRight w:val="0"/>
          <w:marTop w:val="0"/>
          <w:marBottom w:val="0"/>
          <w:divBdr>
            <w:top w:val="none" w:sz="0" w:space="0" w:color="auto"/>
            <w:left w:val="none" w:sz="0" w:space="0" w:color="auto"/>
            <w:bottom w:val="none" w:sz="0" w:space="0" w:color="auto"/>
            <w:right w:val="none" w:sz="0" w:space="0" w:color="auto"/>
          </w:divBdr>
        </w:div>
        <w:div w:id="1464538915">
          <w:marLeft w:val="0"/>
          <w:marRight w:val="0"/>
          <w:marTop w:val="0"/>
          <w:marBottom w:val="0"/>
          <w:divBdr>
            <w:top w:val="none" w:sz="0" w:space="0" w:color="auto"/>
            <w:left w:val="none" w:sz="0" w:space="0" w:color="auto"/>
            <w:bottom w:val="none" w:sz="0" w:space="0" w:color="auto"/>
            <w:right w:val="none" w:sz="0" w:space="0" w:color="auto"/>
          </w:divBdr>
        </w:div>
      </w:divsChild>
    </w:div>
    <w:div w:id="1739403380">
      <w:bodyDiv w:val="1"/>
      <w:marLeft w:val="0"/>
      <w:marRight w:val="0"/>
      <w:marTop w:val="0"/>
      <w:marBottom w:val="0"/>
      <w:divBdr>
        <w:top w:val="none" w:sz="0" w:space="0" w:color="auto"/>
        <w:left w:val="none" w:sz="0" w:space="0" w:color="auto"/>
        <w:bottom w:val="none" w:sz="0" w:space="0" w:color="auto"/>
        <w:right w:val="none" w:sz="0" w:space="0" w:color="auto"/>
      </w:divBdr>
    </w:div>
    <w:div w:id="1753889478">
      <w:bodyDiv w:val="1"/>
      <w:marLeft w:val="0"/>
      <w:marRight w:val="0"/>
      <w:marTop w:val="0"/>
      <w:marBottom w:val="0"/>
      <w:divBdr>
        <w:top w:val="none" w:sz="0" w:space="0" w:color="auto"/>
        <w:left w:val="none" w:sz="0" w:space="0" w:color="auto"/>
        <w:bottom w:val="none" w:sz="0" w:space="0" w:color="auto"/>
        <w:right w:val="none" w:sz="0" w:space="0" w:color="auto"/>
      </w:divBdr>
    </w:div>
    <w:div w:id="1759015234">
      <w:bodyDiv w:val="1"/>
      <w:marLeft w:val="0"/>
      <w:marRight w:val="0"/>
      <w:marTop w:val="0"/>
      <w:marBottom w:val="0"/>
      <w:divBdr>
        <w:top w:val="none" w:sz="0" w:space="0" w:color="auto"/>
        <w:left w:val="none" w:sz="0" w:space="0" w:color="auto"/>
        <w:bottom w:val="none" w:sz="0" w:space="0" w:color="auto"/>
        <w:right w:val="none" w:sz="0" w:space="0" w:color="auto"/>
      </w:divBdr>
    </w:div>
    <w:div w:id="1771779698">
      <w:bodyDiv w:val="1"/>
      <w:marLeft w:val="0"/>
      <w:marRight w:val="0"/>
      <w:marTop w:val="0"/>
      <w:marBottom w:val="0"/>
      <w:divBdr>
        <w:top w:val="none" w:sz="0" w:space="0" w:color="auto"/>
        <w:left w:val="none" w:sz="0" w:space="0" w:color="auto"/>
        <w:bottom w:val="none" w:sz="0" w:space="0" w:color="auto"/>
        <w:right w:val="none" w:sz="0" w:space="0" w:color="auto"/>
      </w:divBdr>
    </w:div>
    <w:div w:id="1776514798">
      <w:bodyDiv w:val="1"/>
      <w:marLeft w:val="0"/>
      <w:marRight w:val="0"/>
      <w:marTop w:val="0"/>
      <w:marBottom w:val="0"/>
      <w:divBdr>
        <w:top w:val="none" w:sz="0" w:space="0" w:color="auto"/>
        <w:left w:val="none" w:sz="0" w:space="0" w:color="auto"/>
        <w:bottom w:val="none" w:sz="0" w:space="0" w:color="auto"/>
        <w:right w:val="none" w:sz="0" w:space="0" w:color="auto"/>
      </w:divBdr>
    </w:div>
    <w:div w:id="1808160850">
      <w:bodyDiv w:val="1"/>
      <w:marLeft w:val="0"/>
      <w:marRight w:val="0"/>
      <w:marTop w:val="0"/>
      <w:marBottom w:val="0"/>
      <w:divBdr>
        <w:top w:val="none" w:sz="0" w:space="0" w:color="auto"/>
        <w:left w:val="none" w:sz="0" w:space="0" w:color="auto"/>
        <w:bottom w:val="none" w:sz="0" w:space="0" w:color="auto"/>
        <w:right w:val="none" w:sz="0" w:space="0" w:color="auto"/>
      </w:divBdr>
      <w:divsChild>
        <w:div w:id="3098196">
          <w:marLeft w:val="0"/>
          <w:marRight w:val="0"/>
          <w:marTop w:val="0"/>
          <w:marBottom w:val="0"/>
          <w:divBdr>
            <w:top w:val="none" w:sz="0" w:space="0" w:color="auto"/>
            <w:left w:val="none" w:sz="0" w:space="0" w:color="auto"/>
            <w:bottom w:val="none" w:sz="0" w:space="0" w:color="auto"/>
            <w:right w:val="none" w:sz="0" w:space="0" w:color="auto"/>
          </w:divBdr>
        </w:div>
        <w:div w:id="50807499">
          <w:marLeft w:val="0"/>
          <w:marRight w:val="0"/>
          <w:marTop w:val="0"/>
          <w:marBottom w:val="0"/>
          <w:divBdr>
            <w:top w:val="none" w:sz="0" w:space="0" w:color="auto"/>
            <w:left w:val="none" w:sz="0" w:space="0" w:color="auto"/>
            <w:bottom w:val="none" w:sz="0" w:space="0" w:color="auto"/>
            <w:right w:val="none" w:sz="0" w:space="0" w:color="auto"/>
          </w:divBdr>
        </w:div>
        <w:div w:id="54548685">
          <w:marLeft w:val="0"/>
          <w:marRight w:val="0"/>
          <w:marTop w:val="0"/>
          <w:marBottom w:val="0"/>
          <w:divBdr>
            <w:top w:val="none" w:sz="0" w:space="0" w:color="auto"/>
            <w:left w:val="none" w:sz="0" w:space="0" w:color="auto"/>
            <w:bottom w:val="none" w:sz="0" w:space="0" w:color="auto"/>
            <w:right w:val="none" w:sz="0" w:space="0" w:color="auto"/>
          </w:divBdr>
        </w:div>
        <w:div w:id="72510509">
          <w:marLeft w:val="0"/>
          <w:marRight w:val="0"/>
          <w:marTop w:val="0"/>
          <w:marBottom w:val="0"/>
          <w:divBdr>
            <w:top w:val="none" w:sz="0" w:space="0" w:color="auto"/>
            <w:left w:val="none" w:sz="0" w:space="0" w:color="auto"/>
            <w:bottom w:val="none" w:sz="0" w:space="0" w:color="auto"/>
            <w:right w:val="none" w:sz="0" w:space="0" w:color="auto"/>
          </w:divBdr>
        </w:div>
        <w:div w:id="76247584">
          <w:marLeft w:val="0"/>
          <w:marRight w:val="0"/>
          <w:marTop w:val="0"/>
          <w:marBottom w:val="0"/>
          <w:divBdr>
            <w:top w:val="none" w:sz="0" w:space="0" w:color="auto"/>
            <w:left w:val="none" w:sz="0" w:space="0" w:color="auto"/>
            <w:bottom w:val="none" w:sz="0" w:space="0" w:color="auto"/>
            <w:right w:val="none" w:sz="0" w:space="0" w:color="auto"/>
          </w:divBdr>
        </w:div>
        <w:div w:id="95685053">
          <w:marLeft w:val="0"/>
          <w:marRight w:val="0"/>
          <w:marTop w:val="0"/>
          <w:marBottom w:val="0"/>
          <w:divBdr>
            <w:top w:val="none" w:sz="0" w:space="0" w:color="auto"/>
            <w:left w:val="none" w:sz="0" w:space="0" w:color="auto"/>
            <w:bottom w:val="none" w:sz="0" w:space="0" w:color="auto"/>
            <w:right w:val="none" w:sz="0" w:space="0" w:color="auto"/>
          </w:divBdr>
        </w:div>
        <w:div w:id="124930436">
          <w:marLeft w:val="0"/>
          <w:marRight w:val="0"/>
          <w:marTop w:val="0"/>
          <w:marBottom w:val="0"/>
          <w:divBdr>
            <w:top w:val="none" w:sz="0" w:space="0" w:color="auto"/>
            <w:left w:val="none" w:sz="0" w:space="0" w:color="auto"/>
            <w:bottom w:val="none" w:sz="0" w:space="0" w:color="auto"/>
            <w:right w:val="none" w:sz="0" w:space="0" w:color="auto"/>
          </w:divBdr>
        </w:div>
        <w:div w:id="147745673">
          <w:marLeft w:val="0"/>
          <w:marRight w:val="0"/>
          <w:marTop w:val="0"/>
          <w:marBottom w:val="0"/>
          <w:divBdr>
            <w:top w:val="none" w:sz="0" w:space="0" w:color="auto"/>
            <w:left w:val="none" w:sz="0" w:space="0" w:color="auto"/>
            <w:bottom w:val="none" w:sz="0" w:space="0" w:color="auto"/>
            <w:right w:val="none" w:sz="0" w:space="0" w:color="auto"/>
          </w:divBdr>
        </w:div>
        <w:div w:id="207256878">
          <w:marLeft w:val="0"/>
          <w:marRight w:val="0"/>
          <w:marTop w:val="0"/>
          <w:marBottom w:val="0"/>
          <w:divBdr>
            <w:top w:val="none" w:sz="0" w:space="0" w:color="auto"/>
            <w:left w:val="none" w:sz="0" w:space="0" w:color="auto"/>
            <w:bottom w:val="none" w:sz="0" w:space="0" w:color="auto"/>
            <w:right w:val="none" w:sz="0" w:space="0" w:color="auto"/>
          </w:divBdr>
        </w:div>
        <w:div w:id="243925214">
          <w:marLeft w:val="0"/>
          <w:marRight w:val="0"/>
          <w:marTop w:val="0"/>
          <w:marBottom w:val="0"/>
          <w:divBdr>
            <w:top w:val="none" w:sz="0" w:space="0" w:color="auto"/>
            <w:left w:val="none" w:sz="0" w:space="0" w:color="auto"/>
            <w:bottom w:val="none" w:sz="0" w:space="0" w:color="auto"/>
            <w:right w:val="none" w:sz="0" w:space="0" w:color="auto"/>
          </w:divBdr>
        </w:div>
        <w:div w:id="247151991">
          <w:marLeft w:val="0"/>
          <w:marRight w:val="0"/>
          <w:marTop w:val="0"/>
          <w:marBottom w:val="0"/>
          <w:divBdr>
            <w:top w:val="none" w:sz="0" w:space="0" w:color="auto"/>
            <w:left w:val="none" w:sz="0" w:space="0" w:color="auto"/>
            <w:bottom w:val="none" w:sz="0" w:space="0" w:color="auto"/>
            <w:right w:val="none" w:sz="0" w:space="0" w:color="auto"/>
          </w:divBdr>
        </w:div>
        <w:div w:id="253562754">
          <w:marLeft w:val="0"/>
          <w:marRight w:val="0"/>
          <w:marTop w:val="0"/>
          <w:marBottom w:val="0"/>
          <w:divBdr>
            <w:top w:val="none" w:sz="0" w:space="0" w:color="auto"/>
            <w:left w:val="none" w:sz="0" w:space="0" w:color="auto"/>
            <w:bottom w:val="none" w:sz="0" w:space="0" w:color="auto"/>
            <w:right w:val="none" w:sz="0" w:space="0" w:color="auto"/>
          </w:divBdr>
        </w:div>
        <w:div w:id="255672558">
          <w:marLeft w:val="0"/>
          <w:marRight w:val="0"/>
          <w:marTop w:val="0"/>
          <w:marBottom w:val="0"/>
          <w:divBdr>
            <w:top w:val="none" w:sz="0" w:space="0" w:color="auto"/>
            <w:left w:val="none" w:sz="0" w:space="0" w:color="auto"/>
            <w:bottom w:val="none" w:sz="0" w:space="0" w:color="auto"/>
            <w:right w:val="none" w:sz="0" w:space="0" w:color="auto"/>
          </w:divBdr>
        </w:div>
        <w:div w:id="258222558">
          <w:marLeft w:val="0"/>
          <w:marRight w:val="0"/>
          <w:marTop w:val="0"/>
          <w:marBottom w:val="0"/>
          <w:divBdr>
            <w:top w:val="none" w:sz="0" w:space="0" w:color="auto"/>
            <w:left w:val="none" w:sz="0" w:space="0" w:color="auto"/>
            <w:bottom w:val="none" w:sz="0" w:space="0" w:color="auto"/>
            <w:right w:val="none" w:sz="0" w:space="0" w:color="auto"/>
          </w:divBdr>
        </w:div>
        <w:div w:id="296450407">
          <w:marLeft w:val="0"/>
          <w:marRight w:val="0"/>
          <w:marTop w:val="0"/>
          <w:marBottom w:val="0"/>
          <w:divBdr>
            <w:top w:val="none" w:sz="0" w:space="0" w:color="auto"/>
            <w:left w:val="none" w:sz="0" w:space="0" w:color="auto"/>
            <w:bottom w:val="none" w:sz="0" w:space="0" w:color="auto"/>
            <w:right w:val="none" w:sz="0" w:space="0" w:color="auto"/>
          </w:divBdr>
        </w:div>
        <w:div w:id="315500257">
          <w:marLeft w:val="0"/>
          <w:marRight w:val="0"/>
          <w:marTop w:val="0"/>
          <w:marBottom w:val="0"/>
          <w:divBdr>
            <w:top w:val="none" w:sz="0" w:space="0" w:color="auto"/>
            <w:left w:val="none" w:sz="0" w:space="0" w:color="auto"/>
            <w:bottom w:val="none" w:sz="0" w:space="0" w:color="auto"/>
            <w:right w:val="none" w:sz="0" w:space="0" w:color="auto"/>
          </w:divBdr>
        </w:div>
        <w:div w:id="318466334">
          <w:marLeft w:val="0"/>
          <w:marRight w:val="0"/>
          <w:marTop w:val="0"/>
          <w:marBottom w:val="0"/>
          <w:divBdr>
            <w:top w:val="none" w:sz="0" w:space="0" w:color="auto"/>
            <w:left w:val="none" w:sz="0" w:space="0" w:color="auto"/>
            <w:bottom w:val="none" w:sz="0" w:space="0" w:color="auto"/>
            <w:right w:val="none" w:sz="0" w:space="0" w:color="auto"/>
          </w:divBdr>
        </w:div>
        <w:div w:id="391121698">
          <w:marLeft w:val="0"/>
          <w:marRight w:val="0"/>
          <w:marTop w:val="0"/>
          <w:marBottom w:val="0"/>
          <w:divBdr>
            <w:top w:val="none" w:sz="0" w:space="0" w:color="auto"/>
            <w:left w:val="none" w:sz="0" w:space="0" w:color="auto"/>
            <w:bottom w:val="none" w:sz="0" w:space="0" w:color="auto"/>
            <w:right w:val="none" w:sz="0" w:space="0" w:color="auto"/>
          </w:divBdr>
        </w:div>
        <w:div w:id="452796052">
          <w:marLeft w:val="0"/>
          <w:marRight w:val="0"/>
          <w:marTop w:val="0"/>
          <w:marBottom w:val="0"/>
          <w:divBdr>
            <w:top w:val="none" w:sz="0" w:space="0" w:color="auto"/>
            <w:left w:val="none" w:sz="0" w:space="0" w:color="auto"/>
            <w:bottom w:val="none" w:sz="0" w:space="0" w:color="auto"/>
            <w:right w:val="none" w:sz="0" w:space="0" w:color="auto"/>
          </w:divBdr>
        </w:div>
        <w:div w:id="465927912">
          <w:marLeft w:val="0"/>
          <w:marRight w:val="0"/>
          <w:marTop w:val="0"/>
          <w:marBottom w:val="0"/>
          <w:divBdr>
            <w:top w:val="none" w:sz="0" w:space="0" w:color="auto"/>
            <w:left w:val="none" w:sz="0" w:space="0" w:color="auto"/>
            <w:bottom w:val="none" w:sz="0" w:space="0" w:color="auto"/>
            <w:right w:val="none" w:sz="0" w:space="0" w:color="auto"/>
          </w:divBdr>
        </w:div>
        <w:div w:id="468938605">
          <w:marLeft w:val="0"/>
          <w:marRight w:val="0"/>
          <w:marTop w:val="0"/>
          <w:marBottom w:val="0"/>
          <w:divBdr>
            <w:top w:val="none" w:sz="0" w:space="0" w:color="auto"/>
            <w:left w:val="none" w:sz="0" w:space="0" w:color="auto"/>
            <w:bottom w:val="none" w:sz="0" w:space="0" w:color="auto"/>
            <w:right w:val="none" w:sz="0" w:space="0" w:color="auto"/>
          </w:divBdr>
        </w:div>
        <w:div w:id="470755120">
          <w:marLeft w:val="0"/>
          <w:marRight w:val="0"/>
          <w:marTop w:val="0"/>
          <w:marBottom w:val="0"/>
          <w:divBdr>
            <w:top w:val="none" w:sz="0" w:space="0" w:color="auto"/>
            <w:left w:val="none" w:sz="0" w:space="0" w:color="auto"/>
            <w:bottom w:val="none" w:sz="0" w:space="0" w:color="auto"/>
            <w:right w:val="none" w:sz="0" w:space="0" w:color="auto"/>
          </w:divBdr>
        </w:div>
        <w:div w:id="496727693">
          <w:marLeft w:val="0"/>
          <w:marRight w:val="0"/>
          <w:marTop w:val="0"/>
          <w:marBottom w:val="0"/>
          <w:divBdr>
            <w:top w:val="none" w:sz="0" w:space="0" w:color="auto"/>
            <w:left w:val="none" w:sz="0" w:space="0" w:color="auto"/>
            <w:bottom w:val="none" w:sz="0" w:space="0" w:color="auto"/>
            <w:right w:val="none" w:sz="0" w:space="0" w:color="auto"/>
          </w:divBdr>
        </w:div>
        <w:div w:id="505098715">
          <w:marLeft w:val="0"/>
          <w:marRight w:val="0"/>
          <w:marTop w:val="0"/>
          <w:marBottom w:val="0"/>
          <w:divBdr>
            <w:top w:val="none" w:sz="0" w:space="0" w:color="auto"/>
            <w:left w:val="none" w:sz="0" w:space="0" w:color="auto"/>
            <w:bottom w:val="none" w:sz="0" w:space="0" w:color="auto"/>
            <w:right w:val="none" w:sz="0" w:space="0" w:color="auto"/>
          </w:divBdr>
        </w:div>
        <w:div w:id="516769404">
          <w:marLeft w:val="0"/>
          <w:marRight w:val="0"/>
          <w:marTop w:val="0"/>
          <w:marBottom w:val="0"/>
          <w:divBdr>
            <w:top w:val="none" w:sz="0" w:space="0" w:color="auto"/>
            <w:left w:val="none" w:sz="0" w:space="0" w:color="auto"/>
            <w:bottom w:val="none" w:sz="0" w:space="0" w:color="auto"/>
            <w:right w:val="none" w:sz="0" w:space="0" w:color="auto"/>
          </w:divBdr>
        </w:div>
        <w:div w:id="537205082">
          <w:marLeft w:val="0"/>
          <w:marRight w:val="0"/>
          <w:marTop w:val="0"/>
          <w:marBottom w:val="0"/>
          <w:divBdr>
            <w:top w:val="none" w:sz="0" w:space="0" w:color="auto"/>
            <w:left w:val="none" w:sz="0" w:space="0" w:color="auto"/>
            <w:bottom w:val="none" w:sz="0" w:space="0" w:color="auto"/>
            <w:right w:val="none" w:sz="0" w:space="0" w:color="auto"/>
          </w:divBdr>
        </w:div>
        <w:div w:id="537397163">
          <w:marLeft w:val="0"/>
          <w:marRight w:val="0"/>
          <w:marTop w:val="0"/>
          <w:marBottom w:val="0"/>
          <w:divBdr>
            <w:top w:val="none" w:sz="0" w:space="0" w:color="auto"/>
            <w:left w:val="none" w:sz="0" w:space="0" w:color="auto"/>
            <w:bottom w:val="none" w:sz="0" w:space="0" w:color="auto"/>
            <w:right w:val="none" w:sz="0" w:space="0" w:color="auto"/>
          </w:divBdr>
        </w:div>
        <w:div w:id="561253210">
          <w:marLeft w:val="0"/>
          <w:marRight w:val="0"/>
          <w:marTop w:val="0"/>
          <w:marBottom w:val="0"/>
          <w:divBdr>
            <w:top w:val="none" w:sz="0" w:space="0" w:color="auto"/>
            <w:left w:val="none" w:sz="0" w:space="0" w:color="auto"/>
            <w:bottom w:val="none" w:sz="0" w:space="0" w:color="auto"/>
            <w:right w:val="none" w:sz="0" w:space="0" w:color="auto"/>
          </w:divBdr>
        </w:div>
        <w:div w:id="575553317">
          <w:marLeft w:val="0"/>
          <w:marRight w:val="0"/>
          <w:marTop w:val="0"/>
          <w:marBottom w:val="0"/>
          <w:divBdr>
            <w:top w:val="none" w:sz="0" w:space="0" w:color="auto"/>
            <w:left w:val="none" w:sz="0" w:space="0" w:color="auto"/>
            <w:bottom w:val="none" w:sz="0" w:space="0" w:color="auto"/>
            <w:right w:val="none" w:sz="0" w:space="0" w:color="auto"/>
          </w:divBdr>
        </w:div>
        <w:div w:id="581792941">
          <w:marLeft w:val="0"/>
          <w:marRight w:val="0"/>
          <w:marTop w:val="0"/>
          <w:marBottom w:val="0"/>
          <w:divBdr>
            <w:top w:val="none" w:sz="0" w:space="0" w:color="auto"/>
            <w:left w:val="none" w:sz="0" w:space="0" w:color="auto"/>
            <w:bottom w:val="none" w:sz="0" w:space="0" w:color="auto"/>
            <w:right w:val="none" w:sz="0" w:space="0" w:color="auto"/>
          </w:divBdr>
        </w:div>
        <w:div w:id="590435463">
          <w:marLeft w:val="0"/>
          <w:marRight w:val="0"/>
          <w:marTop w:val="0"/>
          <w:marBottom w:val="0"/>
          <w:divBdr>
            <w:top w:val="none" w:sz="0" w:space="0" w:color="auto"/>
            <w:left w:val="none" w:sz="0" w:space="0" w:color="auto"/>
            <w:bottom w:val="none" w:sz="0" w:space="0" w:color="auto"/>
            <w:right w:val="none" w:sz="0" w:space="0" w:color="auto"/>
          </w:divBdr>
        </w:div>
        <w:div w:id="611935081">
          <w:marLeft w:val="0"/>
          <w:marRight w:val="0"/>
          <w:marTop w:val="0"/>
          <w:marBottom w:val="0"/>
          <w:divBdr>
            <w:top w:val="none" w:sz="0" w:space="0" w:color="auto"/>
            <w:left w:val="none" w:sz="0" w:space="0" w:color="auto"/>
            <w:bottom w:val="none" w:sz="0" w:space="0" w:color="auto"/>
            <w:right w:val="none" w:sz="0" w:space="0" w:color="auto"/>
          </w:divBdr>
        </w:div>
        <w:div w:id="621301630">
          <w:marLeft w:val="0"/>
          <w:marRight w:val="0"/>
          <w:marTop w:val="0"/>
          <w:marBottom w:val="0"/>
          <w:divBdr>
            <w:top w:val="none" w:sz="0" w:space="0" w:color="auto"/>
            <w:left w:val="none" w:sz="0" w:space="0" w:color="auto"/>
            <w:bottom w:val="none" w:sz="0" w:space="0" w:color="auto"/>
            <w:right w:val="none" w:sz="0" w:space="0" w:color="auto"/>
          </w:divBdr>
        </w:div>
        <w:div w:id="625891894">
          <w:marLeft w:val="0"/>
          <w:marRight w:val="0"/>
          <w:marTop w:val="0"/>
          <w:marBottom w:val="0"/>
          <w:divBdr>
            <w:top w:val="none" w:sz="0" w:space="0" w:color="auto"/>
            <w:left w:val="none" w:sz="0" w:space="0" w:color="auto"/>
            <w:bottom w:val="none" w:sz="0" w:space="0" w:color="auto"/>
            <w:right w:val="none" w:sz="0" w:space="0" w:color="auto"/>
          </w:divBdr>
        </w:div>
        <w:div w:id="657268412">
          <w:marLeft w:val="0"/>
          <w:marRight w:val="0"/>
          <w:marTop w:val="0"/>
          <w:marBottom w:val="0"/>
          <w:divBdr>
            <w:top w:val="none" w:sz="0" w:space="0" w:color="auto"/>
            <w:left w:val="none" w:sz="0" w:space="0" w:color="auto"/>
            <w:bottom w:val="none" w:sz="0" w:space="0" w:color="auto"/>
            <w:right w:val="none" w:sz="0" w:space="0" w:color="auto"/>
          </w:divBdr>
        </w:div>
        <w:div w:id="675427361">
          <w:marLeft w:val="0"/>
          <w:marRight w:val="0"/>
          <w:marTop w:val="0"/>
          <w:marBottom w:val="0"/>
          <w:divBdr>
            <w:top w:val="none" w:sz="0" w:space="0" w:color="auto"/>
            <w:left w:val="none" w:sz="0" w:space="0" w:color="auto"/>
            <w:bottom w:val="none" w:sz="0" w:space="0" w:color="auto"/>
            <w:right w:val="none" w:sz="0" w:space="0" w:color="auto"/>
          </w:divBdr>
        </w:div>
        <w:div w:id="679165696">
          <w:marLeft w:val="0"/>
          <w:marRight w:val="0"/>
          <w:marTop w:val="0"/>
          <w:marBottom w:val="0"/>
          <w:divBdr>
            <w:top w:val="none" w:sz="0" w:space="0" w:color="auto"/>
            <w:left w:val="none" w:sz="0" w:space="0" w:color="auto"/>
            <w:bottom w:val="none" w:sz="0" w:space="0" w:color="auto"/>
            <w:right w:val="none" w:sz="0" w:space="0" w:color="auto"/>
          </w:divBdr>
        </w:div>
        <w:div w:id="683827944">
          <w:marLeft w:val="0"/>
          <w:marRight w:val="0"/>
          <w:marTop w:val="0"/>
          <w:marBottom w:val="0"/>
          <w:divBdr>
            <w:top w:val="none" w:sz="0" w:space="0" w:color="auto"/>
            <w:left w:val="none" w:sz="0" w:space="0" w:color="auto"/>
            <w:bottom w:val="none" w:sz="0" w:space="0" w:color="auto"/>
            <w:right w:val="none" w:sz="0" w:space="0" w:color="auto"/>
          </w:divBdr>
        </w:div>
        <w:div w:id="686558946">
          <w:marLeft w:val="0"/>
          <w:marRight w:val="0"/>
          <w:marTop w:val="0"/>
          <w:marBottom w:val="0"/>
          <w:divBdr>
            <w:top w:val="none" w:sz="0" w:space="0" w:color="auto"/>
            <w:left w:val="none" w:sz="0" w:space="0" w:color="auto"/>
            <w:bottom w:val="none" w:sz="0" w:space="0" w:color="auto"/>
            <w:right w:val="none" w:sz="0" w:space="0" w:color="auto"/>
          </w:divBdr>
        </w:div>
        <w:div w:id="703791547">
          <w:marLeft w:val="0"/>
          <w:marRight w:val="0"/>
          <w:marTop w:val="0"/>
          <w:marBottom w:val="0"/>
          <w:divBdr>
            <w:top w:val="none" w:sz="0" w:space="0" w:color="auto"/>
            <w:left w:val="none" w:sz="0" w:space="0" w:color="auto"/>
            <w:bottom w:val="none" w:sz="0" w:space="0" w:color="auto"/>
            <w:right w:val="none" w:sz="0" w:space="0" w:color="auto"/>
          </w:divBdr>
        </w:div>
        <w:div w:id="727191321">
          <w:marLeft w:val="0"/>
          <w:marRight w:val="0"/>
          <w:marTop w:val="0"/>
          <w:marBottom w:val="0"/>
          <w:divBdr>
            <w:top w:val="none" w:sz="0" w:space="0" w:color="auto"/>
            <w:left w:val="none" w:sz="0" w:space="0" w:color="auto"/>
            <w:bottom w:val="none" w:sz="0" w:space="0" w:color="auto"/>
            <w:right w:val="none" w:sz="0" w:space="0" w:color="auto"/>
          </w:divBdr>
        </w:div>
        <w:div w:id="729498971">
          <w:marLeft w:val="0"/>
          <w:marRight w:val="0"/>
          <w:marTop w:val="0"/>
          <w:marBottom w:val="0"/>
          <w:divBdr>
            <w:top w:val="none" w:sz="0" w:space="0" w:color="auto"/>
            <w:left w:val="none" w:sz="0" w:space="0" w:color="auto"/>
            <w:bottom w:val="none" w:sz="0" w:space="0" w:color="auto"/>
            <w:right w:val="none" w:sz="0" w:space="0" w:color="auto"/>
          </w:divBdr>
        </w:div>
        <w:div w:id="758138830">
          <w:marLeft w:val="0"/>
          <w:marRight w:val="0"/>
          <w:marTop w:val="0"/>
          <w:marBottom w:val="0"/>
          <w:divBdr>
            <w:top w:val="none" w:sz="0" w:space="0" w:color="auto"/>
            <w:left w:val="none" w:sz="0" w:space="0" w:color="auto"/>
            <w:bottom w:val="none" w:sz="0" w:space="0" w:color="auto"/>
            <w:right w:val="none" w:sz="0" w:space="0" w:color="auto"/>
          </w:divBdr>
        </w:div>
        <w:div w:id="764569360">
          <w:marLeft w:val="0"/>
          <w:marRight w:val="0"/>
          <w:marTop w:val="0"/>
          <w:marBottom w:val="0"/>
          <w:divBdr>
            <w:top w:val="none" w:sz="0" w:space="0" w:color="auto"/>
            <w:left w:val="none" w:sz="0" w:space="0" w:color="auto"/>
            <w:bottom w:val="none" w:sz="0" w:space="0" w:color="auto"/>
            <w:right w:val="none" w:sz="0" w:space="0" w:color="auto"/>
          </w:divBdr>
        </w:div>
        <w:div w:id="816652942">
          <w:marLeft w:val="0"/>
          <w:marRight w:val="0"/>
          <w:marTop w:val="0"/>
          <w:marBottom w:val="0"/>
          <w:divBdr>
            <w:top w:val="none" w:sz="0" w:space="0" w:color="auto"/>
            <w:left w:val="none" w:sz="0" w:space="0" w:color="auto"/>
            <w:bottom w:val="none" w:sz="0" w:space="0" w:color="auto"/>
            <w:right w:val="none" w:sz="0" w:space="0" w:color="auto"/>
          </w:divBdr>
        </w:div>
        <w:div w:id="858737802">
          <w:marLeft w:val="0"/>
          <w:marRight w:val="0"/>
          <w:marTop w:val="0"/>
          <w:marBottom w:val="0"/>
          <w:divBdr>
            <w:top w:val="none" w:sz="0" w:space="0" w:color="auto"/>
            <w:left w:val="none" w:sz="0" w:space="0" w:color="auto"/>
            <w:bottom w:val="none" w:sz="0" w:space="0" w:color="auto"/>
            <w:right w:val="none" w:sz="0" w:space="0" w:color="auto"/>
          </w:divBdr>
        </w:div>
        <w:div w:id="890926748">
          <w:marLeft w:val="0"/>
          <w:marRight w:val="0"/>
          <w:marTop w:val="0"/>
          <w:marBottom w:val="0"/>
          <w:divBdr>
            <w:top w:val="none" w:sz="0" w:space="0" w:color="auto"/>
            <w:left w:val="none" w:sz="0" w:space="0" w:color="auto"/>
            <w:bottom w:val="none" w:sz="0" w:space="0" w:color="auto"/>
            <w:right w:val="none" w:sz="0" w:space="0" w:color="auto"/>
          </w:divBdr>
        </w:div>
        <w:div w:id="958419013">
          <w:marLeft w:val="0"/>
          <w:marRight w:val="0"/>
          <w:marTop w:val="0"/>
          <w:marBottom w:val="0"/>
          <w:divBdr>
            <w:top w:val="none" w:sz="0" w:space="0" w:color="auto"/>
            <w:left w:val="none" w:sz="0" w:space="0" w:color="auto"/>
            <w:bottom w:val="none" w:sz="0" w:space="0" w:color="auto"/>
            <w:right w:val="none" w:sz="0" w:space="0" w:color="auto"/>
          </w:divBdr>
        </w:div>
        <w:div w:id="963534225">
          <w:marLeft w:val="0"/>
          <w:marRight w:val="0"/>
          <w:marTop w:val="0"/>
          <w:marBottom w:val="0"/>
          <w:divBdr>
            <w:top w:val="none" w:sz="0" w:space="0" w:color="auto"/>
            <w:left w:val="none" w:sz="0" w:space="0" w:color="auto"/>
            <w:bottom w:val="none" w:sz="0" w:space="0" w:color="auto"/>
            <w:right w:val="none" w:sz="0" w:space="0" w:color="auto"/>
          </w:divBdr>
        </w:div>
        <w:div w:id="1003820237">
          <w:marLeft w:val="0"/>
          <w:marRight w:val="0"/>
          <w:marTop w:val="0"/>
          <w:marBottom w:val="0"/>
          <w:divBdr>
            <w:top w:val="none" w:sz="0" w:space="0" w:color="auto"/>
            <w:left w:val="none" w:sz="0" w:space="0" w:color="auto"/>
            <w:bottom w:val="none" w:sz="0" w:space="0" w:color="auto"/>
            <w:right w:val="none" w:sz="0" w:space="0" w:color="auto"/>
          </w:divBdr>
        </w:div>
        <w:div w:id="1032926666">
          <w:marLeft w:val="0"/>
          <w:marRight w:val="0"/>
          <w:marTop w:val="0"/>
          <w:marBottom w:val="0"/>
          <w:divBdr>
            <w:top w:val="none" w:sz="0" w:space="0" w:color="auto"/>
            <w:left w:val="none" w:sz="0" w:space="0" w:color="auto"/>
            <w:bottom w:val="none" w:sz="0" w:space="0" w:color="auto"/>
            <w:right w:val="none" w:sz="0" w:space="0" w:color="auto"/>
          </w:divBdr>
        </w:div>
        <w:div w:id="1073088125">
          <w:marLeft w:val="0"/>
          <w:marRight w:val="0"/>
          <w:marTop w:val="0"/>
          <w:marBottom w:val="0"/>
          <w:divBdr>
            <w:top w:val="none" w:sz="0" w:space="0" w:color="auto"/>
            <w:left w:val="none" w:sz="0" w:space="0" w:color="auto"/>
            <w:bottom w:val="none" w:sz="0" w:space="0" w:color="auto"/>
            <w:right w:val="none" w:sz="0" w:space="0" w:color="auto"/>
          </w:divBdr>
        </w:div>
        <w:div w:id="1079329719">
          <w:marLeft w:val="0"/>
          <w:marRight w:val="0"/>
          <w:marTop w:val="0"/>
          <w:marBottom w:val="0"/>
          <w:divBdr>
            <w:top w:val="none" w:sz="0" w:space="0" w:color="auto"/>
            <w:left w:val="none" w:sz="0" w:space="0" w:color="auto"/>
            <w:bottom w:val="none" w:sz="0" w:space="0" w:color="auto"/>
            <w:right w:val="none" w:sz="0" w:space="0" w:color="auto"/>
          </w:divBdr>
        </w:div>
        <w:div w:id="1100568829">
          <w:marLeft w:val="0"/>
          <w:marRight w:val="0"/>
          <w:marTop w:val="0"/>
          <w:marBottom w:val="0"/>
          <w:divBdr>
            <w:top w:val="none" w:sz="0" w:space="0" w:color="auto"/>
            <w:left w:val="none" w:sz="0" w:space="0" w:color="auto"/>
            <w:bottom w:val="none" w:sz="0" w:space="0" w:color="auto"/>
            <w:right w:val="none" w:sz="0" w:space="0" w:color="auto"/>
          </w:divBdr>
        </w:div>
        <w:div w:id="1118717544">
          <w:marLeft w:val="0"/>
          <w:marRight w:val="0"/>
          <w:marTop w:val="0"/>
          <w:marBottom w:val="0"/>
          <w:divBdr>
            <w:top w:val="none" w:sz="0" w:space="0" w:color="auto"/>
            <w:left w:val="none" w:sz="0" w:space="0" w:color="auto"/>
            <w:bottom w:val="none" w:sz="0" w:space="0" w:color="auto"/>
            <w:right w:val="none" w:sz="0" w:space="0" w:color="auto"/>
          </w:divBdr>
        </w:div>
        <w:div w:id="1123187739">
          <w:marLeft w:val="0"/>
          <w:marRight w:val="0"/>
          <w:marTop w:val="0"/>
          <w:marBottom w:val="0"/>
          <w:divBdr>
            <w:top w:val="none" w:sz="0" w:space="0" w:color="auto"/>
            <w:left w:val="none" w:sz="0" w:space="0" w:color="auto"/>
            <w:bottom w:val="none" w:sz="0" w:space="0" w:color="auto"/>
            <w:right w:val="none" w:sz="0" w:space="0" w:color="auto"/>
          </w:divBdr>
        </w:div>
        <w:div w:id="1138229449">
          <w:marLeft w:val="0"/>
          <w:marRight w:val="0"/>
          <w:marTop w:val="0"/>
          <w:marBottom w:val="0"/>
          <w:divBdr>
            <w:top w:val="none" w:sz="0" w:space="0" w:color="auto"/>
            <w:left w:val="none" w:sz="0" w:space="0" w:color="auto"/>
            <w:bottom w:val="none" w:sz="0" w:space="0" w:color="auto"/>
            <w:right w:val="none" w:sz="0" w:space="0" w:color="auto"/>
          </w:divBdr>
        </w:div>
        <w:div w:id="1162157923">
          <w:marLeft w:val="0"/>
          <w:marRight w:val="0"/>
          <w:marTop w:val="0"/>
          <w:marBottom w:val="0"/>
          <w:divBdr>
            <w:top w:val="none" w:sz="0" w:space="0" w:color="auto"/>
            <w:left w:val="none" w:sz="0" w:space="0" w:color="auto"/>
            <w:bottom w:val="none" w:sz="0" w:space="0" w:color="auto"/>
            <w:right w:val="none" w:sz="0" w:space="0" w:color="auto"/>
          </w:divBdr>
        </w:div>
        <w:div w:id="1179154580">
          <w:marLeft w:val="0"/>
          <w:marRight w:val="0"/>
          <w:marTop w:val="0"/>
          <w:marBottom w:val="0"/>
          <w:divBdr>
            <w:top w:val="none" w:sz="0" w:space="0" w:color="auto"/>
            <w:left w:val="none" w:sz="0" w:space="0" w:color="auto"/>
            <w:bottom w:val="none" w:sz="0" w:space="0" w:color="auto"/>
            <w:right w:val="none" w:sz="0" w:space="0" w:color="auto"/>
          </w:divBdr>
        </w:div>
        <w:div w:id="1207524887">
          <w:marLeft w:val="0"/>
          <w:marRight w:val="0"/>
          <w:marTop w:val="0"/>
          <w:marBottom w:val="0"/>
          <w:divBdr>
            <w:top w:val="none" w:sz="0" w:space="0" w:color="auto"/>
            <w:left w:val="none" w:sz="0" w:space="0" w:color="auto"/>
            <w:bottom w:val="none" w:sz="0" w:space="0" w:color="auto"/>
            <w:right w:val="none" w:sz="0" w:space="0" w:color="auto"/>
          </w:divBdr>
        </w:div>
        <w:div w:id="1233152091">
          <w:marLeft w:val="0"/>
          <w:marRight w:val="0"/>
          <w:marTop w:val="0"/>
          <w:marBottom w:val="0"/>
          <w:divBdr>
            <w:top w:val="none" w:sz="0" w:space="0" w:color="auto"/>
            <w:left w:val="none" w:sz="0" w:space="0" w:color="auto"/>
            <w:bottom w:val="none" w:sz="0" w:space="0" w:color="auto"/>
            <w:right w:val="none" w:sz="0" w:space="0" w:color="auto"/>
          </w:divBdr>
        </w:div>
        <w:div w:id="1236358959">
          <w:marLeft w:val="0"/>
          <w:marRight w:val="0"/>
          <w:marTop w:val="0"/>
          <w:marBottom w:val="0"/>
          <w:divBdr>
            <w:top w:val="none" w:sz="0" w:space="0" w:color="auto"/>
            <w:left w:val="none" w:sz="0" w:space="0" w:color="auto"/>
            <w:bottom w:val="none" w:sz="0" w:space="0" w:color="auto"/>
            <w:right w:val="none" w:sz="0" w:space="0" w:color="auto"/>
          </w:divBdr>
        </w:div>
        <w:div w:id="1269657957">
          <w:marLeft w:val="0"/>
          <w:marRight w:val="0"/>
          <w:marTop w:val="0"/>
          <w:marBottom w:val="0"/>
          <w:divBdr>
            <w:top w:val="none" w:sz="0" w:space="0" w:color="auto"/>
            <w:left w:val="none" w:sz="0" w:space="0" w:color="auto"/>
            <w:bottom w:val="none" w:sz="0" w:space="0" w:color="auto"/>
            <w:right w:val="none" w:sz="0" w:space="0" w:color="auto"/>
          </w:divBdr>
        </w:div>
        <w:div w:id="1269894622">
          <w:marLeft w:val="0"/>
          <w:marRight w:val="0"/>
          <w:marTop w:val="0"/>
          <w:marBottom w:val="0"/>
          <w:divBdr>
            <w:top w:val="none" w:sz="0" w:space="0" w:color="auto"/>
            <w:left w:val="none" w:sz="0" w:space="0" w:color="auto"/>
            <w:bottom w:val="none" w:sz="0" w:space="0" w:color="auto"/>
            <w:right w:val="none" w:sz="0" w:space="0" w:color="auto"/>
          </w:divBdr>
        </w:div>
        <w:div w:id="1273511243">
          <w:marLeft w:val="0"/>
          <w:marRight w:val="0"/>
          <w:marTop w:val="0"/>
          <w:marBottom w:val="0"/>
          <w:divBdr>
            <w:top w:val="none" w:sz="0" w:space="0" w:color="auto"/>
            <w:left w:val="none" w:sz="0" w:space="0" w:color="auto"/>
            <w:bottom w:val="none" w:sz="0" w:space="0" w:color="auto"/>
            <w:right w:val="none" w:sz="0" w:space="0" w:color="auto"/>
          </w:divBdr>
        </w:div>
        <w:div w:id="1287275110">
          <w:marLeft w:val="0"/>
          <w:marRight w:val="0"/>
          <w:marTop w:val="0"/>
          <w:marBottom w:val="0"/>
          <w:divBdr>
            <w:top w:val="none" w:sz="0" w:space="0" w:color="auto"/>
            <w:left w:val="none" w:sz="0" w:space="0" w:color="auto"/>
            <w:bottom w:val="none" w:sz="0" w:space="0" w:color="auto"/>
            <w:right w:val="none" w:sz="0" w:space="0" w:color="auto"/>
          </w:divBdr>
        </w:div>
        <w:div w:id="1317219264">
          <w:marLeft w:val="0"/>
          <w:marRight w:val="0"/>
          <w:marTop w:val="0"/>
          <w:marBottom w:val="0"/>
          <w:divBdr>
            <w:top w:val="none" w:sz="0" w:space="0" w:color="auto"/>
            <w:left w:val="none" w:sz="0" w:space="0" w:color="auto"/>
            <w:bottom w:val="none" w:sz="0" w:space="0" w:color="auto"/>
            <w:right w:val="none" w:sz="0" w:space="0" w:color="auto"/>
          </w:divBdr>
        </w:div>
        <w:div w:id="1350137656">
          <w:marLeft w:val="0"/>
          <w:marRight w:val="0"/>
          <w:marTop w:val="0"/>
          <w:marBottom w:val="0"/>
          <w:divBdr>
            <w:top w:val="none" w:sz="0" w:space="0" w:color="auto"/>
            <w:left w:val="none" w:sz="0" w:space="0" w:color="auto"/>
            <w:bottom w:val="none" w:sz="0" w:space="0" w:color="auto"/>
            <w:right w:val="none" w:sz="0" w:space="0" w:color="auto"/>
          </w:divBdr>
        </w:div>
        <w:div w:id="1352683806">
          <w:marLeft w:val="0"/>
          <w:marRight w:val="0"/>
          <w:marTop w:val="0"/>
          <w:marBottom w:val="0"/>
          <w:divBdr>
            <w:top w:val="none" w:sz="0" w:space="0" w:color="auto"/>
            <w:left w:val="none" w:sz="0" w:space="0" w:color="auto"/>
            <w:bottom w:val="none" w:sz="0" w:space="0" w:color="auto"/>
            <w:right w:val="none" w:sz="0" w:space="0" w:color="auto"/>
          </w:divBdr>
        </w:div>
        <w:div w:id="1355696057">
          <w:marLeft w:val="0"/>
          <w:marRight w:val="0"/>
          <w:marTop w:val="0"/>
          <w:marBottom w:val="0"/>
          <w:divBdr>
            <w:top w:val="none" w:sz="0" w:space="0" w:color="auto"/>
            <w:left w:val="none" w:sz="0" w:space="0" w:color="auto"/>
            <w:bottom w:val="none" w:sz="0" w:space="0" w:color="auto"/>
            <w:right w:val="none" w:sz="0" w:space="0" w:color="auto"/>
          </w:divBdr>
        </w:div>
        <w:div w:id="1439523014">
          <w:marLeft w:val="0"/>
          <w:marRight w:val="0"/>
          <w:marTop w:val="0"/>
          <w:marBottom w:val="0"/>
          <w:divBdr>
            <w:top w:val="none" w:sz="0" w:space="0" w:color="auto"/>
            <w:left w:val="none" w:sz="0" w:space="0" w:color="auto"/>
            <w:bottom w:val="none" w:sz="0" w:space="0" w:color="auto"/>
            <w:right w:val="none" w:sz="0" w:space="0" w:color="auto"/>
          </w:divBdr>
        </w:div>
        <w:div w:id="1486504721">
          <w:marLeft w:val="0"/>
          <w:marRight w:val="0"/>
          <w:marTop w:val="0"/>
          <w:marBottom w:val="0"/>
          <w:divBdr>
            <w:top w:val="none" w:sz="0" w:space="0" w:color="auto"/>
            <w:left w:val="none" w:sz="0" w:space="0" w:color="auto"/>
            <w:bottom w:val="none" w:sz="0" w:space="0" w:color="auto"/>
            <w:right w:val="none" w:sz="0" w:space="0" w:color="auto"/>
          </w:divBdr>
        </w:div>
        <w:div w:id="1488478655">
          <w:marLeft w:val="0"/>
          <w:marRight w:val="0"/>
          <w:marTop w:val="0"/>
          <w:marBottom w:val="0"/>
          <w:divBdr>
            <w:top w:val="none" w:sz="0" w:space="0" w:color="auto"/>
            <w:left w:val="none" w:sz="0" w:space="0" w:color="auto"/>
            <w:bottom w:val="none" w:sz="0" w:space="0" w:color="auto"/>
            <w:right w:val="none" w:sz="0" w:space="0" w:color="auto"/>
          </w:divBdr>
        </w:div>
        <w:div w:id="1512141023">
          <w:marLeft w:val="0"/>
          <w:marRight w:val="0"/>
          <w:marTop w:val="0"/>
          <w:marBottom w:val="0"/>
          <w:divBdr>
            <w:top w:val="none" w:sz="0" w:space="0" w:color="auto"/>
            <w:left w:val="none" w:sz="0" w:space="0" w:color="auto"/>
            <w:bottom w:val="none" w:sz="0" w:space="0" w:color="auto"/>
            <w:right w:val="none" w:sz="0" w:space="0" w:color="auto"/>
          </w:divBdr>
        </w:div>
        <w:div w:id="1513375053">
          <w:marLeft w:val="0"/>
          <w:marRight w:val="0"/>
          <w:marTop w:val="0"/>
          <w:marBottom w:val="0"/>
          <w:divBdr>
            <w:top w:val="none" w:sz="0" w:space="0" w:color="auto"/>
            <w:left w:val="none" w:sz="0" w:space="0" w:color="auto"/>
            <w:bottom w:val="none" w:sz="0" w:space="0" w:color="auto"/>
            <w:right w:val="none" w:sz="0" w:space="0" w:color="auto"/>
          </w:divBdr>
        </w:div>
        <w:div w:id="1515193675">
          <w:marLeft w:val="0"/>
          <w:marRight w:val="0"/>
          <w:marTop w:val="0"/>
          <w:marBottom w:val="0"/>
          <w:divBdr>
            <w:top w:val="none" w:sz="0" w:space="0" w:color="auto"/>
            <w:left w:val="none" w:sz="0" w:space="0" w:color="auto"/>
            <w:bottom w:val="none" w:sz="0" w:space="0" w:color="auto"/>
            <w:right w:val="none" w:sz="0" w:space="0" w:color="auto"/>
          </w:divBdr>
        </w:div>
        <w:div w:id="1534541715">
          <w:marLeft w:val="0"/>
          <w:marRight w:val="0"/>
          <w:marTop w:val="0"/>
          <w:marBottom w:val="0"/>
          <w:divBdr>
            <w:top w:val="none" w:sz="0" w:space="0" w:color="auto"/>
            <w:left w:val="none" w:sz="0" w:space="0" w:color="auto"/>
            <w:bottom w:val="none" w:sz="0" w:space="0" w:color="auto"/>
            <w:right w:val="none" w:sz="0" w:space="0" w:color="auto"/>
          </w:divBdr>
        </w:div>
        <w:div w:id="1543859289">
          <w:marLeft w:val="0"/>
          <w:marRight w:val="0"/>
          <w:marTop w:val="0"/>
          <w:marBottom w:val="0"/>
          <w:divBdr>
            <w:top w:val="none" w:sz="0" w:space="0" w:color="auto"/>
            <w:left w:val="none" w:sz="0" w:space="0" w:color="auto"/>
            <w:bottom w:val="none" w:sz="0" w:space="0" w:color="auto"/>
            <w:right w:val="none" w:sz="0" w:space="0" w:color="auto"/>
          </w:divBdr>
        </w:div>
        <w:div w:id="1612126399">
          <w:marLeft w:val="0"/>
          <w:marRight w:val="0"/>
          <w:marTop w:val="0"/>
          <w:marBottom w:val="0"/>
          <w:divBdr>
            <w:top w:val="none" w:sz="0" w:space="0" w:color="auto"/>
            <w:left w:val="none" w:sz="0" w:space="0" w:color="auto"/>
            <w:bottom w:val="none" w:sz="0" w:space="0" w:color="auto"/>
            <w:right w:val="none" w:sz="0" w:space="0" w:color="auto"/>
          </w:divBdr>
        </w:div>
        <w:div w:id="1621957353">
          <w:marLeft w:val="0"/>
          <w:marRight w:val="0"/>
          <w:marTop w:val="0"/>
          <w:marBottom w:val="0"/>
          <w:divBdr>
            <w:top w:val="none" w:sz="0" w:space="0" w:color="auto"/>
            <w:left w:val="none" w:sz="0" w:space="0" w:color="auto"/>
            <w:bottom w:val="none" w:sz="0" w:space="0" w:color="auto"/>
            <w:right w:val="none" w:sz="0" w:space="0" w:color="auto"/>
          </w:divBdr>
        </w:div>
        <w:div w:id="1640837137">
          <w:marLeft w:val="0"/>
          <w:marRight w:val="0"/>
          <w:marTop w:val="0"/>
          <w:marBottom w:val="0"/>
          <w:divBdr>
            <w:top w:val="none" w:sz="0" w:space="0" w:color="auto"/>
            <w:left w:val="none" w:sz="0" w:space="0" w:color="auto"/>
            <w:bottom w:val="none" w:sz="0" w:space="0" w:color="auto"/>
            <w:right w:val="none" w:sz="0" w:space="0" w:color="auto"/>
          </w:divBdr>
        </w:div>
        <w:div w:id="1661419010">
          <w:marLeft w:val="0"/>
          <w:marRight w:val="0"/>
          <w:marTop w:val="0"/>
          <w:marBottom w:val="0"/>
          <w:divBdr>
            <w:top w:val="none" w:sz="0" w:space="0" w:color="auto"/>
            <w:left w:val="none" w:sz="0" w:space="0" w:color="auto"/>
            <w:bottom w:val="none" w:sz="0" w:space="0" w:color="auto"/>
            <w:right w:val="none" w:sz="0" w:space="0" w:color="auto"/>
          </w:divBdr>
        </w:div>
        <w:div w:id="1679654730">
          <w:marLeft w:val="0"/>
          <w:marRight w:val="0"/>
          <w:marTop w:val="0"/>
          <w:marBottom w:val="0"/>
          <w:divBdr>
            <w:top w:val="none" w:sz="0" w:space="0" w:color="auto"/>
            <w:left w:val="none" w:sz="0" w:space="0" w:color="auto"/>
            <w:bottom w:val="none" w:sz="0" w:space="0" w:color="auto"/>
            <w:right w:val="none" w:sz="0" w:space="0" w:color="auto"/>
          </w:divBdr>
        </w:div>
        <w:div w:id="1685477959">
          <w:marLeft w:val="0"/>
          <w:marRight w:val="0"/>
          <w:marTop w:val="0"/>
          <w:marBottom w:val="0"/>
          <w:divBdr>
            <w:top w:val="none" w:sz="0" w:space="0" w:color="auto"/>
            <w:left w:val="none" w:sz="0" w:space="0" w:color="auto"/>
            <w:bottom w:val="none" w:sz="0" w:space="0" w:color="auto"/>
            <w:right w:val="none" w:sz="0" w:space="0" w:color="auto"/>
          </w:divBdr>
        </w:div>
        <w:div w:id="1697194693">
          <w:marLeft w:val="0"/>
          <w:marRight w:val="0"/>
          <w:marTop w:val="0"/>
          <w:marBottom w:val="0"/>
          <w:divBdr>
            <w:top w:val="none" w:sz="0" w:space="0" w:color="auto"/>
            <w:left w:val="none" w:sz="0" w:space="0" w:color="auto"/>
            <w:bottom w:val="none" w:sz="0" w:space="0" w:color="auto"/>
            <w:right w:val="none" w:sz="0" w:space="0" w:color="auto"/>
          </w:divBdr>
        </w:div>
        <w:div w:id="1718161901">
          <w:marLeft w:val="0"/>
          <w:marRight w:val="0"/>
          <w:marTop w:val="0"/>
          <w:marBottom w:val="0"/>
          <w:divBdr>
            <w:top w:val="none" w:sz="0" w:space="0" w:color="auto"/>
            <w:left w:val="none" w:sz="0" w:space="0" w:color="auto"/>
            <w:bottom w:val="none" w:sz="0" w:space="0" w:color="auto"/>
            <w:right w:val="none" w:sz="0" w:space="0" w:color="auto"/>
          </w:divBdr>
        </w:div>
        <w:div w:id="1719623921">
          <w:marLeft w:val="0"/>
          <w:marRight w:val="0"/>
          <w:marTop w:val="0"/>
          <w:marBottom w:val="0"/>
          <w:divBdr>
            <w:top w:val="none" w:sz="0" w:space="0" w:color="auto"/>
            <w:left w:val="none" w:sz="0" w:space="0" w:color="auto"/>
            <w:bottom w:val="none" w:sz="0" w:space="0" w:color="auto"/>
            <w:right w:val="none" w:sz="0" w:space="0" w:color="auto"/>
          </w:divBdr>
        </w:div>
        <w:div w:id="1753619210">
          <w:marLeft w:val="0"/>
          <w:marRight w:val="0"/>
          <w:marTop w:val="0"/>
          <w:marBottom w:val="0"/>
          <w:divBdr>
            <w:top w:val="none" w:sz="0" w:space="0" w:color="auto"/>
            <w:left w:val="none" w:sz="0" w:space="0" w:color="auto"/>
            <w:bottom w:val="none" w:sz="0" w:space="0" w:color="auto"/>
            <w:right w:val="none" w:sz="0" w:space="0" w:color="auto"/>
          </w:divBdr>
        </w:div>
        <w:div w:id="1799293760">
          <w:marLeft w:val="0"/>
          <w:marRight w:val="0"/>
          <w:marTop w:val="0"/>
          <w:marBottom w:val="0"/>
          <w:divBdr>
            <w:top w:val="none" w:sz="0" w:space="0" w:color="auto"/>
            <w:left w:val="none" w:sz="0" w:space="0" w:color="auto"/>
            <w:bottom w:val="none" w:sz="0" w:space="0" w:color="auto"/>
            <w:right w:val="none" w:sz="0" w:space="0" w:color="auto"/>
          </w:divBdr>
        </w:div>
        <w:div w:id="1821850238">
          <w:marLeft w:val="0"/>
          <w:marRight w:val="0"/>
          <w:marTop w:val="0"/>
          <w:marBottom w:val="0"/>
          <w:divBdr>
            <w:top w:val="none" w:sz="0" w:space="0" w:color="auto"/>
            <w:left w:val="none" w:sz="0" w:space="0" w:color="auto"/>
            <w:bottom w:val="none" w:sz="0" w:space="0" w:color="auto"/>
            <w:right w:val="none" w:sz="0" w:space="0" w:color="auto"/>
          </w:divBdr>
        </w:div>
        <w:div w:id="1835223752">
          <w:marLeft w:val="0"/>
          <w:marRight w:val="0"/>
          <w:marTop w:val="0"/>
          <w:marBottom w:val="0"/>
          <w:divBdr>
            <w:top w:val="none" w:sz="0" w:space="0" w:color="auto"/>
            <w:left w:val="none" w:sz="0" w:space="0" w:color="auto"/>
            <w:bottom w:val="none" w:sz="0" w:space="0" w:color="auto"/>
            <w:right w:val="none" w:sz="0" w:space="0" w:color="auto"/>
          </w:divBdr>
        </w:div>
        <w:div w:id="1840844480">
          <w:marLeft w:val="0"/>
          <w:marRight w:val="0"/>
          <w:marTop w:val="0"/>
          <w:marBottom w:val="0"/>
          <w:divBdr>
            <w:top w:val="none" w:sz="0" w:space="0" w:color="auto"/>
            <w:left w:val="none" w:sz="0" w:space="0" w:color="auto"/>
            <w:bottom w:val="none" w:sz="0" w:space="0" w:color="auto"/>
            <w:right w:val="none" w:sz="0" w:space="0" w:color="auto"/>
          </w:divBdr>
        </w:div>
        <w:div w:id="1859733466">
          <w:marLeft w:val="0"/>
          <w:marRight w:val="0"/>
          <w:marTop w:val="0"/>
          <w:marBottom w:val="0"/>
          <w:divBdr>
            <w:top w:val="none" w:sz="0" w:space="0" w:color="auto"/>
            <w:left w:val="none" w:sz="0" w:space="0" w:color="auto"/>
            <w:bottom w:val="none" w:sz="0" w:space="0" w:color="auto"/>
            <w:right w:val="none" w:sz="0" w:space="0" w:color="auto"/>
          </w:divBdr>
        </w:div>
        <w:div w:id="1871647583">
          <w:marLeft w:val="0"/>
          <w:marRight w:val="0"/>
          <w:marTop w:val="0"/>
          <w:marBottom w:val="0"/>
          <w:divBdr>
            <w:top w:val="none" w:sz="0" w:space="0" w:color="auto"/>
            <w:left w:val="none" w:sz="0" w:space="0" w:color="auto"/>
            <w:bottom w:val="none" w:sz="0" w:space="0" w:color="auto"/>
            <w:right w:val="none" w:sz="0" w:space="0" w:color="auto"/>
          </w:divBdr>
        </w:div>
        <w:div w:id="1902250235">
          <w:marLeft w:val="0"/>
          <w:marRight w:val="0"/>
          <w:marTop w:val="0"/>
          <w:marBottom w:val="0"/>
          <w:divBdr>
            <w:top w:val="none" w:sz="0" w:space="0" w:color="auto"/>
            <w:left w:val="none" w:sz="0" w:space="0" w:color="auto"/>
            <w:bottom w:val="none" w:sz="0" w:space="0" w:color="auto"/>
            <w:right w:val="none" w:sz="0" w:space="0" w:color="auto"/>
          </w:divBdr>
        </w:div>
        <w:div w:id="1903714621">
          <w:marLeft w:val="0"/>
          <w:marRight w:val="0"/>
          <w:marTop w:val="0"/>
          <w:marBottom w:val="0"/>
          <w:divBdr>
            <w:top w:val="none" w:sz="0" w:space="0" w:color="auto"/>
            <w:left w:val="none" w:sz="0" w:space="0" w:color="auto"/>
            <w:bottom w:val="none" w:sz="0" w:space="0" w:color="auto"/>
            <w:right w:val="none" w:sz="0" w:space="0" w:color="auto"/>
          </w:divBdr>
        </w:div>
        <w:div w:id="1912696599">
          <w:marLeft w:val="0"/>
          <w:marRight w:val="0"/>
          <w:marTop w:val="0"/>
          <w:marBottom w:val="0"/>
          <w:divBdr>
            <w:top w:val="none" w:sz="0" w:space="0" w:color="auto"/>
            <w:left w:val="none" w:sz="0" w:space="0" w:color="auto"/>
            <w:bottom w:val="none" w:sz="0" w:space="0" w:color="auto"/>
            <w:right w:val="none" w:sz="0" w:space="0" w:color="auto"/>
          </w:divBdr>
        </w:div>
        <w:div w:id="1936396600">
          <w:marLeft w:val="0"/>
          <w:marRight w:val="0"/>
          <w:marTop w:val="0"/>
          <w:marBottom w:val="0"/>
          <w:divBdr>
            <w:top w:val="none" w:sz="0" w:space="0" w:color="auto"/>
            <w:left w:val="none" w:sz="0" w:space="0" w:color="auto"/>
            <w:bottom w:val="none" w:sz="0" w:space="0" w:color="auto"/>
            <w:right w:val="none" w:sz="0" w:space="0" w:color="auto"/>
          </w:divBdr>
        </w:div>
        <w:div w:id="1942906582">
          <w:marLeft w:val="0"/>
          <w:marRight w:val="0"/>
          <w:marTop w:val="0"/>
          <w:marBottom w:val="0"/>
          <w:divBdr>
            <w:top w:val="none" w:sz="0" w:space="0" w:color="auto"/>
            <w:left w:val="none" w:sz="0" w:space="0" w:color="auto"/>
            <w:bottom w:val="none" w:sz="0" w:space="0" w:color="auto"/>
            <w:right w:val="none" w:sz="0" w:space="0" w:color="auto"/>
          </w:divBdr>
        </w:div>
        <w:div w:id="1968852174">
          <w:marLeft w:val="0"/>
          <w:marRight w:val="0"/>
          <w:marTop w:val="0"/>
          <w:marBottom w:val="0"/>
          <w:divBdr>
            <w:top w:val="none" w:sz="0" w:space="0" w:color="auto"/>
            <w:left w:val="none" w:sz="0" w:space="0" w:color="auto"/>
            <w:bottom w:val="none" w:sz="0" w:space="0" w:color="auto"/>
            <w:right w:val="none" w:sz="0" w:space="0" w:color="auto"/>
          </w:divBdr>
        </w:div>
        <w:div w:id="1968970419">
          <w:marLeft w:val="0"/>
          <w:marRight w:val="0"/>
          <w:marTop w:val="0"/>
          <w:marBottom w:val="0"/>
          <w:divBdr>
            <w:top w:val="none" w:sz="0" w:space="0" w:color="auto"/>
            <w:left w:val="none" w:sz="0" w:space="0" w:color="auto"/>
            <w:bottom w:val="none" w:sz="0" w:space="0" w:color="auto"/>
            <w:right w:val="none" w:sz="0" w:space="0" w:color="auto"/>
          </w:divBdr>
        </w:div>
        <w:div w:id="2037189351">
          <w:marLeft w:val="0"/>
          <w:marRight w:val="0"/>
          <w:marTop w:val="0"/>
          <w:marBottom w:val="0"/>
          <w:divBdr>
            <w:top w:val="none" w:sz="0" w:space="0" w:color="auto"/>
            <w:left w:val="none" w:sz="0" w:space="0" w:color="auto"/>
            <w:bottom w:val="none" w:sz="0" w:space="0" w:color="auto"/>
            <w:right w:val="none" w:sz="0" w:space="0" w:color="auto"/>
          </w:divBdr>
        </w:div>
        <w:div w:id="2080974459">
          <w:marLeft w:val="0"/>
          <w:marRight w:val="0"/>
          <w:marTop w:val="0"/>
          <w:marBottom w:val="0"/>
          <w:divBdr>
            <w:top w:val="none" w:sz="0" w:space="0" w:color="auto"/>
            <w:left w:val="none" w:sz="0" w:space="0" w:color="auto"/>
            <w:bottom w:val="none" w:sz="0" w:space="0" w:color="auto"/>
            <w:right w:val="none" w:sz="0" w:space="0" w:color="auto"/>
          </w:divBdr>
        </w:div>
        <w:div w:id="2083092084">
          <w:marLeft w:val="0"/>
          <w:marRight w:val="0"/>
          <w:marTop w:val="0"/>
          <w:marBottom w:val="0"/>
          <w:divBdr>
            <w:top w:val="none" w:sz="0" w:space="0" w:color="auto"/>
            <w:left w:val="none" w:sz="0" w:space="0" w:color="auto"/>
            <w:bottom w:val="none" w:sz="0" w:space="0" w:color="auto"/>
            <w:right w:val="none" w:sz="0" w:space="0" w:color="auto"/>
          </w:divBdr>
        </w:div>
        <w:div w:id="2087144693">
          <w:marLeft w:val="0"/>
          <w:marRight w:val="0"/>
          <w:marTop w:val="0"/>
          <w:marBottom w:val="0"/>
          <w:divBdr>
            <w:top w:val="none" w:sz="0" w:space="0" w:color="auto"/>
            <w:left w:val="none" w:sz="0" w:space="0" w:color="auto"/>
            <w:bottom w:val="none" w:sz="0" w:space="0" w:color="auto"/>
            <w:right w:val="none" w:sz="0" w:space="0" w:color="auto"/>
          </w:divBdr>
        </w:div>
        <w:div w:id="2098476685">
          <w:marLeft w:val="0"/>
          <w:marRight w:val="0"/>
          <w:marTop w:val="0"/>
          <w:marBottom w:val="0"/>
          <w:divBdr>
            <w:top w:val="none" w:sz="0" w:space="0" w:color="auto"/>
            <w:left w:val="none" w:sz="0" w:space="0" w:color="auto"/>
            <w:bottom w:val="none" w:sz="0" w:space="0" w:color="auto"/>
            <w:right w:val="none" w:sz="0" w:space="0" w:color="auto"/>
          </w:divBdr>
        </w:div>
        <w:div w:id="2101367051">
          <w:marLeft w:val="0"/>
          <w:marRight w:val="0"/>
          <w:marTop w:val="0"/>
          <w:marBottom w:val="0"/>
          <w:divBdr>
            <w:top w:val="none" w:sz="0" w:space="0" w:color="auto"/>
            <w:left w:val="none" w:sz="0" w:space="0" w:color="auto"/>
            <w:bottom w:val="none" w:sz="0" w:space="0" w:color="auto"/>
            <w:right w:val="none" w:sz="0" w:space="0" w:color="auto"/>
          </w:divBdr>
        </w:div>
        <w:div w:id="2117674253">
          <w:marLeft w:val="0"/>
          <w:marRight w:val="0"/>
          <w:marTop w:val="0"/>
          <w:marBottom w:val="0"/>
          <w:divBdr>
            <w:top w:val="none" w:sz="0" w:space="0" w:color="auto"/>
            <w:left w:val="none" w:sz="0" w:space="0" w:color="auto"/>
            <w:bottom w:val="none" w:sz="0" w:space="0" w:color="auto"/>
            <w:right w:val="none" w:sz="0" w:space="0" w:color="auto"/>
          </w:divBdr>
        </w:div>
        <w:div w:id="2139881653">
          <w:marLeft w:val="0"/>
          <w:marRight w:val="0"/>
          <w:marTop w:val="0"/>
          <w:marBottom w:val="0"/>
          <w:divBdr>
            <w:top w:val="none" w:sz="0" w:space="0" w:color="auto"/>
            <w:left w:val="none" w:sz="0" w:space="0" w:color="auto"/>
            <w:bottom w:val="none" w:sz="0" w:space="0" w:color="auto"/>
            <w:right w:val="none" w:sz="0" w:space="0" w:color="auto"/>
          </w:divBdr>
        </w:div>
        <w:div w:id="2146191638">
          <w:marLeft w:val="0"/>
          <w:marRight w:val="0"/>
          <w:marTop w:val="0"/>
          <w:marBottom w:val="0"/>
          <w:divBdr>
            <w:top w:val="none" w:sz="0" w:space="0" w:color="auto"/>
            <w:left w:val="none" w:sz="0" w:space="0" w:color="auto"/>
            <w:bottom w:val="none" w:sz="0" w:space="0" w:color="auto"/>
            <w:right w:val="none" w:sz="0" w:space="0" w:color="auto"/>
          </w:divBdr>
        </w:div>
      </w:divsChild>
    </w:div>
    <w:div w:id="1815372825">
      <w:bodyDiv w:val="1"/>
      <w:marLeft w:val="0"/>
      <w:marRight w:val="0"/>
      <w:marTop w:val="0"/>
      <w:marBottom w:val="0"/>
      <w:divBdr>
        <w:top w:val="none" w:sz="0" w:space="0" w:color="auto"/>
        <w:left w:val="none" w:sz="0" w:space="0" w:color="auto"/>
        <w:bottom w:val="none" w:sz="0" w:space="0" w:color="auto"/>
        <w:right w:val="none" w:sz="0" w:space="0" w:color="auto"/>
      </w:divBdr>
    </w:div>
    <w:div w:id="1837762913">
      <w:bodyDiv w:val="1"/>
      <w:marLeft w:val="0"/>
      <w:marRight w:val="0"/>
      <w:marTop w:val="0"/>
      <w:marBottom w:val="0"/>
      <w:divBdr>
        <w:top w:val="none" w:sz="0" w:space="0" w:color="auto"/>
        <w:left w:val="none" w:sz="0" w:space="0" w:color="auto"/>
        <w:bottom w:val="none" w:sz="0" w:space="0" w:color="auto"/>
        <w:right w:val="none" w:sz="0" w:space="0" w:color="auto"/>
      </w:divBdr>
    </w:div>
    <w:div w:id="1849708527">
      <w:bodyDiv w:val="1"/>
      <w:marLeft w:val="0"/>
      <w:marRight w:val="0"/>
      <w:marTop w:val="0"/>
      <w:marBottom w:val="0"/>
      <w:divBdr>
        <w:top w:val="none" w:sz="0" w:space="0" w:color="auto"/>
        <w:left w:val="none" w:sz="0" w:space="0" w:color="auto"/>
        <w:bottom w:val="none" w:sz="0" w:space="0" w:color="auto"/>
        <w:right w:val="none" w:sz="0" w:space="0" w:color="auto"/>
      </w:divBdr>
      <w:divsChild>
        <w:div w:id="49883702">
          <w:marLeft w:val="0"/>
          <w:marRight w:val="0"/>
          <w:marTop w:val="0"/>
          <w:marBottom w:val="0"/>
          <w:divBdr>
            <w:top w:val="none" w:sz="0" w:space="0" w:color="auto"/>
            <w:left w:val="none" w:sz="0" w:space="0" w:color="auto"/>
            <w:bottom w:val="none" w:sz="0" w:space="0" w:color="auto"/>
            <w:right w:val="none" w:sz="0" w:space="0" w:color="auto"/>
          </w:divBdr>
        </w:div>
        <w:div w:id="424959022">
          <w:marLeft w:val="0"/>
          <w:marRight w:val="0"/>
          <w:marTop w:val="0"/>
          <w:marBottom w:val="0"/>
          <w:divBdr>
            <w:top w:val="none" w:sz="0" w:space="0" w:color="auto"/>
            <w:left w:val="none" w:sz="0" w:space="0" w:color="auto"/>
            <w:bottom w:val="none" w:sz="0" w:space="0" w:color="auto"/>
            <w:right w:val="none" w:sz="0" w:space="0" w:color="auto"/>
          </w:divBdr>
        </w:div>
        <w:div w:id="494300611">
          <w:marLeft w:val="0"/>
          <w:marRight w:val="0"/>
          <w:marTop w:val="0"/>
          <w:marBottom w:val="0"/>
          <w:divBdr>
            <w:top w:val="none" w:sz="0" w:space="0" w:color="auto"/>
            <w:left w:val="none" w:sz="0" w:space="0" w:color="auto"/>
            <w:bottom w:val="none" w:sz="0" w:space="0" w:color="auto"/>
            <w:right w:val="none" w:sz="0" w:space="0" w:color="auto"/>
          </w:divBdr>
        </w:div>
        <w:div w:id="576135359">
          <w:marLeft w:val="0"/>
          <w:marRight w:val="0"/>
          <w:marTop w:val="0"/>
          <w:marBottom w:val="0"/>
          <w:divBdr>
            <w:top w:val="none" w:sz="0" w:space="0" w:color="auto"/>
            <w:left w:val="none" w:sz="0" w:space="0" w:color="auto"/>
            <w:bottom w:val="none" w:sz="0" w:space="0" w:color="auto"/>
            <w:right w:val="none" w:sz="0" w:space="0" w:color="auto"/>
          </w:divBdr>
        </w:div>
        <w:div w:id="1058818896">
          <w:marLeft w:val="0"/>
          <w:marRight w:val="0"/>
          <w:marTop w:val="0"/>
          <w:marBottom w:val="0"/>
          <w:divBdr>
            <w:top w:val="none" w:sz="0" w:space="0" w:color="auto"/>
            <w:left w:val="none" w:sz="0" w:space="0" w:color="auto"/>
            <w:bottom w:val="none" w:sz="0" w:space="0" w:color="auto"/>
            <w:right w:val="none" w:sz="0" w:space="0" w:color="auto"/>
          </w:divBdr>
        </w:div>
        <w:div w:id="1286307258">
          <w:marLeft w:val="0"/>
          <w:marRight w:val="0"/>
          <w:marTop w:val="0"/>
          <w:marBottom w:val="0"/>
          <w:divBdr>
            <w:top w:val="none" w:sz="0" w:space="0" w:color="auto"/>
            <w:left w:val="none" w:sz="0" w:space="0" w:color="auto"/>
            <w:bottom w:val="none" w:sz="0" w:space="0" w:color="auto"/>
            <w:right w:val="none" w:sz="0" w:space="0" w:color="auto"/>
          </w:divBdr>
        </w:div>
        <w:div w:id="1594893458">
          <w:marLeft w:val="0"/>
          <w:marRight w:val="0"/>
          <w:marTop w:val="0"/>
          <w:marBottom w:val="0"/>
          <w:divBdr>
            <w:top w:val="none" w:sz="0" w:space="0" w:color="auto"/>
            <w:left w:val="none" w:sz="0" w:space="0" w:color="auto"/>
            <w:bottom w:val="none" w:sz="0" w:space="0" w:color="auto"/>
            <w:right w:val="none" w:sz="0" w:space="0" w:color="auto"/>
          </w:divBdr>
        </w:div>
        <w:div w:id="1749645597">
          <w:marLeft w:val="0"/>
          <w:marRight w:val="0"/>
          <w:marTop w:val="0"/>
          <w:marBottom w:val="0"/>
          <w:divBdr>
            <w:top w:val="none" w:sz="0" w:space="0" w:color="auto"/>
            <w:left w:val="none" w:sz="0" w:space="0" w:color="auto"/>
            <w:bottom w:val="none" w:sz="0" w:space="0" w:color="auto"/>
            <w:right w:val="none" w:sz="0" w:space="0" w:color="auto"/>
          </w:divBdr>
        </w:div>
        <w:div w:id="1750930529">
          <w:marLeft w:val="0"/>
          <w:marRight w:val="0"/>
          <w:marTop w:val="0"/>
          <w:marBottom w:val="0"/>
          <w:divBdr>
            <w:top w:val="none" w:sz="0" w:space="0" w:color="auto"/>
            <w:left w:val="none" w:sz="0" w:space="0" w:color="auto"/>
            <w:bottom w:val="none" w:sz="0" w:space="0" w:color="auto"/>
            <w:right w:val="none" w:sz="0" w:space="0" w:color="auto"/>
          </w:divBdr>
        </w:div>
        <w:div w:id="1762140125">
          <w:marLeft w:val="0"/>
          <w:marRight w:val="0"/>
          <w:marTop w:val="0"/>
          <w:marBottom w:val="0"/>
          <w:divBdr>
            <w:top w:val="none" w:sz="0" w:space="0" w:color="auto"/>
            <w:left w:val="none" w:sz="0" w:space="0" w:color="auto"/>
            <w:bottom w:val="none" w:sz="0" w:space="0" w:color="auto"/>
            <w:right w:val="none" w:sz="0" w:space="0" w:color="auto"/>
          </w:divBdr>
        </w:div>
        <w:div w:id="1785614879">
          <w:marLeft w:val="0"/>
          <w:marRight w:val="0"/>
          <w:marTop w:val="0"/>
          <w:marBottom w:val="0"/>
          <w:divBdr>
            <w:top w:val="none" w:sz="0" w:space="0" w:color="auto"/>
            <w:left w:val="none" w:sz="0" w:space="0" w:color="auto"/>
            <w:bottom w:val="none" w:sz="0" w:space="0" w:color="auto"/>
            <w:right w:val="none" w:sz="0" w:space="0" w:color="auto"/>
          </w:divBdr>
        </w:div>
        <w:div w:id="1821652455">
          <w:marLeft w:val="0"/>
          <w:marRight w:val="0"/>
          <w:marTop w:val="0"/>
          <w:marBottom w:val="0"/>
          <w:divBdr>
            <w:top w:val="none" w:sz="0" w:space="0" w:color="auto"/>
            <w:left w:val="none" w:sz="0" w:space="0" w:color="auto"/>
            <w:bottom w:val="none" w:sz="0" w:space="0" w:color="auto"/>
            <w:right w:val="none" w:sz="0" w:space="0" w:color="auto"/>
          </w:divBdr>
        </w:div>
        <w:div w:id="1866092397">
          <w:marLeft w:val="0"/>
          <w:marRight w:val="0"/>
          <w:marTop w:val="0"/>
          <w:marBottom w:val="0"/>
          <w:divBdr>
            <w:top w:val="none" w:sz="0" w:space="0" w:color="auto"/>
            <w:left w:val="none" w:sz="0" w:space="0" w:color="auto"/>
            <w:bottom w:val="none" w:sz="0" w:space="0" w:color="auto"/>
            <w:right w:val="none" w:sz="0" w:space="0" w:color="auto"/>
          </w:divBdr>
        </w:div>
        <w:div w:id="1956280432">
          <w:marLeft w:val="0"/>
          <w:marRight w:val="0"/>
          <w:marTop w:val="0"/>
          <w:marBottom w:val="0"/>
          <w:divBdr>
            <w:top w:val="none" w:sz="0" w:space="0" w:color="auto"/>
            <w:left w:val="none" w:sz="0" w:space="0" w:color="auto"/>
            <w:bottom w:val="none" w:sz="0" w:space="0" w:color="auto"/>
            <w:right w:val="none" w:sz="0" w:space="0" w:color="auto"/>
          </w:divBdr>
        </w:div>
      </w:divsChild>
    </w:div>
    <w:div w:id="1850946056">
      <w:bodyDiv w:val="1"/>
      <w:marLeft w:val="0"/>
      <w:marRight w:val="0"/>
      <w:marTop w:val="0"/>
      <w:marBottom w:val="0"/>
      <w:divBdr>
        <w:top w:val="none" w:sz="0" w:space="0" w:color="auto"/>
        <w:left w:val="none" w:sz="0" w:space="0" w:color="auto"/>
        <w:bottom w:val="none" w:sz="0" w:space="0" w:color="auto"/>
        <w:right w:val="none" w:sz="0" w:space="0" w:color="auto"/>
      </w:divBdr>
    </w:div>
    <w:div w:id="1905871050">
      <w:bodyDiv w:val="1"/>
      <w:marLeft w:val="0"/>
      <w:marRight w:val="0"/>
      <w:marTop w:val="0"/>
      <w:marBottom w:val="0"/>
      <w:divBdr>
        <w:top w:val="none" w:sz="0" w:space="0" w:color="auto"/>
        <w:left w:val="none" w:sz="0" w:space="0" w:color="auto"/>
        <w:bottom w:val="none" w:sz="0" w:space="0" w:color="auto"/>
        <w:right w:val="none" w:sz="0" w:space="0" w:color="auto"/>
      </w:divBdr>
    </w:div>
    <w:div w:id="1928924571">
      <w:bodyDiv w:val="1"/>
      <w:marLeft w:val="0"/>
      <w:marRight w:val="0"/>
      <w:marTop w:val="0"/>
      <w:marBottom w:val="0"/>
      <w:divBdr>
        <w:top w:val="none" w:sz="0" w:space="0" w:color="auto"/>
        <w:left w:val="none" w:sz="0" w:space="0" w:color="auto"/>
        <w:bottom w:val="none" w:sz="0" w:space="0" w:color="auto"/>
        <w:right w:val="none" w:sz="0" w:space="0" w:color="auto"/>
      </w:divBdr>
    </w:div>
    <w:div w:id="1934584393">
      <w:bodyDiv w:val="1"/>
      <w:marLeft w:val="0"/>
      <w:marRight w:val="0"/>
      <w:marTop w:val="0"/>
      <w:marBottom w:val="0"/>
      <w:divBdr>
        <w:top w:val="none" w:sz="0" w:space="0" w:color="auto"/>
        <w:left w:val="none" w:sz="0" w:space="0" w:color="auto"/>
        <w:bottom w:val="none" w:sz="0" w:space="0" w:color="auto"/>
        <w:right w:val="none" w:sz="0" w:space="0" w:color="auto"/>
      </w:divBdr>
    </w:div>
    <w:div w:id="1950816323">
      <w:bodyDiv w:val="1"/>
      <w:marLeft w:val="0"/>
      <w:marRight w:val="0"/>
      <w:marTop w:val="0"/>
      <w:marBottom w:val="0"/>
      <w:divBdr>
        <w:top w:val="none" w:sz="0" w:space="0" w:color="auto"/>
        <w:left w:val="none" w:sz="0" w:space="0" w:color="auto"/>
        <w:bottom w:val="none" w:sz="0" w:space="0" w:color="auto"/>
        <w:right w:val="none" w:sz="0" w:space="0" w:color="auto"/>
      </w:divBdr>
    </w:div>
    <w:div w:id="1952587088">
      <w:bodyDiv w:val="1"/>
      <w:marLeft w:val="0"/>
      <w:marRight w:val="0"/>
      <w:marTop w:val="0"/>
      <w:marBottom w:val="0"/>
      <w:divBdr>
        <w:top w:val="none" w:sz="0" w:space="0" w:color="auto"/>
        <w:left w:val="none" w:sz="0" w:space="0" w:color="auto"/>
        <w:bottom w:val="none" w:sz="0" w:space="0" w:color="auto"/>
        <w:right w:val="none" w:sz="0" w:space="0" w:color="auto"/>
      </w:divBdr>
    </w:div>
    <w:div w:id="1957909819">
      <w:bodyDiv w:val="1"/>
      <w:marLeft w:val="0"/>
      <w:marRight w:val="0"/>
      <w:marTop w:val="0"/>
      <w:marBottom w:val="0"/>
      <w:divBdr>
        <w:top w:val="none" w:sz="0" w:space="0" w:color="auto"/>
        <w:left w:val="none" w:sz="0" w:space="0" w:color="auto"/>
        <w:bottom w:val="none" w:sz="0" w:space="0" w:color="auto"/>
        <w:right w:val="none" w:sz="0" w:space="0" w:color="auto"/>
      </w:divBdr>
    </w:div>
    <w:div w:id="1960184946">
      <w:bodyDiv w:val="1"/>
      <w:marLeft w:val="0"/>
      <w:marRight w:val="0"/>
      <w:marTop w:val="0"/>
      <w:marBottom w:val="0"/>
      <w:divBdr>
        <w:top w:val="none" w:sz="0" w:space="0" w:color="auto"/>
        <w:left w:val="none" w:sz="0" w:space="0" w:color="auto"/>
        <w:bottom w:val="none" w:sz="0" w:space="0" w:color="auto"/>
        <w:right w:val="none" w:sz="0" w:space="0" w:color="auto"/>
      </w:divBdr>
    </w:div>
    <w:div w:id="1971667637">
      <w:bodyDiv w:val="1"/>
      <w:marLeft w:val="0"/>
      <w:marRight w:val="0"/>
      <w:marTop w:val="0"/>
      <w:marBottom w:val="0"/>
      <w:divBdr>
        <w:top w:val="none" w:sz="0" w:space="0" w:color="auto"/>
        <w:left w:val="none" w:sz="0" w:space="0" w:color="auto"/>
        <w:bottom w:val="none" w:sz="0" w:space="0" w:color="auto"/>
        <w:right w:val="none" w:sz="0" w:space="0" w:color="auto"/>
      </w:divBdr>
      <w:divsChild>
        <w:div w:id="227882686">
          <w:marLeft w:val="0"/>
          <w:marRight w:val="0"/>
          <w:marTop w:val="0"/>
          <w:marBottom w:val="0"/>
          <w:divBdr>
            <w:top w:val="none" w:sz="0" w:space="0" w:color="auto"/>
            <w:left w:val="none" w:sz="0" w:space="0" w:color="auto"/>
            <w:bottom w:val="none" w:sz="0" w:space="0" w:color="auto"/>
            <w:right w:val="none" w:sz="0" w:space="0" w:color="auto"/>
          </w:divBdr>
        </w:div>
        <w:div w:id="241840726">
          <w:marLeft w:val="0"/>
          <w:marRight w:val="0"/>
          <w:marTop w:val="0"/>
          <w:marBottom w:val="0"/>
          <w:divBdr>
            <w:top w:val="none" w:sz="0" w:space="0" w:color="auto"/>
            <w:left w:val="none" w:sz="0" w:space="0" w:color="auto"/>
            <w:bottom w:val="none" w:sz="0" w:space="0" w:color="auto"/>
            <w:right w:val="none" w:sz="0" w:space="0" w:color="auto"/>
          </w:divBdr>
        </w:div>
        <w:div w:id="265238148">
          <w:marLeft w:val="0"/>
          <w:marRight w:val="0"/>
          <w:marTop w:val="0"/>
          <w:marBottom w:val="0"/>
          <w:divBdr>
            <w:top w:val="none" w:sz="0" w:space="0" w:color="auto"/>
            <w:left w:val="none" w:sz="0" w:space="0" w:color="auto"/>
            <w:bottom w:val="none" w:sz="0" w:space="0" w:color="auto"/>
            <w:right w:val="none" w:sz="0" w:space="0" w:color="auto"/>
          </w:divBdr>
        </w:div>
        <w:div w:id="278493533">
          <w:marLeft w:val="0"/>
          <w:marRight w:val="0"/>
          <w:marTop w:val="0"/>
          <w:marBottom w:val="0"/>
          <w:divBdr>
            <w:top w:val="none" w:sz="0" w:space="0" w:color="auto"/>
            <w:left w:val="none" w:sz="0" w:space="0" w:color="auto"/>
            <w:bottom w:val="none" w:sz="0" w:space="0" w:color="auto"/>
            <w:right w:val="none" w:sz="0" w:space="0" w:color="auto"/>
          </w:divBdr>
        </w:div>
        <w:div w:id="751396785">
          <w:marLeft w:val="0"/>
          <w:marRight w:val="0"/>
          <w:marTop w:val="0"/>
          <w:marBottom w:val="0"/>
          <w:divBdr>
            <w:top w:val="none" w:sz="0" w:space="0" w:color="auto"/>
            <w:left w:val="none" w:sz="0" w:space="0" w:color="auto"/>
            <w:bottom w:val="none" w:sz="0" w:space="0" w:color="auto"/>
            <w:right w:val="none" w:sz="0" w:space="0" w:color="auto"/>
          </w:divBdr>
        </w:div>
        <w:div w:id="1036849810">
          <w:marLeft w:val="0"/>
          <w:marRight w:val="0"/>
          <w:marTop w:val="0"/>
          <w:marBottom w:val="0"/>
          <w:divBdr>
            <w:top w:val="none" w:sz="0" w:space="0" w:color="auto"/>
            <w:left w:val="none" w:sz="0" w:space="0" w:color="auto"/>
            <w:bottom w:val="none" w:sz="0" w:space="0" w:color="auto"/>
            <w:right w:val="none" w:sz="0" w:space="0" w:color="auto"/>
          </w:divBdr>
        </w:div>
        <w:div w:id="2126071653">
          <w:marLeft w:val="0"/>
          <w:marRight w:val="0"/>
          <w:marTop w:val="0"/>
          <w:marBottom w:val="0"/>
          <w:divBdr>
            <w:top w:val="none" w:sz="0" w:space="0" w:color="auto"/>
            <w:left w:val="none" w:sz="0" w:space="0" w:color="auto"/>
            <w:bottom w:val="none" w:sz="0" w:space="0" w:color="auto"/>
            <w:right w:val="none" w:sz="0" w:space="0" w:color="auto"/>
          </w:divBdr>
        </w:div>
      </w:divsChild>
    </w:div>
    <w:div w:id="1976906999">
      <w:bodyDiv w:val="1"/>
      <w:marLeft w:val="0"/>
      <w:marRight w:val="0"/>
      <w:marTop w:val="0"/>
      <w:marBottom w:val="0"/>
      <w:divBdr>
        <w:top w:val="none" w:sz="0" w:space="0" w:color="auto"/>
        <w:left w:val="none" w:sz="0" w:space="0" w:color="auto"/>
        <w:bottom w:val="none" w:sz="0" w:space="0" w:color="auto"/>
        <w:right w:val="none" w:sz="0" w:space="0" w:color="auto"/>
      </w:divBdr>
    </w:div>
    <w:div w:id="1980526179">
      <w:bodyDiv w:val="1"/>
      <w:marLeft w:val="0"/>
      <w:marRight w:val="0"/>
      <w:marTop w:val="0"/>
      <w:marBottom w:val="0"/>
      <w:divBdr>
        <w:top w:val="none" w:sz="0" w:space="0" w:color="auto"/>
        <w:left w:val="none" w:sz="0" w:space="0" w:color="auto"/>
        <w:bottom w:val="none" w:sz="0" w:space="0" w:color="auto"/>
        <w:right w:val="none" w:sz="0" w:space="0" w:color="auto"/>
      </w:divBdr>
    </w:div>
    <w:div w:id="2011711929">
      <w:bodyDiv w:val="1"/>
      <w:marLeft w:val="0"/>
      <w:marRight w:val="0"/>
      <w:marTop w:val="0"/>
      <w:marBottom w:val="0"/>
      <w:divBdr>
        <w:top w:val="none" w:sz="0" w:space="0" w:color="auto"/>
        <w:left w:val="none" w:sz="0" w:space="0" w:color="auto"/>
        <w:bottom w:val="none" w:sz="0" w:space="0" w:color="auto"/>
        <w:right w:val="none" w:sz="0" w:space="0" w:color="auto"/>
      </w:divBdr>
    </w:div>
    <w:div w:id="2021423056">
      <w:bodyDiv w:val="1"/>
      <w:marLeft w:val="0"/>
      <w:marRight w:val="0"/>
      <w:marTop w:val="0"/>
      <w:marBottom w:val="0"/>
      <w:divBdr>
        <w:top w:val="none" w:sz="0" w:space="0" w:color="auto"/>
        <w:left w:val="none" w:sz="0" w:space="0" w:color="auto"/>
        <w:bottom w:val="none" w:sz="0" w:space="0" w:color="auto"/>
        <w:right w:val="none" w:sz="0" w:space="0" w:color="auto"/>
      </w:divBdr>
    </w:div>
    <w:div w:id="2026707316">
      <w:bodyDiv w:val="1"/>
      <w:marLeft w:val="0"/>
      <w:marRight w:val="0"/>
      <w:marTop w:val="0"/>
      <w:marBottom w:val="0"/>
      <w:divBdr>
        <w:top w:val="none" w:sz="0" w:space="0" w:color="auto"/>
        <w:left w:val="none" w:sz="0" w:space="0" w:color="auto"/>
        <w:bottom w:val="none" w:sz="0" w:space="0" w:color="auto"/>
        <w:right w:val="none" w:sz="0" w:space="0" w:color="auto"/>
      </w:divBdr>
    </w:div>
    <w:div w:id="2037656880">
      <w:bodyDiv w:val="1"/>
      <w:marLeft w:val="0"/>
      <w:marRight w:val="0"/>
      <w:marTop w:val="0"/>
      <w:marBottom w:val="0"/>
      <w:divBdr>
        <w:top w:val="none" w:sz="0" w:space="0" w:color="auto"/>
        <w:left w:val="none" w:sz="0" w:space="0" w:color="auto"/>
        <w:bottom w:val="none" w:sz="0" w:space="0" w:color="auto"/>
        <w:right w:val="none" w:sz="0" w:space="0" w:color="auto"/>
      </w:divBdr>
    </w:div>
    <w:div w:id="2039546235">
      <w:bodyDiv w:val="1"/>
      <w:marLeft w:val="0"/>
      <w:marRight w:val="0"/>
      <w:marTop w:val="0"/>
      <w:marBottom w:val="0"/>
      <w:divBdr>
        <w:top w:val="none" w:sz="0" w:space="0" w:color="auto"/>
        <w:left w:val="none" w:sz="0" w:space="0" w:color="auto"/>
        <w:bottom w:val="none" w:sz="0" w:space="0" w:color="auto"/>
        <w:right w:val="none" w:sz="0" w:space="0" w:color="auto"/>
      </w:divBdr>
    </w:div>
    <w:div w:id="2057852693">
      <w:bodyDiv w:val="1"/>
      <w:marLeft w:val="0"/>
      <w:marRight w:val="0"/>
      <w:marTop w:val="0"/>
      <w:marBottom w:val="0"/>
      <w:divBdr>
        <w:top w:val="none" w:sz="0" w:space="0" w:color="auto"/>
        <w:left w:val="none" w:sz="0" w:space="0" w:color="auto"/>
        <w:bottom w:val="none" w:sz="0" w:space="0" w:color="auto"/>
        <w:right w:val="none" w:sz="0" w:space="0" w:color="auto"/>
      </w:divBdr>
    </w:div>
    <w:div w:id="2064332527">
      <w:bodyDiv w:val="1"/>
      <w:marLeft w:val="0"/>
      <w:marRight w:val="0"/>
      <w:marTop w:val="0"/>
      <w:marBottom w:val="0"/>
      <w:divBdr>
        <w:top w:val="none" w:sz="0" w:space="0" w:color="auto"/>
        <w:left w:val="none" w:sz="0" w:space="0" w:color="auto"/>
        <w:bottom w:val="none" w:sz="0" w:space="0" w:color="auto"/>
        <w:right w:val="none" w:sz="0" w:space="0" w:color="auto"/>
      </w:divBdr>
    </w:div>
    <w:div w:id="2074347069">
      <w:bodyDiv w:val="1"/>
      <w:marLeft w:val="0"/>
      <w:marRight w:val="0"/>
      <w:marTop w:val="0"/>
      <w:marBottom w:val="0"/>
      <w:divBdr>
        <w:top w:val="none" w:sz="0" w:space="0" w:color="auto"/>
        <w:left w:val="none" w:sz="0" w:space="0" w:color="auto"/>
        <w:bottom w:val="none" w:sz="0" w:space="0" w:color="auto"/>
        <w:right w:val="none" w:sz="0" w:space="0" w:color="auto"/>
      </w:divBdr>
    </w:div>
    <w:div w:id="2081437384">
      <w:bodyDiv w:val="1"/>
      <w:marLeft w:val="0"/>
      <w:marRight w:val="0"/>
      <w:marTop w:val="0"/>
      <w:marBottom w:val="0"/>
      <w:divBdr>
        <w:top w:val="none" w:sz="0" w:space="0" w:color="auto"/>
        <w:left w:val="none" w:sz="0" w:space="0" w:color="auto"/>
        <w:bottom w:val="none" w:sz="0" w:space="0" w:color="auto"/>
        <w:right w:val="none" w:sz="0" w:space="0" w:color="auto"/>
      </w:divBdr>
    </w:div>
    <w:div w:id="2082172931">
      <w:bodyDiv w:val="1"/>
      <w:marLeft w:val="0"/>
      <w:marRight w:val="0"/>
      <w:marTop w:val="0"/>
      <w:marBottom w:val="0"/>
      <w:divBdr>
        <w:top w:val="none" w:sz="0" w:space="0" w:color="auto"/>
        <w:left w:val="none" w:sz="0" w:space="0" w:color="auto"/>
        <w:bottom w:val="none" w:sz="0" w:space="0" w:color="auto"/>
        <w:right w:val="none" w:sz="0" w:space="0" w:color="auto"/>
      </w:divBdr>
    </w:div>
    <w:div w:id="2103798644">
      <w:bodyDiv w:val="1"/>
      <w:marLeft w:val="0"/>
      <w:marRight w:val="0"/>
      <w:marTop w:val="0"/>
      <w:marBottom w:val="0"/>
      <w:divBdr>
        <w:top w:val="none" w:sz="0" w:space="0" w:color="auto"/>
        <w:left w:val="none" w:sz="0" w:space="0" w:color="auto"/>
        <w:bottom w:val="none" w:sz="0" w:space="0" w:color="auto"/>
        <w:right w:val="none" w:sz="0" w:space="0" w:color="auto"/>
      </w:divBdr>
    </w:div>
    <w:div w:id="2105101267">
      <w:bodyDiv w:val="1"/>
      <w:marLeft w:val="0"/>
      <w:marRight w:val="0"/>
      <w:marTop w:val="0"/>
      <w:marBottom w:val="0"/>
      <w:divBdr>
        <w:top w:val="none" w:sz="0" w:space="0" w:color="auto"/>
        <w:left w:val="none" w:sz="0" w:space="0" w:color="auto"/>
        <w:bottom w:val="none" w:sz="0" w:space="0" w:color="auto"/>
        <w:right w:val="none" w:sz="0" w:space="0" w:color="auto"/>
      </w:divBdr>
    </w:div>
    <w:div w:id="2106077370">
      <w:bodyDiv w:val="1"/>
      <w:marLeft w:val="0"/>
      <w:marRight w:val="0"/>
      <w:marTop w:val="0"/>
      <w:marBottom w:val="0"/>
      <w:divBdr>
        <w:top w:val="none" w:sz="0" w:space="0" w:color="auto"/>
        <w:left w:val="none" w:sz="0" w:space="0" w:color="auto"/>
        <w:bottom w:val="none" w:sz="0" w:space="0" w:color="auto"/>
        <w:right w:val="none" w:sz="0" w:space="0" w:color="auto"/>
      </w:divBdr>
      <w:divsChild>
        <w:div w:id="18626715">
          <w:marLeft w:val="0"/>
          <w:marRight w:val="0"/>
          <w:marTop w:val="0"/>
          <w:marBottom w:val="0"/>
          <w:divBdr>
            <w:top w:val="none" w:sz="0" w:space="0" w:color="auto"/>
            <w:left w:val="none" w:sz="0" w:space="0" w:color="auto"/>
            <w:bottom w:val="none" w:sz="0" w:space="0" w:color="auto"/>
            <w:right w:val="none" w:sz="0" w:space="0" w:color="auto"/>
          </w:divBdr>
        </w:div>
        <w:div w:id="105271133">
          <w:marLeft w:val="0"/>
          <w:marRight w:val="0"/>
          <w:marTop w:val="0"/>
          <w:marBottom w:val="0"/>
          <w:divBdr>
            <w:top w:val="none" w:sz="0" w:space="0" w:color="auto"/>
            <w:left w:val="none" w:sz="0" w:space="0" w:color="auto"/>
            <w:bottom w:val="none" w:sz="0" w:space="0" w:color="auto"/>
            <w:right w:val="none" w:sz="0" w:space="0" w:color="auto"/>
          </w:divBdr>
        </w:div>
        <w:div w:id="130249732">
          <w:marLeft w:val="0"/>
          <w:marRight w:val="0"/>
          <w:marTop w:val="0"/>
          <w:marBottom w:val="0"/>
          <w:divBdr>
            <w:top w:val="none" w:sz="0" w:space="0" w:color="auto"/>
            <w:left w:val="none" w:sz="0" w:space="0" w:color="auto"/>
            <w:bottom w:val="none" w:sz="0" w:space="0" w:color="auto"/>
            <w:right w:val="none" w:sz="0" w:space="0" w:color="auto"/>
          </w:divBdr>
        </w:div>
        <w:div w:id="317077473">
          <w:marLeft w:val="0"/>
          <w:marRight w:val="0"/>
          <w:marTop w:val="0"/>
          <w:marBottom w:val="0"/>
          <w:divBdr>
            <w:top w:val="none" w:sz="0" w:space="0" w:color="auto"/>
            <w:left w:val="none" w:sz="0" w:space="0" w:color="auto"/>
            <w:bottom w:val="none" w:sz="0" w:space="0" w:color="auto"/>
            <w:right w:val="none" w:sz="0" w:space="0" w:color="auto"/>
          </w:divBdr>
        </w:div>
        <w:div w:id="584220063">
          <w:marLeft w:val="0"/>
          <w:marRight w:val="0"/>
          <w:marTop w:val="0"/>
          <w:marBottom w:val="0"/>
          <w:divBdr>
            <w:top w:val="none" w:sz="0" w:space="0" w:color="auto"/>
            <w:left w:val="none" w:sz="0" w:space="0" w:color="auto"/>
            <w:bottom w:val="none" w:sz="0" w:space="0" w:color="auto"/>
            <w:right w:val="none" w:sz="0" w:space="0" w:color="auto"/>
          </w:divBdr>
        </w:div>
        <w:div w:id="616715238">
          <w:marLeft w:val="0"/>
          <w:marRight w:val="0"/>
          <w:marTop w:val="0"/>
          <w:marBottom w:val="0"/>
          <w:divBdr>
            <w:top w:val="none" w:sz="0" w:space="0" w:color="auto"/>
            <w:left w:val="none" w:sz="0" w:space="0" w:color="auto"/>
            <w:bottom w:val="none" w:sz="0" w:space="0" w:color="auto"/>
            <w:right w:val="none" w:sz="0" w:space="0" w:color="auto"/>
          </w:divBdr>
        </w:div>
        <w:div w:id="625426528">
          <w:marLeft w:val="0"/>
          <w:marRight w:val="0"/>
          <w:marTop w:val="0"/>
          <w:marBottom w:val="0"/>
          <w:divBdr>
            <w:top w:val="none" w:sz="0" w:space="0" w:color="auto"/>
            <w:left w:val="none" w:sz="0" w:space="0" w:color="auto"/>
            <w:bottom w:val="none" w:sz="0" w:space="0" w:color="auto"/>
            <w:right w:val="none" w:sz="0" w:space="0" w:color="auto"/>
          </w:divBdr>
        </w:div>
        <w:div w:id="788202740">
          <w:marLeft w:val="0"/>
          <w:marRight w:val="0"/>
          <w:marTop w:val="0"/>
          <w:marBottom w:val="0"/>
          <w:divBdr>
            <w:top w:val="none" w:sz="0" w:space="0" w:color="auto"/>
            <w:left w:val="none" w:sz="0" w:space="0" w:color="auto"/>
            <w:bottom w:val="none" w:sz="0" w:space="0" w:color="auto"/>
            <w:right w:val="none" w:sz="0" w:space="0" w:color="auto"/>
          </w:divBdr>
        </w:div>
        <w:div w:id="807819619">
          <w:marLeft w:val="0"/>
          <w:marRight w:val="0"/>
          <w:marTop w:val="0"/>
          <w:marBottom w:val="0"/>
          <w:divBdr>
            <w:top w:val="none" w:sz="0" w:space="0" w:color="auto"/>
            <w:left w:val="none" w:sz="0" w:space="0" w:color="auto"/>
            <w:bottom w:val="none" w:sz="0" w:space="0" w:color="auto"/>
            <w:right w:val="none" w:sz="0" w:space="0" w:color="auto"/>
          </w:divBdr>
        </w:div>
        <w:div w:id="820658761">
          <w:marLeft w:val="0"/>
          <w:marRight w:val="0"/>
          <w:marTop w:val="0"/>
          <w:marBottom w:val="0"/>
          <w:divBdr>
            <w:top w:val="none" w:sz="0" w:space="0" w:color="auto"/>
            <w:left w:val="none" w:sz="0" w:space="0" w:color="auto"/>
            <w:bottom w:val="none" w:sz="0" w:space="0" w:color="auto"/>
            <w:right w:val="none" w:sz="0" w:space="0" w:color="auto"/>
          </w:divBdr>
        </w:div>
        <w:div w:id="822745804">
          <w:marLeft w:val="0"/>
          <w:marRight w:val="0"/>
          <w:marTop w:val="0"/>
          <w:marBottom w:val="0"/>
          <w:divBdr>
            <w:top w:val="none" w:sz="0" w:space="0" w:color="auto"/>
            <w:left w:val="none" w:sz="0" w:space="0" w:color="auto"/>
            <w:bottom w:val="none" w:sz="0" w:space="0" w:color="auto"/>
            <w:right w:val="none" w:sz="0" w:space="0" w:color="auto"/>
          </w:divBdr>
        </w:div>
        <w:div w:id="1010641152">
          <w:marLeft w:val="0"/>
          <w:marRight w:val="0"/>
          <w:marTop w:val="0"/>
          <w:marBottom w:val="0"/>
          <w:divBdr>
            <w:top w:val="none" w:sz="0" w:space="0" w:color="auto"/>
            <w:left w:val="none" w:sz="0" w:space="0" w:color="auto"/>
            <w:bottom w:val="none" w:sz="0" w:space="0" w:color="auto"/>
            <w:right w:val="none" w:sz="0" w:space="0" w:color="auto"/>
          </w:divBdr>
        </w:div>
        <w:div w:id="1041053573">
          <w:marLeft w:val="0"/>
          <w:marRight w:val="0"/>
          <w:marTop w:val="0"/>
          <w:marBottom w:val="0"/>
          <w:divBdr>
            <w:top w:val="none" w:sz="0" w:space="0" w:color="auto"/>
            <w:left w:val="none" w:sz="0" w:space="0" w:color="auto"/>
            <w:bottom w:val="none" w:sz="0" w:space="0" w:color="auto"/>
            <w:right w:val="none" w:sz="0" w:space="0" w:color="auto"/>
          </w:divBdr>
        </w:div>
        <w:div w:id="1061903552">
          <w:marLeft w:val="0"/>
          <w:marRight w:val="0"/>
          <w:marTop w:val="0"/>
          <w:marBottom w:val="0"/>
          <w:divBdr>
            <w:top w:val="none" w:sz="0" w:space="0" w:color="auto"/>
            <w:left w:val="none" w:sz="0" w:space="0" w:color="auto"/>
            <w:bottom w:val="none" w:sz="0" w:space="0" w:color="auto"/>
            <w:right w:val="none" w:sz="0" w:space="0" w:color="auto"/>
          </w:divBdr>
        </w:div>
        <w:div w:id="1118916994">
          <w:marLeft w:val="0"/>
          <w:marRight w:val="0"/>
          <w:marTop w:val="0"/>
          <w:marBottom w:val="0"/>
          <w:divBdr>
            <w:top w:val="none" w:sz="0" w:space="0" w:color="auto"/>
            <w:left w:val="none" w:sz="0" w:space="0" w:color="auto"/>
            <w:bottom w:val="none" w:sz="0" w:space="0" w:color="auto"/>
            <w:right w:val="none" w:sz="0" w:space="0" w:color="auto"/>
          </w:divBdr>
        </w:div>
        <w:div w:id="1147743530">
          <w:marLeft w:val="0"/>
          <w:marRight w:val="0"/>
          <w:marTop w:val="0"/>
          <w:marBottom w:val="0"/>
          <w:divBdr>
            <w:top w:val="none" w:sz="0" w:space="0" w:color="auto"/>
            <w:left w:val="none" w:sz="0" w:space="0" w:color="auto"/>
            <w:bottom w:val="none" w:sz="0" w:space="0" w:color="auto"/>
            <w:right w:val="none" w:sz="0" w:space="0" w:color="auto"/>
          </w:divBdr>
        </w:div>
        <w:div w:id="1195536734">
          <w:marLeft w:val="0"/>
          <w:marRight w:val="0"/>
          <w:marTop w:val="0"/>
          <w:marBottom w:val="0"/>
          <w:divBdr>
            <w:top w:val="none" w:sz="0" w:space="0" w:color="auto"/>
            <w:left w:val="none" w:sz="0" w:space="0" w:color="auto"/>
            <w:bottom w:val="none" w:sz="0" w:space="0" w:color="auto"/>
            <w:right w:val="none" w:sz="0" w:space="0" w:color="auto"/>
          </w:divBdr>
        </w:div>
        <w:div w:id="1272321103">
          <w:marLeft w:val="0"/>
          <w:marRight w:val="0"/>
          <w:marTop w:val="0"/>
          <w:marBottom w:val="0"/>
          <w:divBdr>
            <w:top w:val="none" w:sz="0" w:space="0" w:color="auto"/>
            <w:left w:val="none" w:sz="0" w:space="0" w:color="auto"/>
            <w:bottom w:val="none" w:sz="0" w:space="0" w:color="auto"/>
            <w:right w:val="none" w:sz="0" w:space="0" w:color="auto"/>
          </w:divBdr>
        </w:div>
        <w:div w:id="1474985711">
          <w:marLeft w:val="0"/>
          <w:marRight w:val="0"/>
          <w:marTop w:val="0"/>
          <w:marBottom w:val="0"/>
          <w:divBdr>
            <w:top w:val="none" w:sz="0" w:space="0" w:color="auto"/>
            <w:left w:val="none" w:sz="0" w:space="0" w:color="auto"/>
            <w:bottom w:val="none" w:sz="0" w:space="0" w:color="auto"/>
            <w:right w:val="none" w:sz="0" w:space="0" w:color="auto"/>
          </w:divBdr>
        </w:div>
        <w:div w:id="1507986998">
          <w:marLeft w:val="0"/>
          <w:marRight w:val="0"/>
          <w:marTop w:val="0"/>
          <w:marBottom w:val="0"/>
          <w:divBdr>
            <w:top w:val="none" w:sz="0" w:space="0" w:color="auto"/>
            <w:left w:val="none" w:sz="0" w:space="0" w:color="auto"/>
            <w:bottom w:val="none" w:sz="0" w:space="0" w:color="auto"/>
            <w:right w:val="none" w:sz="0" w:space="0" w:color="auto"/>
          </w:divBdr>
        </w:div>
        <w:div w:id="1571234202">
          <w:marLeft w:val="0"/>
          <w:marRight w:val="0"/>
          <w:marTop w:val="0"/>
          <w:marBottom w:val="0"/>
          <w:divBdr>
            <w:top w:val="none" w:sz="0" w:space="0" w:color="auto"/>
            <w:left w:val="none" w:sz="0" w:space="0" w:color="auto"/>
            <w:bottom w:val="none" w:sz="0" w:space="0" w:color="auto"/>
            <w:right w:val="none" w:sz="0" w:space="0" w:color="auto"/>
          </w:divBdr>
        </w:div>
        <w:div w:id="1713072747">
          <w:marLeft w:val="0"/>
          <w:marRight w:val="0"/>
          <w:marTop w:val="0"/>
          <w:marBottom w:val="0"/>
          <w:divBdr>
            <w:top w:val="none" w:sz="0" w:space="0" w:color="auto"/>
            <w:left w:val="none" w:sz="0" w:space="0" w:color="auto"/>
            <w:bottom w:val="none" w:sz="0" w:space="0" w:color="auto"/>
            <w:right w:val="none" w:sz="0" w:space="0" w:color="auto"/>
          </w:divBdr>
        </w:div>
        <w:div w:id="1927105921">
          <w:marLeft w:val="0"/>
          <w:marRight w:val="0"/>
          <w:marTop w:val="0"/>
          <w:marBottom w:val="0"/>
          <w:divBdr>
            <w:top w:val="none" w:sz="0" w:space="0" w:color="auto"/>
            <w:left w:val="none" w:sz="0" w:space="0" w:color="auto"/>
            <w:bottom w:val="none" w:sz="0" w:space="0" w:color="auto"/>
            <w:right w:val="none" w:sz="0" w:space="0" w:color="auto"/>
          </w:divBdr>
        </w:div>
        <w:div w:id="1962376467">
          <w:marLeft w:val="0"/>
          <w:marRight w:val="0"/>
          <w:marTop w:val="0"/>
          <w:marBottom w:val="0"/>
          <w:divBdr>
            <w:top w:val="none" w:sz="0" w:space="0" w:color="auto"/>
            <w:left w:val="none" w:sz="0" w:space="0" w:color="auto"/>
            <w:bottom w:val="none" w:sz="0" w:space="0" w:color="auto"/>
            <w:right w:val="none" w:sz="0" w:space="0" w:color="auto"/>
          </w:divBdr>
        </w:div>
      </w:divsChild>
    </w:div>
    <w:div w:id="2126927277">
      <w:bodyDiv w:val="1"/>
      <w:marLeft w:val="0"/>
      <w:marRight w:val="0"/>
      <w:marTop w:val="0"/>
      <w:marBottom w:val="0"/>
      <w:divBdr>
        <w:top w:val="none" w:sz="0" w:space="0" w:color="auto"/>
        <w:left w:val="none" w:sz="0" w:space="0" w:color="auto"/>
        <w:bottom w:val="none" w:sz="0" w:space="0" w:color="auto"/>
        <w:right w:val="none" w:sz="0" w:space="0" w:color="auto"/>
      </w:divBdr>
      <w:divsChild>
        <w:div w:id="33313805">
          <w:marLeft w:val="0"/>
          <w:marRight w:val="0"/>
          <w:marTop w:val="0"/>
          <w:marBottom w:val="0"/>
          <w:divBdr>
            <w:top w:val="none" w:sz="0" w:space="0" w:color="auto"/>
            <w:left w:val="none" w:sz="0" w:space="0" w:color="auto"/>
            <w:bottom w:val="none" w:sz="0" w:space="0" w:color="auto"/>
            <w:right w:val="none" w:sz="0" w:space="0" w:color="auto"/>
          </w:divBdr>
        </w:div>
        <w:div w:id="51736683">
          <w:marLeft w:val="0"/>
          <w:marRight w:val="0"/>
          <w:marTop w:val="0"/>
          <w:marBottom w:val="0"/>
          <w:divBdr>
            <w:top w:val="none" w:sz="0" w:space="0" w:color="auto"/>
            <w:left w:val="none" w:sz="0" w:space="0" w:color="auto"/>
            <w:bottom w:val="none" w:sz="0" w:space="0" w:color="auto"/>
            <w:right w:val="none" w:sz="0" w:space="0" w:color="auto"/>
          </w:divBdr>
        </w:div>
        <w:div w:id="193733644">
          <w:marLeft w:val="0"/>
          <w:marRight w:val="0"/>
          <w:marTop w:val="0"/>
          <w:marBottom w:val="0"/>
          <w:divBdr>
            <w:top w:val="none" w:sz="0" w:space="0" w:color="auto"/>
            <w:left w:val="none" w:sz="0" w:space="0" w:color="auto"/>
            <w:bottom w:val="none" w:sz="0" w:space="0" w:color="auto"/>
            <w:right w:val="none" w:sz="0" w:space="0" w:color="auto"/>
          </w:divBdr>
        </w:div>
        <w:div w:id="237443036">
          <w:marLeft w:val="0"/>
          <w:marRight w:val="0"/>
          <w:marTop w:val="0"/>
          <w:marBottom w:val="0"/>
          <w:divBdr>
            <w:top w:val="none" w:sz="0" w:space="0" w:color="auto"/>
            <w:left w:val="none" w:sz="0" w:space="0" w:color="auto"/>
            <w:bottom w:val="none" w:sz="0" w:space="0" w:color="auto"/>
            <w:right w:val="none" w:sz="0" w:space="0" w:color="auto"/>
          </w:divBdr>
        </w:div>
        <w:div w:id="298459453">
          <w:marLeft w:val="0"/>
          <w:marRight w:val="0"/>
          <w:marTop w:val="0"/>
          <w:marBottom w:val="0"/>
          <w:divBdr>
            <w:top w:val="none" w:sz="0" w:space="0" w:color="auto"/>
            <w:left w:val="none" w:sz="0" w:space="0" w:color="auto"/>
            <w:bottom w:val="none" w:sz="0" w:space="0" w:color="auto"/>
            <w:right w:val="none" w:sz="0" w:space="0" w:color="auto"/>
          </w:divBdr>
        </w:div>
        <w:div w:id="460802667">
          <w:marLeft w:val="0"/>
          <w:marRight w:val="0"/>
          <w:marTop w:val="0"/>
          <w:marBottom w:val="0"/>
          <w:divBdr>
            <w:top w:val="none" w:sz="0" w:space="0" w:color="auto"/>
            <w:left w:val="none" w:sz="0" w:space="0" w:color="auto"/>
            <w:bottom w:val="none" w:sz="0" w:space="0" w:color="auto"/>
            <w:right w:val="none" w:sz="0" w:space="0" w:color="auto"/>
          </w:divBdr>
        </w:div>
        <w:div w:id="479080717">
          <w:marLeft w:val="0"/>
          <w:marRight w:val="0"/>
          <w:marTop w:val="0"/>
          <w:marBottom w:val="0"/>
          <w:divBdr>
            <w:top w:val="none" w:sz="0" w:space="0" w:color="auto"/>
            <w:left w:val="none" w:sz="0" w:space="0" w:color="auto"/>
            <w:bottom w:val="none" w:sz="0" w:space="0" w:color="auto"/>
            <w:right w:val="none" w:sz="0" w:space="0" w:color="auto"/>
          </w:divBdr>
        </w:div>
        <w:div w:id="508256720">
          <w:marLeft w:val="0"/>
          <w:marRight w:val="0"/>
          <w:marTop w:val="0"/>
          <w:marBottom w:val="0"/>
          <w:divBdr>
            <w:top w:val="none" w:sz="0" w:space="0" w:color="auto"/>
            <w:left w:val="none" w:sz="0" w:space="0" w:color="auto"/>
            <w:bottom w:val="none" w:sz="0" w:space="0" w:color="auto"/>
            <w:right w:val="none" w:sz="0" w:space="0" w:color="auto"/>
          </w:divBdr>
        </w:div>
        <w:div w:id="656038281">
          <w:marLeft w:val="0"/>
          <w:marRight w:val="0"/>
          <w:marTop w:val="0"/>
          <w:marBottom w:val="0"/>
          <w:divBdr>
            <w:top w:val="none" w:sz="0" w:space="0" w:color="auto"/>
            <w:left w:val="none" w:sz="0" w:space="0" w:color="auto"/>
            <w:bottom w:val="none" w:sz="0" w:space="0" w:color="auto"/>
            <w:right w:val="none" w:sz="0" w:space="0" w:color="auto"/>
          </w:divBdr>
        </w:div>
        <w:div w:id="1025014417">
          <w:marLeft w:val="0"/>
          <w:marRight w:val="0"/>
          <w:marTop w:val="0"/>
          <w:marBottom w:val="0"/>
          <w:divBdr>
            <w:top w:val="none" w:sz="0" w:space="0" w:color="auto"/>
            <w:left w:val="none" w:sz="0" w:space="0" w:color="auto"/>
            <w:bottom w:val="none" w:sz="0" w:space="0" w:color="auto"/>
            <w:right w:val="none" w:sz="0" w:space="0" w:color="auto"/>
          </w:divBdr>
        </w:div>
        <w:div w:id="1164513656">
          <w:marLeft w:val="0"/>
          <w:marRight w:val="0"/>
          <w:marTop w:val="0"/>
          <w:marBottom w:val="0"/>
          <w:divBdr>
            <w:top w:val="none" w:sz="0" w:space="0" w:color="auto"/>
            <w:left w:val="none" w:sz="0" w:space="0" w:color="auto"/>
            <w:bottom w:val="none" w:sz="0" w:space="0" w:color="auto"/>
            <w:right w:val="none" w:sz="0" w:space="0" w:color="auto"/>
          </w:divBdr>
        </w:div>
        <w:div w:id="1195654935">
          <w:marLeft w:val="0"/>
          <w:marRight w:val="0"/>
          <w:marTop w:val="0"/>
          <w:marBottom w:val="0"/>
          <w:divBdr>
            <w:top w:val="none" w:sz="0" w:space="0" w:color="auto"/>
            <w:left w:val="none" w:sz="0" w:space="0" w:color="auto"/>
            <w:bottom w:val="none" w:sz="0" w:space="0" w:color="auto"/>
            <w:right w:val="none" w:sz="0" w:space="0" w:color="auto"/>
          </w:divBdr>
        </w:div>
        <w:div w:id="1221943139">
          <w:marLeft w:val="0"/>
          <w:marRight w:val="0"/>
          <w:marTop w:val="0"/>
          <w:marBottom w:val="0"/>
          <w:divBdr>
            <w:top w:val="none" w:sz="0" w:space="0" w:color="auto"/>
            <w:left w:val="none" w:sz="0" w:space="0" w:color="auto"/>
            <w:bottom w:val="none" w:sz="0" w:space="0" w:color="auto"/>
            <w:right w:val="none" w:sz="0" w:space="0" w:color="auto"/>
          </w:divBdr>
        </w:div>
        <w:div w:id="1330986175">
          <w:marLeft w:val="0"/>
          <w:marRight w:val="0"/>
          <w:marTop w:val="0"/>
          <w:marBottom w:val="0"/>
          <w:divBdr>
            <w:top w:val="none" w:sz="0" w:space="0" w:color="auto"/>
            <w:left w:val="none" w:sz="0" w:space="0" w:color="auto"/>
            <w:bottom w:val="none" w:sz="0" w:space="0" w:color="auto"/>
            <w:right w:val="none" w:sz="0" w:space="0" w:color="auto"/>
          </w:divBdr>
        </w:div>
        <w:div w:id="1529367607">
          <w:marLeft w:val="0"/>
          <w:marRight w:val="0"/>
          <w:marTop w:val="0"/>
          <w:marBottom w:val="0"/>
          <w:divBdr>
            <w:top w:val="none" w:sz="0" w:space="0" w:color="auto"/>
            <w:left w:val="none" w:sz="0" w:space="0" w:color="auto"/>
            <w:bottom w:val="none" w:sz="0" w:space="0" w:color="auto"/>
            <w:right w:val="none" w:sz="0" w:space="0" w:color="auto"/>
          </w:divBdr>
        </w:div>
        <w:div w:id="1768306382">
          <w:marLeft w:val="0"/>
          <w:marRight w:val="0"/>
          <w:marTop w:val="0"/>
          <w:marBottom w:val="0"/>
          <w:divBdr>
            <w:top w:val="none" w:sz="0" w:space="0" w:color="auto"/>
            <w:left w:val="none" w:sz="0" w:space="0" w:color="auto"/>
            <w:bottom w:val="none" w:sz="0" w:space="0" w:color="auto"/>
            <w:right w:val="none" w:sz="0" w:space="0" w:color="auto"/>
          </w:divBdr>
        </w:div>
        <w:div w:id="1820608112">
          <w:marLeft w:val="0"/>
          <w:marRight w:val="0"/>
          <w:marTop w:val="0"/>
          <w:marBottom w:val="0"/>
          <w:divBdr>
            <w:top w:val="none" w:sz="0" w:space="0" w:color="auto"/>
            <w:left w:val="none" w:sz="0" w:space="0" w:color="auto"/>
            <w:bottom w:val="none" w:sz="0" w:space="0" w:color="auto"/>
            <w:right w:val="none" w:sz="0" w:space="0" w:color="auto"/>
          </w:divBdr>
        </w:div>
        <w:div w:id="1886332647">
          <w:marLeft w:val="0"/>
          <w:marRight w:val="0"/>
          <w:marTop w:val="0"/>
          <w:marBottom w:val="0"/>
          <w:divBdr>
            <w:top w:val="none" w:sz="0" w:space="0" w:color="auto"/>
            <w:left w:val="none" w:sz="0" w:space="0" w:color="auto"/>
            <w:bottom w:val="none" w:sz="0" w:space="0" w:color="auto"/>
            <w:right w:val="none" w:sz="0" w:space="0" w:color="auto"/>
          </w:divBdr>
        </w:div>
        <w:div w:id="1950577523">
          <w:marLeft w:val="0"/>
          <w:marRight w:val="0"/>
          <w:marTop w:val="0"/>
          <w:marBottom w:val="0"/>
          <w:divBdr>
            <w:top w:val="none" w:sz="0" w:space="0" w:color="auto"/>
            <w:left w:val="none" w:sz="0" w:space="0" w:color="auto"/>
            <w:bottom w:val="none" w:sz="0" w:space="0" w:color="auto"/>
            <w:right w:val="none" w:sz="0" w:space="0" w:color="auto"/>
          </w:divBdr>
        </w:div>
        <w:div w:id="1988165934">
          <w:marLeft w:val="0"/>
          <w:marRight w:val="0"/>
          <w:marTop w:val="0"/>
          <w:marBottom w:val="0"/>
          <w:divBdr>
            <w:top w:val="none" w:sz="0" w:space="0" w:color="auto"/>
            <w:left w:val="none" w:sz="0" w:space="0" w:color="auto"/>
            <w:bottom w:val="none" w:sz="0" w:space="0" w:color="auto"/>
            <w:right w:val="none" w:sz="0" w:space="0" w:color="auto"/>
          </w:divBdr>
        </w:div>
      </w:divsChild>
    </w:div>
    <w:div w:id="2135052828">
      <w:bodyDiv w:val="1"/>
      <w:marLeft w:val="0"/>
      <w:marRight w:val="0"/>
      <w:marTop w:val="0"/>
      <w:marBottom w:val="0"/>
      <w:divBdr>
        <w:top w:val="none" w:sz="0" w:space="0" w:color="auto"/>
        <w:left w:val="none" w:sz="0" w:space="0" w:color="auto"/>
        <w:bottom w:val="none" w:sz="0" w:space="0" w:color="auto"/>
        <w:right w:val="none" w:sz="0" w:space="0" w:color="auto"/>
      </w:divBdr>
      <w:divsChild>
        <w:div w:id="133648542">
          <w:marLeft w:val="0"/>
          <w:marRight w:val="0"/>
          <w:marTop w:val="0"/>
          <w:marBottom w:val="0"/>
          <w:divBdr>
            <w:top w:val="none" w:sz="0" w:space="0" w:color="auto"/>
            <w:left w:val="none" w:sz="0" w:space="0" w:color="auto"/>
            <w:bottom w:val="none" w:sz="0" w:space="0" w:color="auto"/>
            <w:right w:val="none" w:sz="0" w:space="0" w:color="auto"/>
          </w:divBdr>
        </w:div>
        <w:div w:id="135725565">
          <w:marLeft w:val="0"/>
          <w:marRight w:val="0"/>
          <w:marTop w:val="0"/>
          <w:marBottom w:val="0"/>
          <w:divBdr>
            <w:top w:val="none" w:sz="0" w:space="0" w:color="auto"/>
            <w:left w:val="none" w:sz="0" w:space="0" w:color="auto"/>
            <w:bottom w:val="none" w:sz="0" w:space="0" w:color="auto"/>
            <w:right w:val="none" w:sz="0" w:space="0" w:color="auto"/>
          </w:divBdr>
        </w:div>
        <w:div w:id="204568504">
          <w:marLeft w:val="0"/>
          <w:marRight w:val="0"/>
          <w:marTop w:val="0"/>
          <w:marBottom w:val="0"/>
          <w:divBdr>
            <w:top w:val="none" w:sz="0" w:space="0" w:color="auto"/>
            <w:left w:val="none" w:sz="0" w:space="0" w:color="auto"/>
            <w:bottom w:val="none" w:sz="0" w:space="0" w:color="auto"/>
            <w:right w:val="none" w:sz="0" w:space="0" w:color="auto"/>
          </w:divBdr>
        </w:div>
        <w:div w:id="223876365">
          <w:marLeft w:val="0"/>
          <w:marRight w:val="0"/>
          <w:marTop w:val="0"/>
          <w:marBottom w:val="0"/>
          <w:divBdr>
            <w:top w:val="none" w:sz="0" w:space="0" w:color="auto"/>
            <w:left w:val="none" w:sz="0" w:space="0" w:color="auto"/>
            <w:bottom w:val="none" w:sz="0" w:space="0" w:color="auto"/>
            <w:right w:val="none" w:sz="0" w:space="0" w:color="auto"/>
          </w:divBdr>
        </w:div>
        <w:div w:id="251934455">
          <w:marLeft w:val="0"/>
          <w:marRight w:val="0"/>
          <w:marTop w:val="0"/>
          <w:marBottom w:val="0"/>
          <w:divBdr>
            <w:top w:val="none" w:sz="0" w:space="0" w:color="auto"/>
            <w:left w:val="none" w:sz="0" w:space="0" w:color="auto"/>
            <w:bottom w:val="none" w:sz="0" w:space="0" w:color="auto"/>
            <w:right w:val="none" w:sz="0" w:space="0" w:color="auto"/>
          </w:divBdr>
        </w:div>
        <w:div w:id="306404049">
          <w:marLeft w:val="0"/>
          <w:marRight w:val="0"/>
          <w:marTop w:val="0"/>
          <w:marBottom w:val="0"/>
          <w:divBdr>
            <w:top w:val="none" w:sz="0" w:space="0" w:color="auto"/>
            <w:left w:val="none" w:sz="0" w:space="0" w:color="auto"/>
            <w:bottom w:val="none" w:sz="0" w:space="0" w:color="auto"/>
            <w:right w:val="none" w:sz="0" w:space="0" w:color="auto"/>
          </w:divBdr>
        </w:div>
        <w:div w:id="352002195">
          <w:marLeft w:val="0"/>
          <w:marRight w:val="0"/>
          <w:marTop w:val="0"/>
          <w:marBottom w:val="0"/>
          <w:divBdr>
            <w:top w:val="none" w:sz="0" w:space="0" w:color="auto"/>
            <w:left w:val="none" w:sz="0" w:space="0" w:color="auto"/>
            <w:bottom w:val="none" w:sz="0" w:space="0" w:color="auto"/>
            <w:right w:val="none" w:sz="0" w:space="0" w:color="auto"/>
          </w:divBdr>
        </w:div>
        <w:div w:id="362443566">
          <w:marLeft w:val="0"/>
          <w:marRight w:val="0"/>
          <w:marTop w:val="0"/>
          <w:marBottom w:val="0"/>
          <w:divBdr>
            <w:top w:val="none" w:sz="0" w:space="0" w:color="auto"/>
            <w:left w:val="none" w:sz="0" w:space="0" w:color="auto"/>
            <w:bottom w:val="none" w:sz="0" w:space="0" w:color="auto"/>
            <w:right w:val="none" w:sz="0" w:space="0" w:color="auto"/>
          </w:divBdr>
        </w:div>
        <w:div w:id="425658640">
          <w:marLeft w:val="0"/>
          <w:marRight w:val="0"/>
          <w:marTop w:val="0"/>
          <w:marBottom w:val="0"/>
          <w:divBdr>
            <w:top w:val="none" w:sz="0" w:space="0" w:color="auto"/>
            <w:left w:val="none" w:sz="0" w:space="0" w:color="auto"/>
            <w:bottom w:val="none" w:sz="0" w:space="0" w:color="auto"/>
            <w:right w:val="none" w:sz="0" w:space="0" w:color="auto"/>
          </w:divBdr>
        </w:div>
        <w:div w:id="451485086">
          <w:marLeft w:val="0"/>
          <w:marRight w:val="0"/>
          <w:marTop w:val="0"/>
          <w:marBottom w:val="0"/>
          <w:divBdr>
            <w:top w:val="none" w:sz="0" w:space="0" w:color="auto"/>
            <w:left w:val="none" w:sz="0" w:space="0" w:color="auto"/>
            <w:bottom w:val="none" w:sz="0" w:space="0" w:color="auto"/>
            <w:right w:val="none" w:sz="0" w:space="0" w:color="auto"/>
          </w:divBdr>
        </w:div>
        <w:div w:id="601180492">
          <w:marLeft w:val="0"/>
          <w:marRight w:val="0"/>
          <w:marTop w:val="0"/>
          <w:marBottom w:val="0"/>
          <w:divBdr>
            <w:top w:val="none" w:sz="0" w:space="0" w:color="auto"/>
            <w:left w:val="none" w:sz="0" w:space="0" w:color="auto"/>
            <w:bottom w:val="none" w:sz="0" w:space="0" w:color="auto"/>
            <w:right w:val="none" w:sz="0" w:space="0" w:color="auto"/>
          </w:divBdr>
        </w:div>
        <w:div w:id="633413909">
          <w:marLeft w:val="0"/>
          <w:marRight w:val="0"/>
          <w:marTop w:val="0"/>
          <w:marBottom w:val="0"/>
          <w:divBdr>
            <w:top w:val="none" w:sz="0" w:space="0" w:color="auto"/>
            <w:left w:val="none" w:sz="0" w:space="0" w:color="auto"/>
            <w:bottom w:val="none" w:sz="0" w:space="0" w:color="auto"/>
            <w:right w:val="none" w:sz="0" w:space="0" w:color="auto"/>
          </w:divBdr>
        </w:div>
        <w:div w:id="679048164">
          <w:marLeft w:val="0"/>
          <w:marRight w:val="0"/>
          <w:marTop w:val="0"/>
          <w:marBottom w:val="0"/>
          <w:divBdr>
            <w:top w:val="none" w:sz="0" w:space="0" w:color="auto"/>
            <w:left w:val="none" w:sz="0" w:space="0" w:color="auto"/>
            <w:bottom w:val="none" w:sz="0" w:space="0" w:color="auto"/>
            <w:right w:val="none" w:sz="0" w:space="0" w:color="auto"/>
          </w:divBdr>
        </w:div>
        <w:div w:id="689334657">
          <w:marLeft w:val="0"/>
          <w:marRight w:val="0"/>
          <w:marTop w:val="0"/>
          <w:marBottom w:val="0"/>
          <w:divBdr>
            <w:top w:val="none" w:sz="0" w:space="0" w:color="auto"/>
            <w:left w:val="none" w:sz="0" w:space="0" w:color="auto"/>
            <w:bottom w:val="none" w:sz="0" w:space="0" w:color="auto"/>
            <w:right w:val="none" w:sz="0" w:space="0" w:color="auto"/>
          </w:divBdr>
        </w:div>
        <w:div w:id="696153152">
          <w:marLeft w:val="0"/>
          <w:marRight w:val="0"/>
          <w:marTop w:val="0"/>
          <w:marBottom w:val="0"/>
          <w:divBdr>
            <w:top w:val="none" w:sz="0" w:space="0" w:color="auto"/>
            <w:left w:val="none" w:sz="0" w:space="0" w:color="auto"/>
            <w:bottom w:val="none" w:sz="0" w:space="0" w:color="auto"/>
            <w:right w:val="none" w:sz="0" w:space="0" w:color="auto"/>
          </w:divBdr>
        </w:div>
        <w:div w:id="733966925">
          <w:marLeft w:val="0"/>
          <w:marRight w:val="0"/>
          <w:marTop w:val="0"/>
          <w:marBottom w:val="0"/>
          <w:divBdr>
            <w:top w:val="none" w:sz="0" w:space="0" w:color="auto"/>
            <w:left w:val="none" w:sz="0" w:space="0" w:color="auto"/>
            <w:bottom w:val="none" w:sz="0" w:space="0" w:color="auto"/>
            <w:right w:val="none" w:sz="0" w:space="0" w:color="auto"/>
          </w:divBdr>
        </w:div>
        <w:div w:id="738942827">
          <w:marLeft w:val="0"/>
          <w:marRight w:val="0"/>
          <w:marTop w:val="0"/>
          <w:marBottom w:val="0"/>
          <w:divBdr>
            <w:top w:val="none" w:sz="0" w:space="0" w:color="auto"/>
            <w:left w:val="none" w:sz="0" w:space="0" w:color="auto"/>
            <w:bottom w:val="none" w:sz="0" w:space="0" w:color="auto"/>
            <w:right w:val="none" w:sz="0" w:space="0" w:color="auto"/>
          </w:divBdr>
        </w:div>
        <w:div w:id="760949113">
          <w:marLeft w:val="0"/>
          <w:marRight w:val="0"/>
          <w:marTop w:val="0"/>
          <w:marBottom w:val="0"/>
          <w:divBdr>
            <w:top w:val="none" w:sz="0" w:space="0" w:color="auto"/>
            <w:left w:val="none" w:sz="0" w:space="0" w:color="auto"/>
            <w:bottom w:val="none" w:sz="0" w:space="0" w:color="auto"/>
            <w:right w:val="none" w:sz="0" w:space="0" w:color="auto"/>
          </w:divBdr>
        </w:div>
        <w:div w:id="766657011">
          <w:marLeft w:val="0"/>
          <w:marRight w:val="0"/>
          <w:marTop w:val="0"/>
          <w:marBottom w:val="0"/>
          <w:divBdr>
            <w:top w:val="none" w:sz="0" w:space="0" w:color="auto"/>
            <w:left w:val="none" w:sz="0" w:space="0" w:color="auto"/>
            <w:bottom w:val="none" w:sz="0" w:space="0" w:color="auto"/>
            <w:right w:val="none" w:sz="0" w:space="0" w:color="auto"/>
          </w:divBdr>
        </w:div>
        <w:div w:id="855119870">
          <w:marLeft w:val="0"/>
          <w:marRight w:val="0"/>
          <w:marTop w:val="0"/>
          <w:marBottom w:val="0"/>
          <w:divBdr>
            <w:top w:val="none" w:sz="0" w:space="0" w:color="auto"/>
            <w:left w:val="none" w:sz="0" w:space="0" w:color="auto"/>
            <w:bottom w:val="none" w:sz="0" w:space="0" w:color="auto"/>
            <w:right w:val="none" w:sz="0" w:space="0" w:color="auto"/>
          </w:divBdr>
        </w:div>
        <w:div w:id="912813281">
          <w:marLeft w:val="0"/>
          <w:marRight w:val="0"/>
          <w:marTop w:val="0"/>
          <w:marBottom w:val="0"/>
          <w:divBdr>
            <w:top w:val="none" w:sz="0" w:space="0" w:color="auto"/>
            <w:left w:val="none" w:sz="0" w:space="0" w:color="auto"/>
            <w:bottom w:val="none" w:sz="0" w:space="0" w:color="auto"/>
            <w:right w:val="none" w:sz="0" w:space="0" w:color="auto"/>
          </w:divBdr>
        </w:div>
        <w:div w:id="945695920">
          <w:marLeft w:val="0"/>
          <w:marRight w:val="0"/>
          <w:marTop w:val="0"/>
          <w:marBottom w:val="0"/>
          <w:divBdr>
            <w:top w:val="none" w:sz="0" w:space="0" w:color="auto"/>
            <w:left w:val="none" w:sz="0" w:space="0" w:color="auto"/>
            <w:bottom w:val="none" w:sz="0" w:space="0" w:color="auto"/>
            <w:right w:val="none" w:sz="0" w:space="0" w:color="auto"/>
          </w:divBdr>
        </w:div>
        <w:div w:id="1050769706">
          <w:marLeft w:val="0"/>
          <w:marRight w:val="0"/>
          <w:marTop w:val="0"/>
          <w:marBottom w:val="0"/>
          <w:divBdr>
            <w:top w:val="none" w:sz="0" w:space="0" w:color="auto"/>
            <w:left w:val="none" w:sz="0" w:space="0" w:color="auto"/>
            <w:bottom w:val="none" w:sz="0" w:space="0" w:color="auto"/>
            <w:right w:val="none" w:sz="0" w:space="0" w:color="auto"/>
          </w:divBdr>
        </w:div>
        <w:div w:id="1051928791">
          <w:marLeft w:val="0"/>
          <w:marRight w:val="0"/>
          <w:marTop w:val="0"/>
          <w:marBottom w:val="0"/>
          <w:divBdr>
            <w:top w:val="none" w:sz="0" w:space="0" w:color="auto"/>
            <w:left w:val="none" w:sz="0" w:space="0" w:color="auto"/>
            <w:bottom w:val="none" w:sz="0" w:space="0" w:color="auto"/>
            <w:right w:val="none" w:sz="0" w:space="0" w:color="auto"/>
          </w:divBdr>
        </w:div>
        <w:div w:id="1079131957">
          <w:marLeft w:val="0"/>
          <w:marRight w:val="0"/>
          <w:marTop w:val="0"/>
          <w:marBottom w:val="0"/>
          <w:divBdr>
            <w:top w:val="none" w:sz="0" w:space="0" w:color="auto"/>
            <w:left w:val="none" w:sz="0" w:space="0" w:color="auto"/>
            <w:bottom w:val="none" w:sz="0" w:space="0" w:color="auto"/>
            <w:right w:val="none" w:sz="0" w:space="0" w:color="auto"/>
          </w:divBdr>
        </w:div>
        <w:div w:id="1158887654">
          <w:marLeft w:val="0"/>
          <w:marRight w:val="0"/>
          <w:marTop w:val="0"/>
          <w:marBottom w:val="0"/>
          <w:divBdr>
            <w:top w:val="none" w:sz="0" w:space="0" w:color="auto"/>
            <w:left w:val="none" w:sz="0" w:space="0" w:color="auto"/>
            <w:bottom w:val="none" w:sz="0" w:space="0" w:color="auto"/>
            <w:right w:val="none" w:sz="0" w:space="0" w:color="auto"/>
          </w:divBdr>
        </w:div>
        <w:div w:id="1183058136">
          <w:marLeft w:val="0"/>
          <w:marRight w:val="0"/>
          <w:marTop w:val="0"/>
          <w:marBottom w:val="0"/>
          <w:divBdr>
            <w:top w:val="none" w:sz="0" w:space="0" w:color="auto"/>
            <w:left w:val="none" w:sz="0" w:space="0" w:color="auto"/>
            <w:bottom w:val="none" w:sz="0" w:space="0" w:color="auto"/>
            <w:right w:val="none" w:sz="0" w:space="0" w:color="auto"/>
          </w:divBdr>
        </w:div>
        <w:div w:id="1188328828">
          <w:marLeft w:val="0"/>
          <w:marRight w:val="0"/>
          <w:marTop w:val="0"/>
          <w:marBottom w:val="0"/>
          <w:divBdr>
            <w:top w:val="none" w:sz="0" w:space="0" w:color="auto"/>
            <w:left w:val="none" w:sz="0" w:space="0" w:color="auto"/>
            <w:bottom w:val="none" w:sz="0" w:space="0" w:color="auto"/>
            <w:right w:val="none" w:sz="0" w:space="0" w:color="auto"/>
          </w:divBdr>
        </w:div>
        <w:div w:id="1190098755">
          <w:marLeft w:val="0"/>
          <w:marRight w:val="0"/>
          <w:marTop w:val="0"/>
          <w:marBottom w:val="0"/>
          <w:divBdr>
            <w:top w:val="none" w:sz="0" w:space="0" w:color="auto"/>
            <w:left w:val="none" w:sz="0" w:space="0" w:color="auto"/>
            <w:bottom w:val="none" w:sz="0" w:space="0" w:color="auto"/>
            <w:right w:val="none" w:sz="0" w:space="0" w:color="auto"/>
          </w:divBdr>
        </w:div>
        <w:div w:id="1351107895">
          <w:marLeft w:val="0"/>
          <w:marRight w:val="0"/>
          <w:marTop w:val="0"/>
          <w:marBottom w:val="0"/>
          <w:divBdr>
            <w:top w:val="none" w:sz="0" w:space="0" w:color="auto"/>
            <w:left w:val="none" w:sz="0" w:space="0" w:color="auto"/>
            <w:bottom w:val="none" w:sz="0" w:space="0" w:color="auto"/>
            <w:right w:val="none" w:sz="0" w:space="0" w:color="auto"/>
          </w:divBdr>
        </w:div>
        <w:div w:id="1353339465">
          <w:marLeft w:val="0"/>
          <w:marRight w:val="0"/>
          <w:marTop w:val="0"/>
          <w:marBottom w:val="0"/>
          <w:divBdr>
            <w:top w:val="none" w:sz="0" w:space="0" w:color="auto"/>
            <w:left w:val="none" w:sz="0" w:space="0" w:color="auto"/>
            <w:bottom w:val="none" w:sz="0" w:space="0" w:color="auto"/>
            <w:right w:val="none" w:sz="0" w:space="0" w:color="auto"/>
          </w:divBdr>
        </w:div>
        <w:div w:id="1380517942">
          <w:marLeft w:val="0"/>
          <w:marRight w:val="0"/>
          <w:marTop w:val="0"/>
          <w:marBottom w:val="0"/>
          <w:divBdr>
            <w:top w:val="none" w:sz="0" w:space="0" w:color="auto"/>
            <w:left w:val="none" w:sz="0" w:space="0" w:color="auto"/>
            <w:bottom w:val="none" w:sz="0" w:space="0" w:color="auto"/>
            <w:right w:val="none" w:sz="0" w:space="0" w:color="auto"/>
          </w:divBdr>
        </w:div>
        <w:div w:id="1445424995">
          <w:marLeft w:val="0"/>
          <w:marRight w:val="0"/>
          <w:marTop w:val="0"/>
          <w:marBottom w:val="0"/>
          <w:divBdr>
            <w:top w:val="none" w:sz="0" w:space="0" w:color="auto"/>
            <w:left w:val="none" w:sz="0" w:space="0" w:color="auto"/>
            <w:bottom w:val="none" w:sz="0" w:space="0" w:color="auto"/>
            <w:right w:val="none" w:sz="0" w:space="0" w:color="auto"/>
          </w:divBdr>
        </w:div>
        <w:div w:id="1475217616">
          <w:marLeft w:val="0"/>
          <w:marRight w:val="0"/>
          <w:marTop w:val="0"/>
          <w:marBottom w:val="0"/>
          <w:divBdr>
            <w:top w:val="none" w:sz="0" w:space="0" w:color="auto"/>
            <w:left w:val="none" w:sz="0" w:space="0" w:color="auto"/>
            <w:bottom w:val="none" w:sz="0" w:space="0" w:color="auto"/>
            <w:right w:val="none" w:sz="0" w:space="0" w:color="auto"/>
          </w:divBdr>
        </w:div>
        <w:div w:id="1516455097">
          <w:marLeft w:val="0"/>
          <w:marRight w:val="0"/>
          <w:marTop w:val="0"/>
          <w:marBottom w:val="0"/>
          <w:divBdr>
            <w:top w:val="none" w:sz="0" w:space="0" w:color="auto"/>
            <w:left w:val="none" w:sz="0" w:space="0" w:color="auto"/>
            <w:bottom w:val="none" w:sz="0" w:space="0" w:color="auto"/>
            <w:right w:val="none" w:sz="0" w:space="0" w:color="auto"/>
          </w:divBdr>
        </w:div>
        <w:div w:id="1522234691">
          <w:marLeft w:val="0"/>
          <w:marRight w:val="0"/>
          <w:marTop w:val="0"/>
          <w:marBottom w:val="0"/>
          <w:divBdr>
            <w:top w:val="none" w:sz="0" w:space="0" w:color="auto"/>
            <w:left w:val="none" w:sz="0" w:space="0" w:color="auto"/>
            <w:bottom w:val="none" w:sz="0" w:space="0" w:color="auto"/>
            <w:right w:val="none" w:sz="0" w:space="0" w:color="auto"/>
          </w:divBdr>
        </w:div>
        <w:div w:id="1655375480">
          <w:marLeft w:val="0"/>
          <w:marRight w:val="0"/>
          <w:marTop w:val="0"/>
          <w:marBottom w:val="0"/>
          <w:divBdr>
            <w:top w:val="none" w:sz="0" w:space="0" w:color="auto"/>
            <w:left w:val="none" w:sz="0" w:space="0" w:color="auto"/>
            <w:bottom w:val="none" w:sz="0" w:space="0" w:color="auto"/>
            <w:right w:val="none" w:sz="0" w:space="0" w:color="auto"/>
          </w:divBdr>
        </w:div>
        <w:div w:id="1680044570">
          <w:marLeft w:val="0"/>
          <w:marRight w:val="0"/>
          <w:marTop w:val="0"/>
          <w:marBottom w:val="0"/>
          <w:divBdr>
            <w:top w:val="none" w:sz="0" w:space="0" w:color="auto"/>
            <w:left w:val="none" w:sz="0" w:space="0" w:color="auto"/>
            <w:bottom w:val="none" w:sz="0" w:space="0" w:color="auto"/>
            <w:right w:val="none" w:sz="0" w:space="0" w:color="auto"/>
          </w:divBdr>
        </w:div>
        <w:div w:id="1703936670">
          <w:marLeft w:val="0"/>
          <w:marRight w:val="0"/>
          <w:marTop w:val="0"/>
          <w:marBottom w:val="0"/>
          <w:divBdr>
            <w:top w:val="none" w:sz="0" w:space="0" w:color="auto"/>
            <w:left w:val="none" w:sz="0" w:space="0" w:color="auto"/>
            <w:bottom w:val="none" w:sz="0" w:space="0" w:color="auto"/>
            <w:right w:val="none" w:sz="0" w:space="0" w:color="auto"/>
          </w:divBdr>
        </w:div>
        <w:div w:id="1732773819">
          <w:marLeft w:val="0"/>
          <w:marRight w:val="0"/>
          <w:marTop w:val="0"/>
          <w:marBottom w:val="0"/>
          <w:divBdr>
            <w:top w:val="none" w:sz="0" w:space="0" w:color="auto"/>
            <w:left w:val="none" w:sz="0" w:space="0" w:color="auto"/>
            <w:bottom w:val="none" w:sz="0" w:space="0" w:color="auto"/>
            <w:right w:val="none" w:sz="0" w:space="0" w:color="auto"/>
          </w:divBdr>
        </w:div>
        <w:div w:id="1744452788">
          <w:marLeft w:val="0"/>
          <w:marRight w:val="0"/>
          <w:marTop w:val="0"/>
          <w:marBottom w:val="0"/>
          <w:divBdr>
            <w:top w:val="none" w:sz="0" w:space="0" w:color="auto"/>
            <w:left w:val="none" w:sz="0" w:space="0" w:color="auto"/>
            <w:bottom w:val="none" w:sz="0" w:space="0" w:color="auto"/>
            <w:right w:val="none" w:sz="0" w:space="0" w:color="auto"/>
          </w:divBdr>
        </w:div>
        <w:div w:id="1767069424">
          <w:marLeft w:val="0"/>
          <w:marRight w:val="0"/>
          <w:marTop w:val="0"/>
          <w:marBottom w:val="0"/>
          <w:divBdr>
            <w:top w:val="none" w:sz="0" w:space="0" w:color="auto"/>
            <w:left w:val="none" w:sz="0" w:space="0" w:color="auto"/>
            <w:bottom w:val="none" w:sz="0" w:space="0" w:color="auto"/>
            <w:right w:val="none" w:sz="0" w:space="0" w:color="auto"/>
          </w:divBdr>
        </w:div>
        <w:div w:id="1781535331">
          <w:marLeft w:val="0"/>
          <w:marRight w:val="0"/>
          <w:marTop w:val="0"/>
          <w:marBottom w:val="0"/>
          <w:divBdr>
            <w:top w:val="none" w:sz="0" w:space="0" w:color="auto"/>
            <w:left w:val="none" w:sz="0" w:space="0" w:color="auto"/>
            <w:bottom w:val="none" w:sz="0" w:space="0" w:color="auto"/>
            <w:right w:val="none" w:sz="0" w:space="0" w:color="auto"/>
          </w:divBdr>
        </w:div>
        <w:div w:id="1790125037">
          <w:marLeft w:val="0"/>
          <w:marRight w:val="0"/>
          <w:marTop w:val="0"/>
          <w:marBottom w:val="0"/>
          <w:divBdr>
            <w:top w:val="none" w:sz="0" w:space="0" w:color="auto"/>
            <w:left w:val="none" w:sz="0" w:space="0" w:color="auto"/>
            <w:bottom w:val="none" w:sz="0" w:space="0" w:color="auto"/>
            <w:right w:val="none" w:sz="0" w:space="0" w:color="auto"/>
          </w:divBdr>
        </w:div>
        <w:div w:id="1830901920">
          <w:marLeft w:val="0"/>
          <w:marRight w:val="0"/>
          <w:marTop w:val="0"/>
          <w:marBottom w:val="0"/>
          <w:divBdr>
            <w:top w:val="none" w:sz="0" w:space="0" w:color="auto"/>
            <w:left w:val="none" w:sz="0" w:space="0" w:color="auto"/>
            <w:bottom w:val="none" w:sz="0" w:space="0" w:color="auto"/>
            <w:right w:val="none" w:sz="0" w:space="0" w:color="auto"/>
          </w:divBdr>
        </w:div>
        <w:div w:id="1832528044">
          <w:marLeft w:val="0"/>
          <w:marRight w:val="0"/>
          <w:marTop w:val="0"/>
          <w:marBottom w:val="0"/>
          <w:divBdr>
            <w:top w:val="none" w:sz="0" w:space="0" w:color="auto"/>
            <w:left w:val="none" w:sz="0" w:space="0" w:color="auto"/>
            <w:bottom w:val="none" w:sz="0" w:space="0" w:color="auto"/>
            <w:right w:val="none" w:sz="0" w:space="0" w:color="auto"/>
          </w:divBdr>
        </w:div>
        <w:div w:id="1930968637">
          <w:marLeft w:val="0"/>
          <w:marRight w:val="0"/>
          <w:marTop w:val="0"/>
          <w:marBottom w:val="0"/>
          <w:divBdr>
            <w:top w:val="none" w:sz="0" w:space="0" w:color="auto"/>
            <w:left w:val="none" w:sz="0" w:space="0" w:color="auto"/>
            <w:bottom w:val="none" w:sz="0" w:space="0" w:color="auto"/>
            <w:right w:val="none" w:sz="0" w:space="0" w:color="auto"/>
          </w:divBdr>
        </w:div>
        <w:div w:id="1978560605">
          <w:marLeft w:val="0"/>
          <w:marRight w:val="0"/>
          <w:marTop w:val="0"/>
          <w:marBottom w:val="0"/>
          <w:divBdr>
            <w:top w:val="none" w:sz="0" w:space="0" w:color="auto"/>
            <w:left w:val="none" w:sz="0" w:space="0" w:color="auto"/>
            <w:bottom w:val="none" w:sz="0" w:space="0" w:color="auto"/>
            <w:right w:val="none" w:sz="0" w:space="0" w:color="auto"/>
          </w:divBdr>
        </w:div>
        <w:div w:id="1996302532">
          <w:marLeft w:val="0"/>
          <w:marRight w:val="0"/>
          <w:marTop w:val="0"/>
          <w:marBottom w:val="0"/>
          <w:divBdr>
            <w:top w:val="none" w:sz="0" w:space="0" w:color="auto"/>
            <w:left w:val="none" w:sz="0" w:space="0" w:color="auto"/>
            <w:bottom w:val="none" w:sz="0" w:space="0" w:color="auto"/>
            <w:right w:val="none" w:sz="0" w:space="0" w:color="auto"/>
          </w:divBdr>
        </w:div>
        <w:div w:id="2046252128">
          <w:marLeft w:val="0"/>
          <w:marRight w:val="0"/>
          <w:marTop w:val="0"/>
          <w:marBottom w:val="0"/>
          <w:divBdr>
            <w:top w:val="none" w:sz="0" w:space="0" w:color="auto"/>
            <w:left w:val="none" w:sz="0" w:space="0" w:color="auto"/>
            <w:bottom w:val="none" w:sz="0" w:space="0" w:color="auto"/>
            <w:right w:val="none" w:sz="0" w:space="0" w:color="auto"/>
          </w:divBdr>
        </w:div>
        <w:div w:id="2053382079">
          <w:marLeft w:val="0"/>
          <w:marRight w:val="0"/>
          <w:marTop w:val="0"/>
          <w:marBottom w:val="0"/>
          <w:divBdr>
            <w:top w:val="none" w:sz="0" w:space="0" w:color="auto"/>
            <w:left w:val="none" w:sz="0" w:space="0" w:color="auto"/>
            <w:bottom w:val="none" w:sz="0" w:space="0" w:color="auto"/>
            <w:right w:val="none" w:sz="0" w:space="0" w:color="auto"/>
          </w:divBdr>
        </w:div>
      </w:divsChild>
    </w:div>
    <w:div w:id="2135102397">
      <w:bodyDiv w:val="1"/>
      <w:marLeft w:val="0"/>
      <w:marRight w:val="0"/>
      <w:marTop w:val="0"/>
      <w:marBottom w:val="0"/>
      <w:divBdr>
        <w:top w:val="none" w:sz="0" w:space="0" w:color="auto"/>
        <w:left w:val="none" w:sz="0" w:space="0" w:color="auto"/>
        <w:bottom w:val="none" w:sz="0" w:space="0" w:color="auto"/>
        <w:right w:val="none" w:sz="0" w:space="0" w:color="auto"/>
      </w:divBdr>
    </w:div>
    <w:div w:id="2139106947">
      <w:bodyDiv w:val="1"/>
      <w:marLeft w:val="0"/>
      <w:marRight w:val="0"/>
      <w:marTop w:val="0"/>
      <w:marBottom w:val="0"/>
      <w:divBdr>
        <w:top w:val="none" w:sz="0" w:space="0" w:color="auto"/>
        <w:left w:val="none" w:sz="0" w:space="0" w:color="auto"/>
        <w:bottom w:val="none" w:sz="0" w:space="0" w:color="auto"/>
        <w:right w:val="none" w:sz="0" w:space="0" w:color="auto"/>
      </w:divBdr>
    </w:div>
    <w:div w:id="2140999516">
      <w:bodyDiv w:val="1"/>
      <w:marLeft w:val="0"/>
      <w:marRight w:val="0"/>
      <w:marTop w:val="0"/>
      <w:marBottom w:val="0"/>
      <w:divBdr>
        <w:top w:val="none" w:sz="0" w:space="0" w:color="auto"/>
        <w:left w:val="none" w:sz="0" w:space="0" w:color="auto"/>
        <w:bottom w:val="none" w:sz="0" w:space="0" w:color="auto"/>
        <w:right w:val="none" w:sz="0" w:space="0" w:color="auto"/>
      </w:divBdr>
    </w:div>
    <w:div w:id="2141071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2.png"/><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5.jpeg"/><Relationship Id="rId47" Type="http://schemas.openxmlformats.org/officeDocument/2006/relationships/image" Target="media/image29.emf"/><Relationship Id="rId50" Type="http://schemas.microsoft.com/office/2007/relationships/hdphoto" Target="media/hdphoto12.wdp"/><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microsoft.com/office/2007/relationships/hdphoto" Target="media/hdphoto2.wdp"/><Relationship Id="rId24" Type="http://schemas.openxmlformats.org/officeDocument/2006/relationships/image" Target="media/image11.png"/><Relationship Id="rId32" Type="http://schemas.microsoft.com/office/2007/relationships/hdphoto" Target="media/hdphoto9.wdp"/><Relationship Id="rId37" Type="http://schemas.microsoft.com/office/2007/relationships/hdphoto" Target="media/hdphoto10.wdp"/><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microsoft.com/office/2007/relationships/hdphoto" Target="media/hdphoto6.wdp"/><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microsoft.com/office/2007/relationships/hdphoto" Target="media/hdphoto8.wdp"/><Relationship Id="rId35" Type="http://schemas.openxmlformats.org/officeDocument/2006/relationships/image" Target="media/image19.pn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7.png"/><Relationship Id="rId8" Type="http://schemas.openxmlformats.org/officeDocument/2006/relationships/image" Target="media/image1.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7.wdp"/><Relationship Id="rId33" Type="http://schemas.openxmlformats.org/officeDocument/2006/relationships/image" Target="media/image17.emf"/><Relationship Id="rId38" Type="http://schemas.openxmlformats.org/officeDocument/2006/relationships/image" Target="media/image21.png"/><Relationship Id="rId46" Type="http://schemas.microsoft.com/office/2007/relationships/hdphoto" Target="media/hdphoto11.wdp"/><Relationship Id="rId59" Type="http://schemas.openxmlformats.org/officeDocument/2006/relationships/footer" Target="footer2.xml"/><Relationship Id="rId20" Type="http://schemas.openxmlformats.org/officeDocument/2006/relationships/image" Target="media/image7.png"/><Relationship Id="rId41" Type="http://schemas.openxmlformats.org/officeDocument/2006/relationships/image" Target="media/image24.jpe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4.wdp"/><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8.jpeg"/><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image" Target="media/image27.jpeg"/><Relationship Id="rId52" Type="http://schemas.openxmlformats.org/officeDocument/2006/relationships/image" Target="media/image33.emf"/><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530D62-4931-4F65-8CBF-C8978CC12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103</Pages>
  <Words>28762</Words>
  <Characters>158194</Characters>
  <Application>Microsoft Office Word</Application>
  <DocSecurity>0</DocSecurity>
  <Lines>1318</Lines>
  <Paragraphs>373</Paragraphs>
  <ScaleCrop>false</ScaleCrop>
  <HeadingPairs>
    <vt:vector size="2" baseType="variant">
      <vt:variant>
        <vt:lpstr>Título</vt:lpstr>
      </vt:variant>
      <vt:variant>
        <vt:i4>1</vt:i4>
      </vt:variant>
    </vt:vector>
  </HeadingPairs>
  <TitlesOfParts>
    <vt:vector size="1" baseType="lpstr">
      <vt:lpstr>LEY DE INGRESOS DEL ESTADO DE TLAXCALA</vt:lpstr>
    </vt:vector>
  </TitlesOfParts>
  <Company>Hewlett-Packard Company</Company>
  <LinksUpToDate>false</LinksUpToDate>
  <CharactersWithSpaces>186583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LEY DE INGRESOS DEL ESTADO DE TLAXCALA</dc:title>
  <dc:subject/>
  <dc:creator>ALFREDO AGUILAR TORRES</dc:creator>
  <cp:keywords/>
  <dc:description/>
  <cp:lastModifiedBy>Gerardo</cp:lastModifiedBy>
  <cp:revision>27</cp:revision>
  <cp:lastPrinted>2022-11-12T01:33:00Z</cp:lastPrinted>
  <dcterms:created xsi:type="dcterms:W3CDTF">2022-11-04T18:38:00Z</dcterms:created>
  <dcterms:modified xsi:type="dcterms:W3CDTF">2022-11-12T01:42:00Z</dcterms:modified>
</cp:coreProperties>
</file>