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5F66" w14:textId="65290DE8" w:rsidR="007D6E9A" w:rsidRDefault="00F20FBF"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42.55pt;margin-top:22.6pt;width:846pt;height:644.1pt;z-index:-251652096">
            <v:imagedata r:id="rId8" o:title=""/>
          </v:shape>
          <o:OLEObject Type="Embed" ProgID="Excel.Sheet.12" ShapeID="_x0000_s2101" DrawAspect="Content" ObjectID="_1830678854"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60510F9A" w:rsidR="00215B92" w:rsidRDefault="00F20FBF" w:rsidP="003926A7">
      <w:pPr>
        <w:tabs>
          <w:tab w:val="right" w:pos="9360"/>
        </w:tabs>
      </w:pPr>
      <w:r>
        <w:rPr>
          <w:noProof/>
        </w:rPr>
        <w:lastRenderedPageBreak/>
        <w:object w:dxaOrig="1440" w:dyaOrig="1440" w14:anchorId="58913841">
          <v:shape id="_x0000_s2080" type="#_x0000_t75" style="position:absolute;margin-left:-55.3pt;margin-top:14.65pt;width:595.5pt;height:619.45pt;z-index:-251655168">
            <v:imagedata r:id="rId10" o:title=""/>
            <w10:wrap side="right"/>
          </v:shape>
          <o:OLEObject Type="Embed" ProgID="Excel.Sheet.12" ShapeID="_x0000_s2080" DrawAspect="Content" ObjectID="_1830678855" r:id="rId11"/>
        </w:object>
      </w:r>
      <w:r w:rsidR="003926A7">
        <w:tab/>
      </w:r>
    </w:p>
    <w:p w14:paraId="78C71164" w14:textId="47854FBE"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F20FBF" w:rsidP="00F90A31">
      <w:pPr>
        <w:tabs>
          <w:tab w:val="center" w:pos="4680"/>
        </w:tabs>
      </w:pPr>
      <w:r>
        <w:rPr>
          <w:noProof/>
        </w:rPr>
        <w:lastRenderedPageBreak/>
        <w:object w:dxaOrig="1440" w:dyaOrig="1440" w14:anchorId="5627ED0E">
          <v:shape id="_x0000_s2102" type="#_x0000_t75" style="position:absolute;margin-left:-54pt;margin-top:2.3pt;width:632.1pt;height:676.15pt;z-index:-251651072">
            <v:imagedata r:id="rId12" o:title=""/>
          </v:shape>
          <o:OLEObject Type="Embed" ProgID="Excel.Sheet.12" ShapeID="_x0000_s2102" DrawAspect="Content" ObjectID="_1830678856"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65AA6002" w:rsidR="00215B92" w:rsidRDefault="00F20FBF" w:rsidP="00215B92">
      <w:pPr>
        <w:ind w:firstLine="708"/>
      </w:pPr>
      <w:r>
        <w:rPr>
          <w:noProof/>
        </w:rPr>
        <w:object w:dxaOrig="1440" w:dyaOrig="1440" w14:anchorId="54BE0AF3">
          <v:shape id="_x0000_s2095" type="#_x0000_t75" style="position:absolute;left:0;text-align:left;margin-left:-44.25pt;margin-top:10.6pt;width:555.55pt;height:642.05pt;z-index:251663360">
            <v:imagedata r:id="rId14" o:title=""/>
            <w10:wrap side="right"/>
          </v:shape>
          <o:OLEObject Type="Embed" ProgID="Excel.Sheet.12" ShapeID="_x0000_s2095" DrawAspect="Content" ObjectID="_1830678857" r:id="rId15"/>
        </w:object>
      </w:r>
      <w:r w:rsidR="00F21F02">
        <w:t xml:space="preserve"> </w:t>
      </w:r>
    </w:p>
    <w:p w14:paraId="739824E7" w14:textId="49268432" w:rsidR="00215B92" w:rsidRDefault="00215B92" w:rsidP="00215B92">
      <w:pPr>
        <w:ind w:firstLine="708"/>
      </w:pP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F20FBF" w:rsidP="00215B92">
      <w:pPr>
        <w:ind w:firstLine="708"/>
      </w:pPr>
      <w:r>
        <w:rPr>
          <w:noProof/>
        </w:rPr>
        <w:object w:dxaOrig="1440" w:dyaOrig="1440" w14:anchorId="19B6F674">
          <v:shape id="_x0000_s2104" type="#_x0000_t75" style="position:absolute;left:0;text-align:left;margin-left:-54.1pt;margin-top:15.45pt;width:570.8pt;height:639.7pt;z-index:251667456">
            <v:imagedata r:id="rId16" o:title=""/>
          </v:shape>
          <o:OLEObject Type="Embed" ProgID="Excel.Sheet.12" ShapeID="_x0000_s2104" DrawAspect="Content" ObjectID="_1830678858"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F20FBF" w:rsidP="00215B92">
      <w:pPr>
        <w:ind w:firstLine="708"/>
      </w:pPr>
      <w:r>
        <w:rPr>
          <w:noProof/>
        </w:rPr>
        <w:object w:dxaOrig="1440" w:dyaOrig="1440" w14:anchorId="1B198261">
          <v:shape id="_x0000_s2088" type="#_x0000_t75" style="position:absolute;left:0;text-align:left;margin-left:-54pt;margin-top:14.85pt;width:575.05pt;height:647.4pt;z-index:251662336">
            <v:imagedata r:id="rId18" o:title=""/>
            <w10:wrap side="right"/>
          </v:shape>
          <o:OLEObject Type="Embed" ProgID="Excel.Sheet.12" ShapeID="_x0000_s2088" DrawAspect="Content" ObjectID="_1830678859"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F20FBF" w:rsidP="00215B92">
      <w:pPr>
        <w:ind w:firstLine="708"/>
      </w:pPr>
      <w:r>
        <w:rPr>
          <w:noProof/>
        </w:rPr>
        <w:object w:dxaOrig="1440" w:dyaOrig="1440" w14:anchorId="3CAB8C98">
          <v:shape id="_x0000_s2103" type="#_x0000_t75" style="position:absolute;left:0;text-align:left;margin-left:-49.95pt;margin-top:22.2pt;width:567.6pt;height:656.1pt;z-index:251666432">
            <v:imagedata r:id="rId20" o:title=""/>
          </v:shape>
          <o:OLEObject Type="Embed" ProgID="Excel.Sheet.12" ShapeID="_x0000_s2103" DrawAspect="Content" ObjectID="_1830678860"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504FA4FF" w14:textId="77777777" w:rsidR="008C10B0" w:rsidRDefault="008C10B0" w:rsidP="008C10B0">
      <w:pPr>
        <w:pStyle w:val="Texto"/>
        <w:tabs>
          <w:tab w:val="left" w:pos="284"/>
        </w:tabs>
        <w:spacing w:after="0" w:line="276" w:lineRule="auto"/>
        <w:ind w:left="284" w:firstLine="0"/>
        <w:jc w:val="center"/>
        <w:rPr>
          <w:b/>
          <w:szCs w:val="18"/>
          <w:lang w:val="es-MX"/>
        </w:rPr>
      </w:pPr>
    </w:p>
    <w:p w14:paraId="1A799DCF" w14:textId="77777777" w:rsidR="008C10B0" w:rsidRDefault="008C10B0" w:rsidP="008C10B0">
      <w:pPr>
        <w:spacing w:after="0"/>
        <w:jc w:val="center"/>
        <w:rPr>
          <w:rFonts w:ascii="Arial" w:hAnsi="Arial" w:cs="Arial"/>
          <w:sz w:val="18"/>
          <w:szCs w:val="18"/>
        </w:rPr>
      </w:pPr>
      <w:r w:rsidRPr="00661A17">
        <w:rPr>
          <w:rFonts w:ascii="Arial" w:hAnsi="Arial" w:cs="Arial"/>
          <w:sz w:val="18"/>
          <w:szCs w:val="18"/>
        </w:rPr>
        <w:t>Informe de Pasivos Contingentes</w:t>
      </w:r>
    </w:p>
    <w:p w14:paraId="46A7D981" w14:textId="77777777" w:rsidR="008C10B0" w:rsidRDefault="008C10B0" w:rsidP="008C10B0">
      <w:pPr>
        <w:spacing w:after="0"/>
        <w:rPr>
          <w:rFonts w:ascii="Arial" w:hAnsi="Arial" w:cs="Arial"/>
          <w:sz w:val="18"/>
          <w:szCs w:val="18"/>
        </w:rPr>
      </w:pPr>
    </w:p>
    <w:p w14:paraId="304FF265" w14:textId="77777777" w:rsidR="008C10B0" w:rsidRDefault="008C10B0" w:rsidP="008C10B0">
      <w:pPr>
        <w:spacing w:after="0"/>
        <w:rPr>
          <w:rFonts w:ascii="Arial" w:hAnsi="Arial" w:cs="Arial"/>
          <w:sz w:val="18"/>
          <w:szCs w:val="18"/>
        </w:rPr>
      </w:pPr>
    </w:p>
    <w:p w14:paraId="0612DFF1" w14:textId="77777777" w:rsidR="008C10B0" w:rsidRDefault="008C10B0" w:rsidP="008C10B0">
      <w:pPr>
        <w:spacing w:after="0"/>
        <w:rPr>
          <w:rFonts w:ascii="Arial" w:hAnsi="Arial" w:cs="Arial"/>
          <w:sz w:val="18"/>
          <w:szCs w:val="18"/>
        </w:rPr>
      </w:pPr>
    </w:p>
    <w:p w14:paraId="1D25CC76" w14:textId="609F5F43" w:rsidR="008C10B0" w:rsidRDefault="008C10B0" w:rsidP="008C10B0">
      <w:pPr>
        <w:pStyle w:val="Texto"/>
        <w:tabs>
          <w:tab w:val="left" w:pos="284"/>
        </w:tabs>
        <w:spacing w:after="0" w:line="276" w:lineRule="auto"/>
        <w:ind w:left="284" w:firstLine="0"/>
        <w:jc w:val="center"/>
        <w:rPr>
          <w:b/>
          <w:szCs w:val="18"/>
          <w:lang w:val="es-MX"/>
        </w:rPr>
      </w:pPr>
      <w:r>
        <w:rPr>
          <w:szCs w:val="18"/>
        </w:rPr>
        <w:t xml:space="preserve">Al mes de </w:t>
      </w:r>
      <w:r w:rsidR="007B0AA3">
        <w:rPr>
          <w:szCs w:val="18"/>
        </w:rPr>
        <w:t>diciembre</w:t>
      </w:r>
      <w:r w:rsidR="00B556D9">
        <w:rPr>
          <w:szCs w:val="18"/>
        </w:rPr>
        <w:t xml:space="preserve"> de 202</w:t>
      </w:r>
      <w:r w:rsidR="00A031F9">
        <w:rPr>
          <w:szCs w:val="18"/>
        </w:rPr>
        <w:t>5</w:t>
      </w:r>
      <w:r w:rsidR="00B556D9">
        <w:rPr>
          <w:szCs w:val="18"/>
        </w:rPr>
        <w:t xml:space="preserve"> </w:t>
      </w:r>
      <w:r>
        <w:rPr>
          <w:szCs w:val="18"/>
        </w:rPr>
        <w:t>el Poder Ejecutivo del Estado</w:t>
      </w:r>
      <w:r w:rsidR="00B556D9">
        <w:rPr>
          <w:szCs w:val="18"/>
        </w:rPr>
        <w:t>,</w:t>
      </w:r>
      <w:r>
        <w:rPr>
          <w:szCs w:val="18"/>
        </w:rPr>
        <w:t xml:space="preserve"> no cuenta con Pasivos Contingentes</w:t>
      </w:r>
      <w:r w:rsidRPr="00AE47E9">
        <w:rPr>
          <w:szCs w:val="18"/>
        </w:rPr>
        <w:t>.</w:t>
      </w:r>
    </w:p>
    <w:p w14:paraId="4E218F47" w14:textId="77777777" w:rsidR="008C10B0" w:rsidRDefault="008C10B0" w:rsidP="008C10B0">
      <w:pPr>
        <w:pStyle w:val="Texto"/>
        <w:tabs>
          <w:tab w:val="left" w:pos="284"/>
        </w:tabs>
        <w:spacing w:after="0" w:line="276" w:lineRule="auto"/>
        <w:ind w:left="284" w:firstLine="0"/>
        <w:jc w:val="center"/>
        <w:rPr>
          <w:b/>
          <w:szCs w:val="18"/>
          <w:lang w:val="es-MX"/>
        </w:rPr>
      </w:pPr>
    </w:p>
    <w:p w14:paraId="78826A69" w14:textId="77777777" w:rsidR="008C10B0" w:rsidRDefault="008C10B0" w:rsidP="008C10B0">
      <w:pPr>
        <w:pStyle w:val="Texto"/>
        <w:tabs>
          <w:tab w:val="left" w:pos="284"/>
        </w:tabs>
        <w:spacing w:after="0" w:line="276" w:lineRule="auto"/>
        <w:ind w:left="284" w:firstLine="0"/>
        <w:jc w:val="center"/>
        <w:rPr>
          <w:b/>
          <w:szCs w:val="18"/>
          <w:lang w:val="es-MX"/>
        </w:rPr>
      </w:pPr>
    </w:p>
    <w:p w14:paraId="3E393342" w14:textId="77777777" w:rsidR="008C10B0" w:rsidRDefault="008C10B0" w:rsidP="008C10B0">
      <w:pPr>
        <w:pStyle w:val="Texto"/>
        <w:tabs>
          <w:tab w:val="left" w:pos="284"/>
        </w:tabs>
        <w:spacing w:after="0" w:line="276" w:lineRule="auto"/>
        <w:ind w:left="284" w:firstLine="0"/>
        <w:jc w:val="center"/>
        <w:rPr>
          <w:b/>
          <w:szCs w:val="18"/>
          <w:lang w:val="es-MX"/>
        </w:rPr>
      </w:pPr>
    </w:p>
    <w:p w14:paraId="33704138" w14:textId="77777777" w:rsidR="008C10B0" w:rsidRDefault="008C10B0" w:rsidP="008C10B0">
      <w:pPr>
        <w:pStyle w:val="Texto"/>
        <w:tabs>
          <w:tab w:val="left" w:pos="284"/>
        </w:tabs>
        <w:spacing w:after="0" w:line="276" w:lineRule="auto"/>
        <w:ind w:left="284" w:firstLine="0"/>
        <w:jc w:val="center"/>
        <w:rPr>
          <w:b/>
          <w:szCs w:val="18"/>
          <w:lang w:val="es-MX"/>
        </w:rPr>
      </w:pPr>
    </w:p>
    <w:p w14:paraId="7482DDCD" w14:textId="77777777" w:rsidR="008C10B0" w:rsidRDefault="008C10B0" w:rsidP="008C10B0">
      <w:pPr>
        <w:pStyle w:val="Texto"/>
        <w:tabs>
          <w:tab w:val="left" w:pos="284"/>
        </w:tabs>
        <w:spacing w:after="0" w:line="276" w:lineRule="auto"/>
        <w:ind w:left="284" w:firstLine="0"/>
        <w:jc w:val="center"/>
        <w:rPr>
          <w:b/>
          <w:szCs w:val="18"/>
          <w:lang w:val="es-MX"/>
        </w:rPr>
      </w:pPr>
    </w:p>
    <w:p w14:paraId="5B840738" w14:textId="77777777" w:rsidR="008C10B0" w:rsidRDefault="008C10B0" w:rsidP="008C10B0">
      <w:pPr>
        <w:pStyle w:val="Texto"/>
        <w:tabs>
          <w:tab w:val="left" w:pos="284"/>
        </w:tabs>
        <w:spacing w:after="0" w:line="276" w:lineRule="auto"/>
        <w:ind w:left="284" w:firstLine="0"/>
        <w:jc w:val="center"/>
        <w:rPr>
          <w:b/>
          <w:szCs w:val="18"/>
          <w:lang w:val="es-MX"/>
        </w:rPr>
      </w:pPr>
    </w:p>
    <w:p w14:paraId="7315D206" w14:textId="77777777" w:rsidR="008C10B0" w:rsidRDefault="008C10B0" w:rsidP="008C10B0">
      <w:pPr>
        <w:pStyle w:val="Texto"/>
        <w:tabs>
          <w:tab w:val="left" w:pos="284"/>
        </w:tabs>
        <w:spacing w:after="0" w:line="276" w:lineRule="auto"/>
        <w:ind w:left="284" w:firstLine="0"/>
        <w:jc w:val="center"/>
        <w:rPr>
          <w:b/>
          <w:szCs w:val="18"/>
          <w:lang w:val="es-MX"/>
        </w:rPr>
      </w:pPr>
    </w:p>
    <w:p w14:paraId="2727127D" w14:textId="77777777" w:rsidR="008C10B0" w:rsidRDefault="008C10B0" w:rsidP="008C10B0">
      <w:pPr>
        <w:pStyle w:val="Texto"/>
        <w:tabs>
          <w:tab w:val="left" w:pos="284"/>
        </w:tabs>
        <w:spacing w:after="0" w:line="276" w:lineRule="auto"/>
        <w:ind w:left="284" w:firstLine="0"/>
        <w:jc w:val="center"/>
        <w:rPr>
          <w:b/>
          <w:szCs w:val="18"/>
          <w:lang w:val="es-MX"/>
        </w:rPr>
      </w:pPr>
    </w:p>
    <w:p w14:paraId="20FD04E0" w14:textId="77777777" w:rsidR="008C10B0" w:rsidRDefault="008C10B0" w:rsidP="008C10B0">
      <w:pPr>
        <w:pStyle w:val="Texto"/>
        <w:tabs>
          <w:tab w:val="left" w:pos="284"/>
        </w:tabs>
        <w:spacing w:after="0" w:line="276" w:lineRule="auto"/>
        <w:ind w:left="284" w:firstLine="0"/>
        <w:jc w:val="center"/>
        <w:rPr>
          <w:b/>
          <w:szCs w:val="18"/>
          <w:lang w:val="es-MX"/>
        </w:rPr>
      </w:pPr>
    </w:p>
    <w:p w14:paraId="25B0D972" w14:textId="77777777" w:rsidR="008C10B0" w:rsidRDefault="008C10B0" w:rsidP="008C10B0">
      <w:pPr>
        <w:pStyle w:val="Texto"/>
        <w:tabs>
          <w:tab w:val="left" w:pos="284"/>
        </w:tabs>
        <w:spacing w:after="0" w:line="276" w:lineRule="auto"/>
        <w:ind w:left="284" w:firstLine="0"/>
        <w:jc w:val="center"/>
        <w:rPr>
          <w:b/>
          <w:szCs w:val="18"/>
          <w:lang w:val="es-MX"/>
        </w:rPr>
      </w:pPr>
    </w:p>
    <w:p w14:paraId="0C92BC9D" w14:textId="77777777" w:rsidR="008C10B0" w:rsidRDefault="008C10B0" w:rsidP="008C10B0">
      <w:pPr>
        <w:pStyle w:val="Texto"/>
        <w:tabs>
          <w:tab w:val="left" w:pos="284"/>
        </w:tabs>
        <w:spacing w:after="0" w:line="276" w:lineRule="auto"/>
        <w:ind w:left="284" w:firstLine="0"/>
        <w:jc w:val="center"/>
        <w:rPr>
          <w:b/>
          <w:szCs w:val="18"/>
          <w:lang w:val="es-MX"/>
        </w:rPr>
      </w:pPr>
    </w:p>
    <w:p w14:paraId="745A9079" w14:textId="77777777" w:rsidR="008C10B0" w:rsidRDefault="008C10B0" w:rsidP="008C10B0">
      <w:pPr>
        <w:pStyle w:val="Texto"/>
        <w:tabs>
          <w:tab w:val="left" w:pos="284"/>
        </w:tabs>
        <w:spacing w:after="0" w:line="276" w:lineRule="auto"/>
        <w:ind w:left="284" w:firstLine="0"/>
        <w:jc w:val="center"/>
        <w:rPr>
          <w:b/>
          <w:szCs w:val="18"/>
          <w:lang w:val="es-MX"/>
        </w:rPr>
      </w:pPr>
    </w:p>
    <w:p w14:paraId="51657010" w14:textId="77777777" w:rsidR="008C10B0" w:rsidRDefault="008C10B0" w:rsidP="008C10B0">
      <w:pPr>
        <w:pStyle w:val="Texto"/>
        <w:tabs>
          <w:tab w:val="left" w:pos="284"/>
        </w:tabs>
        <w:spacing w:after="0" w:line="276" w:lineRule="auto"/>
        <w:ind w:left="284" w:firstLine="0"/>
        <w:jc w:val="center"/>
        <w:rPr>
          <w:b/>
          <w:szCs w:val="18"/>
          <w:lang w:val="es-MX"/>
        </w:rPr>
      </w:pPr>
    </w:p>
    <w:p w14:paraId="3B88E443" w14:textId="77777777" w:rsidR="008C10B0" w:rsidRDefault="008C10B0" w:rsidP="008C10B0">
      <w:pPr>
        <w:pStyle w:val="Texto"/>
        <w:tabs>
          <w:tab w:val="left" w:pos="284"/>
        </w:tabs>
        <w:spacing w:after="0" w:line="276" w:lineRule="auto"/>
        <w:ind w:left="284" w:firstLine="0"/>
        <w:jc w:val="center"/>
        <w:rPr>
          <w:b/>
          <w:szCs w:val="18"/>
          <w:lang w:val="es-MX"/>
        </w:rPr>
      </w:pPr>
    </w:p>
    <w:p w14:paraId="0DA9BF00" w14:textId="77777777" w:rsidR="008C10B0" w:rsidRDefault="008C10B0" w:rsidP="008C10B0">
      <w:pPr>
        <w:pStyle w:val="Texto"/>
        <w:tabs>
          <w:tab w:val="left" w:pos="284"/>
        </w:tabs>
        <w:spacing w:after="0" w:line="276" w:lineRule="auto"/>
        <w:ind w:left="284" w:firstLine="0"/>
        <w:jc w:val="center"/>
        <w:rPr>
          <w:b/>
          <w:szCs w:val="18"/>
          <w:lang w:val="es-MX"/>
        </w:rPr>
      </w:pPr>
    </w:p>
    <w:p w14:paraId="4411229D" w14:textId="77777777" w:rsidR="008C10B0" w:rsidRDefault="008C10B0" w:rsidP="008C10B0">
      <w:pPr>
        <w:pStyle w:val="Texto"/>
        <w:tabs>
          <w:tab w:val="left" w:pos="284"/>
        </w:tabs>
        <w:spacing w:after="0" w:line="276" w:lineRule="auto"/>
        <w:ind w:left="284" w:firstLine="0"/>
        <w:jc w:val="center"/>
        <w:rPr>
          <w:b/>
          <w:szCs w:val="18"/>
          <w:lang w:val="es-MX"/>
        </w:rPr>
      </w:pPr>
    </w:p>
    <w:p w14:paraId="6069C30A" w14:textId="77777777" w:rsidR="008C10B0" w:rsidRDefault="008C10B0" w:rsidP="008C10B0">
      <w:pPr>
        <w:pStyle w:val="Texto"/>
        <w:tabs>
          <w:tab w:val="left" w:pos="284"/>
        </w:tabs>
        <w:spacing w:after="0" w:line="276" w:lineRule="auto"/>
        <w:ind w:left="284" w:firstLine="0"/>
        <w:jc w:val="center"/>
        <w:rPr>
          <w:b/>
          <w:szCs w:val="18"/>
          <w:lang w:val="es-MX"/>
        </w:rPr>
      </w:pPr>
    </w:p>
    <w:p w14:paraId="546C46F3" w14:textId="77777777" w:rsidR="008C10B0" w:rsidRDefault="008C10B0" w:rsidP="008C10B0">
      <w:pPr>
        <w:pStyle w:val="Texto"/>
        <w:tabs>
          <w:tab w:val="left" w:pos="284"/>
        </w:tabs>
        <w:spacing w:after="0" w:line="276" w:lineRule="auto"/>
        <w:ind w:left="284" w:firstLine="0"/>
        <w:jc w:val="center"/>
        <w:rPr>
          <w:b/>
          <w:szCs w:val="18"/>
          <w:lang w:val="es-MX"/>
        </w:rPr>
      </w:pPr>
    </w:p>
    <w:p w14:paraId="58EABCD4" w14:textId="77777777" w:rsidR="008C10B0" w:rsidRDefault="008C10B0" w:rsidP="008C10B0">
      <w:pPr>
        <w:pStyle w:val="Texto"/>
        <w:tabs>
          <w:tab w:val="left" w:pos="284"/>
        </w:tabs>
        <w:spacing w:after="0" w:line="276" w:lineRule="auto"/>
        <w:ind w:left="284" w:firstLine="0"/>
        <w:jc w:val="center"/>
        <w:rPr>
          <w:b/>
          <w:szCs w:val="18"/>
          <w:lang w:val="es-MX"/>
        </w:rPr>
      </w:pPr>
    </w:p>
    <w:p w14:paraId="405B0814" w14:textId="77777777" w:rsidR="008C10B0" w:rsidRDefault="008C10B0" w:rsidP="008C10B0">
      <w:pPr>
        <w:pStyle w:val="Texto"/>
        <w:tabs>
          <w:tab w:val="left" w:pos="284"/>
        </w:tabs>
        <w:spacing w:after="0" w:line="276" w:lineRule="auto"/>
        <w:ind w:left="284" w:firstLine="0"/>
        <w:jc w:val="center"/>
        <w:rPr>
          <w:b/>
          <w:szCs w:val="18"/>
          <w:lang w:val="es-MX"/>
        </w:rPr>
      </w:pPr>
    </w:p>
    <w:p w14:paraId="7F51B2CA" w14:textId="77777777" w:rsidR="008C10B0" w:rsidRDefault="008C10B0" w:rsidP="008C10B0">
      <w:pPr>
        <w:pStyle w:val="Texto"/>
        <w:tabs>
          <w:tab w:val="left" w:pos="284"/>
        </w:tabs>
        <w:spacing w:after="0" w:line="276" w:lineRule="auto"/>
        <w:ind w:left="284" w:firstLine="0"/>
        <w:jc w:val="center"/>
        <w:rPr>
          <w:b/>
          <w:szCs w:val="18"/>
          <w:lang w:val="es-MX"/>
        </w:rPr>
      </w:pPr>
    </w:p>
    <w:p w14:paraId="7C44F32E" w14:textId="77777777" w:rsidR="008C10B0" w:rsidRDefault="008C10B0" w:rsidP="008C10B0">
      <w:pPr>
        <w:pStyle w:val="Texto"/>
        <w:tabs>
          <w:tab w:val="left" w:pos="284"/>
        </w:tabs>
        <w:spacing w:after="0" w:line="276" w:lineRule="auto"/>
        <w:ind w:left="284" w:firstLine="0"/>
        <w:jc w:val="center"/>
        <w:rPr>
          <w:b/>
          <w:szCs w:val="18"/>
          <w:lang w:val="es-MX"/>
        </w:rPr>
      </w:pPr>
    </w:p>
    <w:p w14:paraId="7C321907" w14:textId="77777777" w:rsidR="008C10B0" w:rsidRDefault="008C10B0" w:rsidP="008C10B0">
      <w:pPr>
        <w:pStyle w:val="Texto"/>
        <w:tabs>
          <w:tab w:val="left" w:pos="284"/>
        </w:tabs>
        <w:spacing w:after="0" w:line="276" w:lineRule="auto"/>
        <w:ind w:left="284" w:firstLine="0"/>
        <w:jc w:val="center"/>
        <w:rPr>
          <w:b/>
          <w:szCs w:val="18"/>
          <w:lang w:val="es-MX"/>
        </w:rPr>
      </w:pPr>
    </w:p>
    <w:p w14:paraId="28F72259" w14:textId="77777777" w:rsidR="008C10B0" w:rsidRDefault="008C10B0" w:rsidP="008C10B0">
      <w:pPr>
        <w:pStyle w:val="Texto"/>
        <w:tabs>
          <w:tab w:val="left" w:pos="284"/>
        </w:tabs>
        <w:spacing w:after="0" w:line="276" w:lineRule="auto"/>
        <w:ind w:left="284" w:firstLine="0"/>
        <w:jc w:val="center"/>
        <w:rPr>
          <w:b/>
          <w:szCs w:val="18"/>
          <w:lang w:val="es-MX"/>
        </w:rPr>
      </w:pPr>
    </w:p>
    <w:p w14:paraId="2BED6D1A" w14:textId="77777777" w:rsidR="008C10B0" w:rsidRDefault="008C10B0" w:rsidP="008C10B0">
      <w:pPr>
        <w:pStyle w:val="Texto"/>
        <w:tabs>
          <w:tab w:val="left" w:pos="284"/>
        </w:tabs>
        <w:spacing w:after="0" w:line="276" w:lineRule="auto"/>
        <w:ind w:left="284" w:firstLine="0"/>
        <w:jc w:val="center"/>
        <w:rPr>
          <w:b/>
          <w:szCs w:val="18"/>
          <w:lang w:val="es-MX"/>
        </w:rPr>
      </w:pPr>
    </w:p>
    <w:p w14:paraId="4E7F3DD6" w14:textId="77777777" w:rsidR="008C10B0" w:rsidRDefault="008C10B0" w:rsidP="008C10B0">
      <w:pPr>
        <w:pStyle w:val="Texto"/>
        <w:tabs>
          <w:tab w:val="left" w:pos="284"/>
        </w:tabs>
        <w:spacing w:after="0" w:line="276" w:lineRule="auto"/>
        <w:ind w:left="284" w:firstLine="0"/>
        <w:jc w:val="center"/>
        <w:rPr>
          <w:b/>
          <w:szCs w:val="18"/>
          <w:lang w:val="es-MX"/>
        </w:rPr>
      </w:pPr>
    </w:p>
    <w:p w14:paraId="027407D9" w14:textId="77777777" w:rsidR="008C10B0" w:rsidRDefault="008C10B0" w:rsidP="008C10B0">
      <w:pPr>
        <w:pStyle w:val="Texto"/>
        <w:tabs>
          <w:tab w:val="left" w:pos="284"/>
        </w:tabs>
        <w:spacing w:after="0" w:line="276" w:lineRule="auto"/>
        <w:ind w:left="284" w:firstLine="0"/>
        <w:jc w:val="center"/>
        <w:rPr>
          <w:b/>
          <w:szCs w:val="18"/>
          <w:lang w:val="es-MX"/>
        </w:rPr>
      </w:pPr>
    </w:p>
    <w:p w14:paraId="385DBFC9" w14:textId="77777777" w:rsidR="008C10B0" w:rsidRDefault="008C10B0" w:rsidP="008C10B0">
      <w:pPr>
        <w:pStyle w:val="Texto"/>
        <w:tabs>
          <w:tab w:val="left" w:pos="284"/>
        </w:tabs>
        <w:spacing w:after="0" w:line="276" w:lineRule="auto"/>
        <w:ind w:left="284" w:firstLine="0"/>
        <w:jc w:val="center"/>
        <w:rPr>
          <w:b/>
          <w:szCs w:val="18"/>
          <w:lang w:val="es-MX"/>
        </w:rPr>
      </w:pPr>
    </w:p>
    <w:p w14:paraId="7F936573" w14:textId="77777777" w:rsidR="008C10B0" w:rsidRDefault="008C10B0" w:rsidP="008C10B0">
      <w:pPr>
        <w:pStyle w:val="Texto"/>
        <w:tabs>
          <w:tab w:val="left" w:pos="284"/>
        </w:tabs>
        <w:spacing w:after="0" w:line="276" w:lineRule="auto"/>
        <w:ind w:left="284" w:firstLine="0"/>
        <w:jc w:val="center"/>
        <w:rPr>
          <w:b/>
          <w:szCs w:val="18"/>
          <w:lang w:val="es-MX"/>
        </w:rPr>
      </w:pPr>
    </w:p>
    <w:p w14:paraId="54A7DF0B" w14:textId="77777777" w:rsidR="008C10B0" w:rsidRDefault="008C10B0" w:rsidP="008C10B0">
      <w:pPr>
        <w:pStyle w:val="Texto"/>
        <w:tabs>
          <w:tab w:val="left" w:pos="284"/>
        </w:tabs>
        <w:spacing w:after="0" w:line="276" w:lineRule="auto"/>
        <w:ind w:left="284" w:firstLine="0"/>
        <w:jc w:val="center"/>
        <w:rPr>
          <w:b/>
          <w:szCs w:val="18"/>
          <w:lang w:val="es-MX"/>
        </w:rPr>
      </w:pPr>
    </w:p>
    <w:p w14:paraId="472482FC" w14:textId="77777777" w:rsidR="008C10B0" w:rsidRDefault="008C10B0" w:rsidP="008C10B0">
      <w:pPr>
        <w:pStyle w:val="Texto"/>
        <w:tabs>
          <w:tab w:val="left" w:pos="284"/>
        </w:tabs>
        <w:spacing w:after="0" w:line="276" w:lineRule="auto"/>
        <w:ind w:left="284" w:firstLine="0"/>
        <w:jc w:val="center"/>
        <w:rPr>
          <w:b/>
          <w:szCs w:val="18"/>
          <w:lang w:val="es-MX"/>
        </w:rPr>
      </w:pPr>
    </w:p>
    <w:p w14:paraId="5EC1DD27" w14:textId="77777777" w:rsidR="008C10B0" w:rsidRDefault="008C10B0" w:rsidP="008C10B0">
      <w:pPr>
        <w:pStyle w:val="Texto"/>
        <w:tabs>
          <w:tab w:val="left" w:pos="284"/>
        </w:tabs>
        <w:spacing w:after="0" w:line="276" w:lineRule="auto"/>
        <w:ind w:left="284" w:firstLine="0"/>
        <w:jc w:val="center"/>
        <w:rPr>
          <w:b/>
          <w:szCs w:val="18"/>
          <w:lang w:val="es-MX"/>
        </w:rPr>
      </w:pPr>
    </w:p>
    <w:p w14:paraId="4E4E18AE" w14:textId="77777777" w:rsidR="008C10B0" w:rsidRDefault="008C10B0" w:rsidP="008C10B0">
      <w:pPr>
        <w:pStyle w:val="Texto"/>
        <w:tabs>
          <w:tab w:val="left" w:pos="284"/>
        </w:tabs>
        <w:spacing w:after="0" w:line="276" w:lineRule="auto"/>
        <w:ind w:left="284" w:firstLine="0"/>
        <w:jc w:val="center"/>
        <w:rPr>
          <w:b/>
          <w:szCs w:val="18"/>
          <w:lang w:val="es-MX"/>
        </w:rPr>
      </w:pPr>
    </w:p>
    <w:p w14:paraId="25159A30" w14:textId="77777777" w:rsidR="008C10B0" w:rsidRDefault="008C10B0" w:rsidP="008C10B0">
      <w:pPr>
        <w:pStyle w:val="Texto"/>
        <w:tabs>
          <w:tab w:val="left" w:pos="284"/>
        </w:tabs>
        <w:spacing w:after="0" w:line="276" w:lineRule="auto"/>
        <w:ind w:left="284" w:firstLine="0"/>
        <w:jc w:val="center"/>
        <w:rPr>
          <w:b/>
          <w:szCs w:val="18"/>
          <w:lang w:val="es-MX"/>
        </w:rPr>
      </w:pPr>
    </w:p>
    <w:p w14:paraId="48C8E826" w14:textId="77777777" w:rsidR="008C10B0" w:rsidRDefault="008C10B0" w:rsidP="008C10B0">
      <w:pPr>
        <w:pStyle w:val="Texto"/>
        <w:tabs>
          <w:tab w:val="left" w:pos="284"/>
        </w:tabs>
        <w:spacing w:after="0" w:line="276" w:lineRule="auto"/>
        <w:ind w:left="284" w:firstLine="0"/>
        <w:jc w:val="center"/>
        <w:rPr>
          <w:b/>
          <w:szCs w:val="18"/>
          <w:lang w:val="es-MX"/>
        </w:rPr>
      </w:pPr>
    </w:p>
    <w:p w14:paraId="5E7EC2EF" w14:textId="77777777" w:rsidR="008C10B0" w:rsidRDefault="008C10B0" w:rsidP="008C10B0">
      <w:pPr>
        <w:pStyle w:val="Texto"/>
        <w:tabs>
          <w:tab w:val="left" w:pos="284"/>
        </w:tabs>
        <w:spacing w:after="0" w:line="276" w:lineRule="auto"/>
        <w:ind w:left="284" w:firstLine="0"/>
        <w:jc w:val="center"/>
        <w:rPr>
          <w:b/>
          <w:szCs w:val="18"/>
          <w:lang w:val="es-MX"/>
        </w:rPr>
      </w:pPr>
    </w:p>
    <w:p w14:paraId="40092F74" w14:textId="77777777" w:rsidR="008C10B0" w:rsidRDefault="008C10B0" w:rsidP="008C10B0">
      <w:pPr>
        <w:pStyle w:val="Texto"/>
        <w:tabs>
          <w:tab w:val="left" w:pos="284"/>
        </w:tabs>
        <w:spacing w:after="0" w:line="276" w:lineRule="auto"/>
        <w:ind w:left="284" w:firstLine="0"/>
        <w:jc w:val="center"/>
        <w:rPr>
          <w:b/>
          <w:szCs w:val="18"/>
          <w:lang w:val="es-MX"/>
        </w:rPr>
      </w:pPr>
    </w:p>
    <w:p w14:paraId="3B6E4CCF" w14:textId="77777777" w:rsidR="008C10B0" w:rsidRDefault="008C10B0" w:rsidP="008C10B0">
      <w:pPr>
        <w:pStyle w:val="Texto"/>
        <w:tabs>
          <w:tab w:val="left" w:pos="284"/>
        </w:tabs>
        <w:spacing w:after="0" w:line="276" w:lineRule="auto"/>
        <w:ind w:left="284" w:firstLine="0"/>
        <w:jc w:val="center"/>
        <w:rPr>
          <w:b/>
          <w:szCs w:val="18"/>
          <w:lang w:val="es-MX"/>
        </w:rPr>
      </w:pPr>
    </w:p>
    <w:p w14:paraId="1185689C" w14:textId="77777777" w:rsidR="008C10B0" w:rsidRDefault="008C10B0" w:rsidP="008C10B0">
      <w:pPr>
        <w:pStyle w:val="Texto"/>
        <w:tabs>
          <w:tab w:val="left" w:pos="284"/>
        </w:tabs>
        <w:spacing w:after="0" w:line="276" w:lineRule="auto"/>
        <w:ind w:left="284" w:firstLine="0"/>
        <w:jc w:val="center"/>
        <w:rPr>
          <w:b/>
          <w:szCs w:val="18"/>
          <w:lang w:val="es-MX"/>
        </w:rPr>
      </w:pPr>
    </w:p>
    <w:p w14:paraId="460AE01E" w14:textId="77777777" w:rsidR="008C10B0" w:rsidRDefault="008C10B0" w:rsidP="008C10B0">
      <w:pPr>
        <w:pStyle w:val="Texto"/>
        <w:tabs>
          <w:tab w:val="left" w:pos="284"/>
        </w:tabs>
        <w:spacing w:after="0" w:line="276" w:lineRule="auto"/>
        <w:ind w:left="284" w:firstLine="0"/>
        <w:jc w:val="center"/>
        <w:rPr>
          <w:b/>
          <w:szCs w:val="18"/>
          <w:lang w:val="es-MX"/>
        </w:rPr>
      </w:pPr>
    </w:p>
    <w:p w14:paraId="2A44C8A0" w14:textId="77777777" w:rsidR="008C10B0" w:rsidRDefault="008C10B0" w:rsidP="008C10B0">
      <w:pPr>
        <w:pStyle w:val="Texto"/>
        <w:tabs>
          <w:tab w:val="left" w:pos="284"/>
        </w:tabs>
        <w:spacing w:after="0" w:line="276" w:lineRule="auto"/>
        <w:ind w:left="284" w:firstLine="0"/>
        <w:jc w:val="center"/>
        <w:rPr>
          <w:b/>
          <w:szCs w:val="18"/>
          <w:lang w:val="es-MX"/>
        </w:rPr>
      </w:pPr>
    </w:p>
    <w:p w14:paraId="2BD160EB" w14:textId="77777777" w:rsidR="008C10B0" w:rsidRDefault="008C10B0" w:rsidP="008C10B0">
      <w:pPr>
        <w:pStyle w:val="Texto"/>
        <w:tabs>
          <w:tab w:val="left" w:pos="284"/>
        </w:tabs>
        <w:spacing w:after="0" w:line="276" w:lineRule="auto"/>
        <w:ind w:left="284" w:firstLine="0"/>
        <w:jc w:val="center"/>
        <w:rPr>
          <w:b/>
          <w:szCs w:val="18"/>
          <w:lang w:val="es-MX"/>
        </w:rPr>
      </w:pPr>
    </w:p>
    <w:p w14:paraId="1A7FD317" w14:textId="77777777" w:rsidR="008C10B0" w:rsidRDefault="008C10B0" w:rsidP="008C10B0">
      <w:pPr>
        <w:pStyle w:val="Texto"/>
        <w:tabs>
          <w:tab w:val="left" w:pos="284"/>
        </w:tabs>
        <w:spacing w:after="0" w:line="276" w:lineRule="auto"/>
        <w:ind w:left="284" w:firstLine="0"/>
        <w:jc w:val="center"/>
        <w:rPr>
          <w:b/>
          <w:szCs w:val="18"/>
          <w:lang w:val="es-MX"/>
        </w:rPr>
      </w:pPr>
    </w:p>
    <w:p w14:paraId="34D1EA47" w14:textId="77777777" w:rsidR="008C10B0" w:rsidRDefault="008C10B0" w:rsidP="008C10B0">
      <w:pPr>
        <w:pStyle w:val="Texto"/>
        <w:tabs>
          <w:tab w:val="left" w:pos="284"/>
        </w:tabs>
        <w:spacing w:after="0" w:line="276" w:lineRule="auto"/>
        <w:ind w:left="284" w:firstLine="0"/>
        <w:jc w:val="center"/>
        <w:rPr>
          <w:b/>
          <w:szCs w:val="18"/>
          <w:lang w:val="es-MX"/>
        </w:rPr>
      </w:pPr>
    </w:p>
    <w:p w14:paraId="74158639"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78CB3024" w14:textId="77777777" w:rsidR="008C10B0" w:rsidRDefault="008C10B0" w:rsidP="008C10B0">
      <w:pPr>
        <w:pStyle w:val="Texto"/>
        <w:tabs>
          <w:tab w:val="left" w:pos="284"/>
        </w:tabs>
        <w:spacing w:after="0" w:line="276" w:lineRule="auto"/>
        <w:ind w:left="284" w:firstLine="0"/>
        <w:rPr>
          <w:b/>
          <w:szCs w:val="18"/>
          <w:lang w:val="es-MX"/>
        </w:rPr>
      </w:pPr>
    </w:p>
    <w:p w14:paraId="2602C399" w14:textId="77777777" w:rsidR="008C10B0" w:rsidRPr="0073056A" w:rsidRDefault="008C10B0" w:rsidP="008C10B0">
      <w:pPr>
        <w:pStyle w:val="Texto"/>
        <w:tabs>
          <w:tab w:val="left" w:pos="284"/>
        </w:tabs>
        <w:spacing w:after="0" w:line="276" w:lineRule="auto"/>
        <w:ind w:left="284" w:firstLine="0"/>
        <w:rPr>
          <w:b/>
          <w:szCs w:val="18"/>
        </w:rPr>
      </w:pPr>
      <w:r w:rsidRPr="0073056A">
        <w:rPr>
          <w:b/>
          <w:szCs w:val="18"/>
          <w:lang w:val="es-MX"/>
        </w:rPr>
        <w:t>Introducción</w:t>
      </w:r>
    </w:p>
    <w:p w14:paraId="53169B6C"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25556C15"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5920200B" w14:textId="77777777" w:rsidR="008C10B0"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407A2B99" w14:textId="77777777" w:rsidR="008C10B0" w:rsidRDefault="008C10B0" w:rsidP="008C10B0">
      <w:pPr>
        <w:pStyle w:val="Texto"/>
        <w:numPr>
          <w:ilvl w:val="0"/>
          <w:numId w:val="5"/>
        </w:numPr>
        <w:tabs>
          <w:tab w:val="left" w:pos="284"/>
        </w:tabs>
        <w:spacing w:after="0" w:line="276" w:lineRule="auto"/>
        <w:rPr>
          <w:b/>
          <w:szCs w:val="18"/>
          <w:lang w:val="es-MX"/>
        </w:rPr>
      </w:pPr>
      <w:r>
        <w:rPr>
          <w:b/>
          <w:szCs w:val="18"/>
          <w:lang w:val="es-MX"/>
        </w:rPr>
        <w:t>Autorización e Historia</w:t>
      </w:r>
    </w:p>
    <w:p w14:paraId="29E7721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2F117ABC"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4C9E3A9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6D3B7B57"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1DF79E6F"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3F85DC78"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D67C0C3" w14:textId="663DFB4B"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905EA49" w14:textId="77777777" w:rsidR="00A11793" w:rsidRDefault="00A11793" w:rsidP="008C10B0">
      <w:pPr>
        <w:tabs>
          <w:tab w:val="left" w:pos="284"/>
        </w:tabs>
        <w:ind w:left="284"/>
        <w:jc w:val="both"/>
        <w:rPr>
          <w:rFonts w:ascii="Arial" w:hAnsi="Arial" w:cs="Arial"/>
          <w:sz w:val="18"/>
          <w:szCs w:val="18"/>
        </w:rPr>
      </w:pPr>
    </w:p>
    <w:p w14:paraId="605AB229" w14:textId="77777777" w:rsidR="008C10B0" w:rsidRPr="0073056A" w:rsidRDefault="008C10B0" w:rsidP="008C10B0">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700B1B5A" w14:textId="77777777" w:rsidR="00045E28" w:rsidRPr="00A74179" w:rsidRDefault="00045E28" w:rsidP="00045E28">
      <w:pPr>
        <w:tabs>
          <w:tab w:val="left" w:pos="284"/>
        </w:tabs>
        <w:ind w:left="284"/>
        <w:jc w:val="both"/>
        <w:rPr>
          <w:rFonts w:ascii="Arial" w:hAnsi="Arial" w:cs="Arial"/>
          <w:sz w:val="18"/>
          <w:szCs w:val="18"/>
        </w:rPr>
      </w:pPr>
      <w:r w:rsidRPr="00A74179">
        <w:rPr>
          <w:rFonts w:ascii="Arial" w:hAnsi="Arial" w:cs="Arial"/>
          <w:sz w:val="18"/>
          <w:szCs w:val="18"/>
        </w:rPr>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75253292" w14:textId="77777777" w:rsidR="00045E28" w:rsidRPr="00A74179" w:rsidRDefault="00045E28" w:rsidP="00045E28">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2F11F404" w14:textId="77777777" w:rsidR="00045E28" w:rsidRPr="00A74179" w:rsidRDefault="00045E28" w:rsidP="00045E28">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5ECB035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la economía global continuó creciendo a un ritmo moderado, a pesar de un entorno de incertidumbre, tensiones comerciales y conflictos geopolíticos. Si bien hacia el cierre del periodo se observó una menor volatilidad de los mercados, prevaleció un enfoque prudente en las decisiones de consumo e inversión. La economía estadounidense creció 0.7% trimestral en el periodo, revirtiendo la contracción observada entre enero y marzo. Este desempeño preliminar se atribuyó a la normalización de las importaciones tras compras anticipadas, así como a un mayor gasto de los hogares. </w:t>
      </w:r>
    </w:p>
    <w:p w14:paraId="2D4CCC5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Por el contrario, la actividad en la zona euro se moderó a una tasa de 0.1% real, afectada por una menor confianza del consumidor y un débil desempeño del sector manufacturero. En China, la actividad económica sorprendió al alza ante una mayor producción industrial y fortaleza en sus exportaciones, aunque su economía se desaceleró 0.1 puntos porcentuales (pp) respecto al nivel observado entre enero y marzo. En la mayoría de las economías avanzadas, la inflación continuó su trayectoria descendente, acercándose a los objetivos de los bancos centrales. </w:t>
      </w:r>
    </w:p>
    <w:p w14:paraId="76472ED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Estados Unidos (EE.UU.), la inflación repuntó en junio a medida que algunos precios de mercancías comenzaron a reflejar el impacto de los aranceles, aunque estos fueron contenidos por los altos niveles de inventarios, mientras que se moderó la inflación por servicios. A nivel internacional, destacó una baja en los precios del petróleo, favorecida por una mayor oferta de la Organización de Países Exportadores de Petróleo y sus aliados (OPEP+). Los principales bancos centrales continuaron relajando su postura monetaria. El Banco Central Europeo (BCE) redujo sus tasas de interés oficiales tras la disminución de la inflación, mientras que el Banco Popular de China (BPC) redujo su tasa preferencial de préstamos a un año de 3.10 a 3.00% en mayo para estimular su mercado interno. </w:t>
      </w:r>
    </w:p>
    <w:p w14:paraId="23DCF22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Por su parte, la Reserva Federal (FED) en EE.UU. mantuvo la tasa de fondos federales en un rango de 4.25-4.50%, a la espera de más información sobre el impacto de la nueva política arancelaria; no obstante, el mercado estima que en lo que resta del año se podrían concretar recortes de hasta 50 puntos base (pb). En los mercados financieros, entre abril y junio se registraron episodios de alta volatilidad, que se disiparon parcialmente a medida que EE.UU. cerró acuerdos comerciales y el conflicto entre Irán e Israel perdió intensidad. También destacó un debilitamiento del dólar, lo que favoreció la apreciación de diversas monedas emergentes, en particular en América Latina. En ese mismo periodo se redujo la percepción de riesgo hacia países emergentes.</w:t>
      </w:r>
    </w:p>
    <w:p w14:paraId="6E41B7E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este entorno internacional complejo, el desempeño de la economía mexicana superó las expectativas del consenso de analistas en el segundo trimestre y su crecimiento se ubicó por encima del promedio histórico. Este resultado se vio impulsado por la fortaleza del consumo de los hogares, un tipo de cambio más competitivo que fortaleció al sector externo y una sólida integración comercial con EE.UU., respaldada por la posición favorable de México en materia arancelaria respecto al resto del mundo, pese a la persistente incertidumbre global. </w:t>
      </w:r>
    </w:p>
    <w:p w14:paraId="6A39D41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Con datos del Instituto Nacional de Estadística y Geografía (INEGI), el Producto Interno Bruto (PIB) creció 0.7% trimestral con cifras desestacionalizadas. Por sector, las actividades primarias se contrajeron 1.3% tras una elevada base de comparación, derivada del sólido crecimiento registrado en el primer trimestre, cuando las condiciones meteorológicas fueron particularmente favorables para la producción agrícola. Las actividades secundarias crecieron 0.8%, de manera resiliente, impulsadas por un sólido desempeño en las manufacturas, especialmente en rubros ligados al comercio exterior, como equipo de transporte y productos metálicos. Las actividades terciarias crecieron 0.7%, apoyadas por el dinamismo del mercado interno, con contribuciones destacadas en servicios profesionales, transporte, esparcimiento y otros servicios personales, en un entorno de mayores ingresos laborales y un mayor consumo. </w:t>
      </w:r>
    </w:p>
    <w:p w14:paraId="4789696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Con información a abril, el consumo privado repuntó respecto al trimestre previo. En ese mes, este indicador creció 1.1% mensual con cifras ajustadas por estacionalidad, impulsado por aumentos de 2.0% en bienes de origen nacional y 0.7% en servicios. En lo que va del año, el consumo privado acumuló un crecimiento de 2.2% respecto al cierre de 2024, el mejor desempeño para un periodo similar desde 2021. Durante el segundo trimestre de 2025, la inflación general promedió 4.2%, lo que representó un ligero repunte de 0.5 pp respecto al primer trimestre. </w:t>
      </w:r>
    </w:p>
    <w:p w14:paraId="7D9DEE2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La inflación subyacente se ubicó en 4.1%, impulsada por mayores precios de las mercancías, producto de un efecto rezagado por la depreciación cambiaria y la normalización de precios de mercancías no alimenticias. La inflación no subyacente se situó en 4.5% debido a aumentos en los precios del pollo y la carne de res, así como una menor deflación en frutas y verduras. En contraste, la inflación de energéticos disminuyó, gracias al acuerdo para establecer un precio máximo en la gasolina magna. </w:t>
      </w:r>
    </w:p>
    <w:p w14:paraId="2EC66EE4"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 pesar de la incertidumbre internacional, el sector externo mantuvo una contribución relevante al crecimiento, favorecido por un tipo de cambio real más competitivo que en 2024. Las exportaciones crecieron 1.8% trimestral, con cifras desestacionalizadas. Destacaron las exportaciones de manufacturas de alto contenido tecnológico, como computadoras y equipo electrónico, lo que contribuyó a un superávit comercial de 543 millones de dólares al cierre de junio.</w:t>
      </w:r>
    </w:p>
    <w:p w14:paraId="0D98EC2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Con datos a mayo, los ingresos por turismo aumentaron 6.4% anual, alcanzando 15.9 mil millones de dólares. En contraste, las remesas disminuyeron 3.0% anual, con un total de 24.4 mil millones de dólares, reflejo de una moderación en el empleo de mexicanos en EE.UU.</w:t>
      </w:r>
    </w:p>
    <w:p w14:paraId="3EA79CE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Durante el primer trimestre, último corte disponible, la Inversión Extranjera Directa (IED) ascendió a 21 mil 373 millones de dólares, un máximo histórico para el periodo con datos preliminares. El flujo se concentró en el sector manufacturero, particularmente en la fabricación de automóviles, camiones y autopartes. Este desempeño confirma la confianza en el potencial de crecimiento y la estabilidad económica del país. El sistema financiero mexicano se mantuvo resiliente en el segundo trimestre, sustentado en un sistema bancario solvente y bien capitalizado, con baja morosidad, según estándares internacionales. </w:t>
      </w:r>
    </w:p>
    <w:p w14:paraId="3F3A5D5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Al cierre del periodo, el tipo de cambio se ubicó en 18.75 pesos por dólar, apreciándose 9.2% frente a marzo. Este comportamiento fue similar al observado en otras economías como Brasil, Chile y Colombia. El EMBI+ de México bajó 24 pb en el periodo, alineado con la tendencia de países emergentes. Por último, con datos a mayo, el crédito vigente al sector privado no financiero creció 0.8% real respecto a marzo. El crédito al consumo y a la vivienda crecieron 1.4 y 0.2% real, respectivamente. El Índice de Capitalización (ICAP) se ubicó en 19.8%, muy por encima del mínimo regulatorio de 10.5% (Basilea III), mientras que el Índice de Morosidad (IMOR) cerró en 2.1%, en línea con el promedio de los últimos doce meses y muy por debajo de niveles observados en episodios de estrés financiero.</w:t>
      </w:r>
    </w:p>
    <w:p w14:paraId="3D1BF19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la primera mitad del año, las finanzas públicas registraron una evolución ordenada, acorde con las metas planteadas en el Paquete Económico 2025. El balance presupuestario se ubicó por debajo de lo calendarizado para el periodo, debido al crecimiento sostenido de los ingresos y una gestión estratégica del gasto público que priorizó el ejercicio efectivo de los derechos constitucionales de la población y el impulso al crecimiento económico. Lo anterior contribuyó a que la deuda pública permaneciera en un nivel estable y sostenible. </w:t>
      </w:r>
    </w:p>
    <w:p w14:paraId="74108BB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acumulado a junio, los ingresos presupuestarios aumentaron 3.4% real respecto al mismo periodo de 2024, un crecimiento destacado comparado con el promedio histórico. Al interior, los ingresos tributarios crecieron 8.0% real a tasa anual, la más alta desde 2016, impulsados por una mayor recaudación primaria y diversas medidas para combatir la evasión, el contrabando y la informalidad, así como por la incorporación de nuevas herramientas digitales para fortalecer la fiscalización. Este avance fue posible sin crear nuevos impuestos ni aumentar los existentes. </w:t>
      </w:r>
    </w:p>
    <w:p w14:paraId="39CCE57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el periodo, los ingresos por concepto del Impuesto sobre la Renta (ISR) representaron el 56.7% de la recaudación total y aumentaron 7.9% real anual. Este resultado se explicó, principalmente, por el crecimiento de los salarios, mayores ganancias empresariales y rendimientos financieros. Respecto a lo programado, este rubro fue superior en 49 mil millones de pesos.</w:t>
      </w:r>
    </w:p>
    <w:p w14:paraId="048BD4F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Por su parte, la recaudación por concepto del Impuesto al Valor Agregado (IVA) representó el 26.9% de los ingresos tributarios y creció 9.7% real respecto al primer semestre de 2024, la tasa de crecimiento más alta para el periodo desde 2018. Este desempeño fue resultado del dinamismo del consumo privado, una mayor fiscalización aduanera y el efecto de un tipo de cambio real más competitivo que elevó la valuación relativa en pesos de los bienes importados. En comparación con el programa, este rubro fue superior en 47 mil millones de pesos. Los ingresos asociados con el rubro de importaciones aumentaron 33.2% real anual, la mayor tasa para un primer semestre desde que se tiene registro. </w:t>
      </w:r>
    </w:p>
    <w:p w14:paraId="0376775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Este resultado respondió a un control y supervisión más estrictos del comercio electrónico, apoyado en un nuevo marco fiscal para plataformas digitales, mayor vigilancia aduanera y la actualización de fracciones arancelarias para países sin tratado comercial con México. Por su parte, los ingresos no tributarios del Gobierno Federal aumentaron 30.0% real anual, impulsados por mayores registros de derechos, productos y aprovechamientos. Con respecto al programa, este rubro superó lo previsto en 47 mil millones de pesos. </w:t>
      </w:r>
    </w:p>
    <w:p w14:paraId="72CD8D3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Adicionalmente, los ingresos propios del Instituto Mexicano del Seguro Social (IMSS) aumentaron 2.7% real anual en el acumulado a junio, con una contribución significativa de las cuotas a la seguridad social, reflejo del crecimiento en el empleo permanente y los salarios. No obstante, durante el periodo se observaron reducciones de 0.7 y 5.8% real anual en los ingresos propios del Instituto de Seguridad y Servicios Sociales de los Trabajadores del Estado (ISSSTE) y de la Comisión Federal de Electricidad (CFE), respectivamente. </w:t>
      </w:r>
    </w:p>
    <w:p w14:paraId="52AE4DF1"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Por su parte, el gasto neto total disminuyó 3.8% real anual durante el primer semestre del año, en línea con el proceso de consolidación fiscal establecido en el Presupuesto de Egresos de la Federación (PEF) para el ejercicio 2025, y como resultado de la base alta de comparación de 2024 donde se ejerció un gasto importante en proyectos prioritarios. En el acumulado a junio, el gasto presentó un avance del 94.1% respecto al nivel programado, lo que garantizó la ejecución oportuna de programas sociales y proyectos de infraestructura estratégica. </w:t>
      </w:r>
    </w:p>
    <w:p w14:paraId="03F0F8C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Entre enero y junio, el gasto en protección social aumentó 6.0% real anual, lo que reafirmó el compromiso del Gobierno de México de garantizar a la población el ejercicio pleno de sus derechos constitucionales. A través de programas como la Pensión para el Bienestar de las Personas Adultas Mayores, la Pensión para el Bienestar de las Personas con Discapacidad y, recientemente, la Pensión Mujeres Bienestar, se aseguraron recursos suficientes para seguir mejorando la calidad de vida de las y los beneficiarios.</w:t>
      </w:r>
    </w:p>
    <w:p w14:paraId="4E84EF84"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Como resultado de diversas operaciones de refinanciamiento de pasivos, el costo financiero se ubicó 20 mil millones de pesos por debajo de lo previsto en el programa para el primer semestre del año, lo que amplió el espacio fiscal para asignar recursos a prioridades sociales y productivas. No obstante, en la comparación anual, el costo financiero de la deuda aumentó 10.8% real respecto al primer semestre de 2024, en un entorno de condiciones financieras aún restrictivas, aunque con señales de moderación. </w:t>
      </w:r>
    </w:p>
    <w:p w14:paraId="5CE57324"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De esta manera, los balances fiscales mostraron un desempeño mejor al previsto. El déficit presupuestario del sector público se ubicó en 466 mil millones de pesos, esto es, 192 mil millones de pesos por debajo de lo calendarizado para el periodo. Esto favoreció la materialización de un superávit primario presupuestario de 235 mil millones de pesos, superior al valor programado de 63 mil millones de pesos. Por su parte, los Requerimientos Financieros del Sector Público (RFSP) alcanzaron los 568 mil millones de pesos, consistente con una trayectoria sostenible de las finanzas públicas.</w:t>
      </w:r>
    </w:p>
    <w:p w14:paraId="697F244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primer semestre de 2025, la política de deuda pública se enfocó en mantener una estrategia proactiva de refinanciamiento de los pasivos del Gobierno Federal, tanto en los mercados locales como internacionales, con el objetivo de mitigar costos y riesgos, así como de mejorar el perfil de vencimientos del portafolio. Esta estrategia ha sido clave para preservar una trayectoria sostenible y estable de la deuda como proporción del PIB. Al cierre de junio, la deuda pública, medida por el Saldo Histórico de los Requerimientos Financieros del Sector Público (SHRFSP), se ubicó en 17 billones 797 mil millones de pesos, equivalente al 49.5% del PIB. </w:t>
      </w:r>
    </w:p>
    <w:p w14:paraId="4D9F05A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El componente interno ascendió a 13 billones 422 mil millones de pesos (75.4% del total), mientras que el externo registró un nivel de 232 mil millones de dólares (24.6% del total). En cuanto a la estrategia de manejo de pasivos, se continuó con las operaciones de refinanciamiento orientadas a extender los plazos de vencimiento y fortalecer la estructura del portafolio. </w:t>
      </w:r>
    </w:p>
    <w:p w14:paraId="68A9371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del año, se refinanciaron 256 mil millones de pesos en el mercado interno, lo que fortaleció la capacidad de liquidez de corto plazo y contribuyó a una estructura de deuda más robusta y eficiente, como parte de una gestión responsable del endeudamiento público. Asimismo, como parte del compromiso del Gobierno de México de promover un desarrollo sostenible, el 30 de mayo se llevó a cabo una colocación sindicada en el mercado interno de Bondes G por 30 mil millones de pesos. </w:t>
      </w:r>
    </w:p>
    <w:p w14:paraId="3EB3D35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Por otro lado, el 12 de junio se realizó la colocación sindicada de una nueva referencia de Bonos M a 10 años, por un monto de 15 mil millones de pesos, con vencimiento en febrero de 2036 y una tasa cupón de 8.0%. En el mercado externo, el 23 de junio se colocaron dos nuevos bonos de referencia por un monto total de 7 mil millones de dólares y se refinanciaron 3 mil millones de dólares en bonos con vencimientos programados entre 2027 y 2031. Estas operaciones permitieron reducir presiones futuras en el perfil de amortizaciones y responder oportunamente a las condiciones favorables de liquidez internacional.</w:t>
      </w:r>
    </w:p>
    <w:p w14:paraId="13BE690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Gracias a estas acciones, los indicadores de riesgo soberano mejoraron durante el segundo trimestre. La prima de las Permutas de Incumplimiento Crediticio (CDS) a cinco años para la deuda del Gobierno de México disminuyó 29 pb, ubicándose en 107 puntos al cierre de junio. Por su parte, el EMBI+ —que mide los diferenciales de tasa asociados al riesgo país— retrocedió 24 puntos, para cerrar en 197 puntos, en línea con la tendencia observada en otras economías emergentes.</w:t>
      </w:r>
    </w:p>
    <w:p w14:paraId="0ACEDCAD"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la economía global mantuvo un ritmo de crecimiento moderado, similar al del trimestre anterior, en un entorno caracterizado por incertidumbre, tensiones comerciales y conflictos geopolíticos. La probabilidad de una recesión global alcanzó su punto más elevado en abril tras el anuncio de aranceles recíprocos de EE.UU. a sus socios comerciales. En este entorno, la implementación de nuevos aranceles y el incremento en la incertidumbre limitaron las decisiones de inversión y consumo, afectando el crecimiento económico global y aumentando el riesgo al alza en los precios, particularmente en EE.UU. y en aquellos países que tomaron represalias. </w:t>
      </w:r>
    </w:p>
    <w:p w14:paraId="3CF48AC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Sin embargo, el nerviosismo en los mercados y las expectativas de una desaceleración global disminuyeron en mayo y junio tras la suspensión de los aranceles recíprocos por 90 días por parte de EE.UU. y el acuerdo temporal con China para reducir aranceles. Como resultado, el índice de incertidumbre política de EE.UU. se redujo un 50% desde el máximo observado en abril, aunque permaneció en niveles históricamente elevados. En este contexto, la economía estadounidense creció 0.7% en el segundo trimestre debido a la normalización de las importaciones luego de que las compras anticipadas por los aranceles causaran un incremento significativo. Si bien la inversión fija se desaceleró, el crecimiento del consumo privado compensó la caída en inventarios. </w:t>
      </w:r>
    </w:p>
    <w:p w14:paraId="0C7BC08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contraste, la economía de la zona euro se desaceleró por una menor demanda externa, mientras que en China el ritmo de crecimiento superó las expectativas, ante la resiliencia de las exportaciones pese a las tensiones con EE.UU. —aunque la demanda interna siguió débil a pesar de los apoyos gubernamentales—. </w:t>
      </w:r>
    </w:p>
    <w:p w14:paraId="0296515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la mayoría de las economías avanzadas, la inflación continuó su trayectoria a la baja, acercándose a los objetivos de los bancos centrales. En EE.UU., la inflación de servicios se moderó, mientras que algunos precios de mercancías comenzaron a reflejar el impacto de los aranceles, si bien contenidos por los altos niveles de inventarios. Los precios internacionales de alimentos y crudo disminuyeron, este último ante una menor demanda y una mayor oferta de la OPEP+, pese al conflicto militar en Medio Oriente. </w:t>
      </w:r>
    </w:p>
    <w:p w14:paraId="5BBB3CF6"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Por otro lado, se registraron incrementos en los precios del acero, aluminio y oro asociado a las tensiones comerciales y geopolíticas. Como resultado del entorno inflacionario, la mayoría de los bancos centrales continuaron con su relajamiento monetario, aunque con cautela. Destacó el BCE que redujo su tasa de depósitos a 2.0%, ubicándose en terreno neutral. En contraste, la FED mantuvo el rango de la tasa de fondos federales en 4.25-4.50% derivado de la incertidumbre provocada por la implementación de los aranceles y su posible efecto sobre la actividad económica y los precios.</w:t>
      </w:r>
    </w:p>
    <w:p w14:paraId="391E98B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Los mercados internacionales enfrentaron alta volatilidad y un endurecimiento de las condiciones financieras, especialmente a inicios del segundo trimestre del año. Los índices accionarios cayeron en abril, pero se recuperaron con el avance de las negociaciones comerciales de EE.UU. con varios países, en particular con China. Por su parte, el debilitamiento del dólar estadounidense resultó en la apreciación de monedas emergentes, mientras los rendimientos de bonos a largo plazo en economías avanzadas subieron por presiones fiscales. La percepción de riesgo hacia países emergentes mejoró tras la pausa de algunos aranceles, aunque estuvo sujeta a riesgos geopolíticos e incertidumbre ligada a nuevos acuerdos comerciales con EE.UU.</w:t>
      </w:r>
    </w:p>
    <w:p w14:paraId="65D56BCF"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El PIB real de EE.UU. registró en su versión preliminar un crecimiento de 0.7% trimestral, en contraste con la caída de 0.1% observada en el trimestre anterior, y por encima del 0.2% esperado por el consenso de analistas en abril. La recuperación respondió principalmente a la normalización de las importaciones tras la disipación de las compras anticipadas motivadas por los cambios en la política arancelaria. En consecuencia, las exportaciones netas contribuyeron 1.2 pp al crecimiento del PIB, compensando la caída del primer trimestre. </w:t>
      </w:r>
    </w:p>
    <w:p w14:paraId="4795E16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El gasto de los hogares creció respecto al trimestre anterior, impulsado por niveles bajos de desempleo, una posición financiera saludable de los hogares y una ligera recuperación en el sentimiento del consumidor en junio, aunque limitado por la incertidumbre comercial. Este crecimiento se debió principalmente a una mayor demanda de servicios de salud y bienes duraderos, lo que elevó la contribución del consumo privado al PIB en 0.2 pp, por encima de los 0.1 pp del trimestre previo. Por su parte, el gasto público también aumentó ligeramente, principalmente por un incremento en el gasto en defensa y de gobiernos locales. </w:t>
      </w:r>
    </w:p>
    <w:p w14:paraId="5BF51A4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cambio, la desacumulación de inventarios restó 0.8 pp al PIB, tras el aumento en el trimestre anterior, en línea con las compras adelantadas de importaciones. La inversión residencial tuvo una contribución prácticamente nula, afectada por las altas tasas de interés hipotecarias. Por su parte, la inversión no residencial contribuyó en 0.1 pp, ya que el dinamismo en el rubro de propiedad intelectual y equipamiento fue parcialmente contrarrestado por una contracción en las estructuras.</w:t>
      </w:r>
    </w:p>
    <w:p w14:paraId="64FD611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la actividad económica se desaceleró a una tasa trimestral de 0.1% real, menor al 0.6% en el trimestre anterior, debido a la disipación del adelanto de pedidos de exportación. En el bimestre abril-mayo, el sector manufacturero se contrajo 0.3% respecto al trimestre previo, mientras que los indicadores adelantados del sector sugirieron un débil desempeño en lo que restó del trimestre por la incertidumbre comercial con EE.UU. Además, pese a que la inflación disminuyó y el mercado laboral se mantuvo robusto, la confianza del consumidor se redujo 1.6 puntos con respecto al trimestre previo, lo que representó su mayor caída trimestral desde 2022. </w:t>
      </w:r>
    </w:p>
    <w:p w14:paraId="6783A18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inflación general anual disminuyó de 2.2% en marzo a 2.0% en junio de 2025 en línea con el objetivo del BCE, como resultado de una mayor deflación en energéticos y una disminución en la inflación subyacente, que fue contrarrestada en parte por un incremento en la inflación de alimentos. En particular, el componente subyacente disminuyó de 2.4 a 2.3%, en el mismo periodo, debido a una menor inflación en servicios, mientras que la inflación de bienes también contribuyó en el mismo sentido.</w:t>
      </w:r>
    </w:p>
    <w:p w14:paraId="3FD7910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el segundo trimestre de 2025, la economía china desaceleró su crecimiento trimestral a 1.1%, inferior al 1.2% del trimestre anterior, aunque superior lo previsto por el consenso de analistas en abril (0.8%). Este mejor desempeño se atribuye a una mayor fortaleza de la producción industrial y de las exportaciones tras el acuerdo temporal con EE.UU. para reducir los aranceles recíprocos. Sin embargo, el desempeño de las ventas minoristas reflejó un mercado interno débil, compensado por un ligero incremento de las importaciones y por los apoyos gubernamentales para financiar artículos de consumo, tales como electrodomésticos y vehículos.</w:t>
      </w:r>
    </w:p>
    <w:p w14:paraId="4BE3981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Los indicadores adelantados mostraron que el sector servicios se mantuvo por encima del umbral mínimo de expansión, mientras que las manufacturas continuaron en terreno de contracción durante el trimestre. Por otro lado, la inversión inmobiliaria y los precios de las viviendas profundizaron su caída, pese a una política monetaria más acomodaticia del banco central. La confianza del consumidor permaneció baja, al igual que los precios al consumidor, que subieron ligeramente un 0.1% anual en junio, tras cuatro meses en deflación.</w:t>
      </w:r>
    </w:p>
    <w:p w14:paraId="754F001F"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los precios del crudo mantuvieron una tendencia a la baja, afectados por tensiones comerciales y cambios en la política arancelaria de EE.UU., aunque el conflicto entre Israel e Irán (13-24 de junio) moderó temporalmente la caída. La presión a la baja se intensificó con el aumento de la oferta de la OPEP+, que incrementó la producción en 135 millones de barriles diarios (Mbd) en abril y 411 Mbd en mayo y junio, como parte de un acuerdo para revertir gradualmente recortes de 2.2 Mbd. Al 30 de junio, los precios del Brent, WTI y Mezcla Mexicana se ubicaron en 68.0, 65.1, y 61.1 respectivamente, lo que resultó en una caída de 11.9, 8.9 y 8.4%, frente al cierre de marzo —reflejando un mercado influido por una mayor oferta y tensiones comerciales—. En el mismo periodo los precios del gas natural Henry Hub y el TTF disminuyeron 20.7 y 12.0%, respectivamente para ubicarse en los 3.3 y 11.4 dólares por MMBTU (millones de unidades térmicas británicas), derivado de una menor demanda estacional ante temperaturas más favorables en países del hemisferio norte, una reducción en las compras de gas natural licuado (GNL) por parte de China y una mayor acumulación de inventarios en EE.UU. </w:t>
      </w:r>
    </w:p>
    <w:p w14:paraId="72C4ADE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Entre los metales industriales, el aluminio y el acero registraron variaciones de 3.2 y - 1.1%, respectivamente, entre el primer y segundo trimestre del año. El aumento de aranceles en EE.UU. del 25 al 50% impulsó el precio del aluminio por limitaciones de producción, mientras que en el acero predominó la debilidad de la demanda. En los metales preciosos, los riesgos comerciales y geopolíticos elevaron el precio del oro en 5.9%, mientras que la combinación de una mayor demanda y una disminución en la oferta incrementó el precio del platino en 32.1%. Finalmente, los precios de los alimentos aumentaron 0.6% entre marzo y junio, de acuerdo con la Organización de las Naciones Unidas para la Alimentación y la Agricultura (FAO, por sus siglas en inglés). </w:t>
      </w:r>
    </w:p>
    <w:p w14:paraId="7E51694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Por una parte, los precios de cultivos como el trigo, el maíz y el azúcar presentaron caídas de 1.5, 8.0 y 11.6%, respectivamente, debido a la mayor disponibilidad por las cosechas en curso en el hemisferio sur y por condiciones climatológicas favorables que mejoraron las expectativas de producción. No obstante, los productos de origen animal como el ganado vacuno y la carne de cerdo presentaron aumentos de 8.7 y 25.5%, respectivamente, tanto por el aumento de su demanda a nivel global, como por una oferta de ganado vacuno limitada en EE.UU., la cual se agravó con la restricción a la importación de ganado mexicano que entró en vigor el 11 de mayo, debido a la detección de brotes del gusano barrenador en ciertos estados del sur de México.</w:t>
      </w:r>
    </w:p>
    <w:p w14:paraId="1441100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 2025, la mayoría de los bancos centrales de economías avanzadas y emergentes continuaron con su relajamiento monetario, aunque con comportamientos diferenciados entre países. En EE.UU., la FED mantuvo una postura de cautela ante la incertidumbre comercial y su posible efecto sobre la actividad económica y los precios. El Comité Federal de Mercado Abierto decidió mantener la tasa de fondos federales en un rango de 4.25-4.50%, en sus reuniones del 7 de mayo y del 18 de junio. Asimismo, en las proyecciones más recientes del Comité, publicadas en junio, se anticiparon recortes adicionales en la tasa de referencia de hasta 50 pb durante el año, acompañado de un menor dinamismo económico y mayores tasas de inflación. </w:t>
      </w:r>
    </w:p>
    <w:p w14:paraId="1F10B5C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 su vez, continuó la reducción en la amortización de activos de la hoja de balance, por 40 mil millones de dólares mensuales, con el fin de aligerar las presiones de liquidez en el sistema financiero, alcanzando así al 30 de junio, un saldo de 6.7 billones de dólares, similar al nivel observado de abril 2020. El BCE, por su parte, redujo sus tres tasas de interés oficiales en 25 pb en las reuniones del 17 de abril y del 5 de junio, en un contexto donde la inflación se encuentra en línea con su objetivo del 2.0% y persisten riesgos derivados de la incertidumbre en la política comercial con EE.UU. Así, la tasa de depósitos, la tasa de operaciones de financiamiento y de facilidad marginal de crédito se ubicaron en 2.00, 2.15 y 2.40%, respectivamente. Además, su hoja de balance se redujo en 14 mil millones de euros, hasta alcanzar 6.2 billones de euros al cierre del trimestre.</w:t>
      </w:r>
    </w:p>
    <w:p w14:paraId="5F1AA04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BPC adoptó nuevas medidas de estímulo para mitigar los efectos económicos tras las tensiones comerciales con EE.UU. En primer lugar, redujo su tasa de recompra inversa a siete días en 10 pb, situándola en 1.40%. Asimismo, disminuyó el coeficiente de reserva bancario en 50 pb, ubicándolo en 6.3% en promedio. Por otro lado, redujo en 10 pb la tasa preferencial de préstamos a un año, utilizada como referencia para la mayoría de los préstamos corporativos y domésticos, a 3.00%, y la tasa a cinco años, utilizada como base para hipotecas, a 3.50%.</w:t>
      </w:r>
    </w:p>
    <w:p w14:paraId="1B84CAB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América Latina, destacó el Banco Central de Brasil que prolongó su ciclo de alzas en la tasa de referencia, con un aumento de 50 pb el 7 de mayo y otro de 25 pb el 18 de junio, ubicando la tasa Selic en 15.0%. El banco señaló que, si se confirma su escenario central, podría interrumpir los incrementos para evaluar sus efectos acumulados y determinar si el nivel actual es suficiente para garantizar la convergencia de la inflación hacia su meta.</w:t>
      </w:r>
    </w:p>
    <w:p w14:paraId="5060D9E4"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segundo trimestre de 2025, los mercados financieros experimentaron episodios de volatilidad derivados de los cambios en la política arancelaria de EE.UU., los conflictos geopolíticos y la discusión del paquete fiscal en el Congreso de EE.UU. y sus implicaciones para la trayectoria de la deuda en el largo plazo. En este contexto, el índice de volatilidad implícita (VIX) alcanzó 52.3 puntos el 8 de abril, su nivel más alto desde 2020, tras los aranceles recíprocos del 2 de abril, pero retrocedió a 16.7 puntos al 30 de junio, impulsado por avances en las negociaciones comerciales. </w:t>
      </w:r>
    </w:p>
    <w:p w14:paraId="2E93E7C1"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S&amp;P 500 subió 10.6% en el trimestre, tras una caída de 12.1% en la primera semana de abril. El dólar, medido por el índice DXY, cayó 7.0%, a su nivel más bajo desde febrero de 2022. El rendimiento del bono del Tesoro a 10 años cerró en 4.23%, mientras que los bonos a mayor plazo subieron ante preocupaciones fiscales, destacando el bono a 30 años, que aumentó 20 pb. Al cierre del trimestre, el índice MSCI de mercados emergentes subió 11.0%, y el de monedas emergentes se apreció 5.3%, impulsados por el debilitamiento del dólar. Destacaron México y Brasil, cuyas monedas se apreciaron 8.4% y 3.8%, respectivamente. El riesgo país, medido por el EMBI+, cayó 26 puntos en el trimestre, tras alcanzar un máximo de 430 puntos el 9 de abril, nivel no visto desde agosto de 2024.</w:t>
      </w:r>
    </w:p>
    <w:p w14:paraId="7B2EAE7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 2025, la economía mexicana mantuvo un ritmo de crecimiento positivo y mayor al del trimestre previo, superando por segunda ocasión las expectativas del consenso de analistas, que anticipaban una contracción e incluso una posible recesión. El crecimiento del PIB se ubicó por encima de su promedio histórico, impulsado por un repunte en el consumo de los hogares y un sólido desempeño de las exportaciones netas, mientras que la inversión continuó con un crecimiento moderado por la incertidumbre en el entorno económico internacional y la base de comparación del año pasado. </w:t>
      </w:r>
    </w:p>
    <w:p w14:paraId="48E87694"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Aunque el tipo de cambio se apreció durante el trimestre, éste se mantuvo en niveles más competitivos que los observados el año previo, lo cual mejoró parcialmente la contribución del sector externo al crecimiento de la actividad económica. Asimismo, destacó la solidez de la integración comercial con EE.UU., reflejada en un aumento importante de las exportaciones mexicanas hacia ese país, especialmente en manufactura de alto contenido tecnológico como equipo de cómputo y electrónicos. De acuerdo con la estimación oportuna reportada por el INEGI, durante el segundo trimestre de 2025 el PIB registró un crecimiento trimestral de 0.7%, con cifras ajustadas por estacionalidad. </w:t>
      </w:r>
    </w:p>
    <w:p w14:paraId="1919FA2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Al interior, las actividades primarias disminuyeron en 1.3% trimestral, debido principalmente a una alta base de comparación tras un sólido desempeño el primer trimestre. Las actividades industriales, por su parte, registraron un crecimiento trimestral de 0.8% a pesar del entorno de incertidumbre a nivel global. Finalmente, los servicios mostraron un crecimiento de 0.7%, con desempeños positivos en los servicios vinculados a la demanda interna y los servicios profesionales. </w:t>
      </w:r>
    </w:p>
    <w:p w14:paraId="149DD98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De acuerdo con la información mensual del Indicador Global de Actividad Económica (IGAE) correspondiente al bimestre abril-mayo, y considerando cifras ajustadas por estacionalidad, el comportamiento de los sectores económicos fue el siguiente: </w:t>
      </w:r>
    </w:p>
    <w:p w14:paraId="06AF989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sym w:font="Symbol" w:char="F0B7"/>
      </w:r>
      <w:r w:rsidRPr="00767B7C">
        <w:rPr>
          <w:rFonts w:ascii="Arial" w:hAnsi="Arial" w:cs="Arial"/>
          <w:sz w:val="18"/>
          <w:szCs w:val="18"/>
        </w:rPr>
        <w:t xml:space="preserve"> Las actividades primarias registraron una contracción bimestral de 2.5%. Si bien durante el periodo aumentaron los niveles de precipitación, persistieron los efectos de la sequía en algunas regiones del norte del país. Asimismo, el alza en los costos de insumos alimenticios y los problemas fitosanitarios que afectaron al pollo y a la res incidieron negativamente en la producción pecuaria. </w:t>
      </w:r>
    </w:p>
    <w:p w14:paraId="197EA73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sym w:font="Symbol" w:char="F0B7"/>
      </w:r>
      <w:r w:rsidRPr="00767B7C">
        <w:rPr>
          <w:rFonts w:ascii="Arial" w:hAnsi="Arial" w:cs="Arial"/>
          <w:sz w:val="18"/>
          <w:szCs w:val="18"/>
        </w:rPr>
        <w:t xml:space="preserve"> La producción industrial disminuyó 0.1%, afectada por la contracción en la construcción, la minería y la electricidad, a pesar de un repunte en la manufactura en el bimestre. </w:t>
      </w:r>
    </w:p>
    <w:p w14:paraId="2AE0A259" w14:textId="77777777" w:rsidR="00045E28" w:rsidRPr="00767B7C" w:rsidRDefault="00045E28" w:rsidP="00045E28">
      <w:pPr>
        <w:ind w:left="567"/>
        <w:jc w:val="both"/>
        <w:rPr>
          <w:rFonts w:ascii="Arial" w:hAnsi="Arial" w:cs="Arial"/>
          <w:sz w:val="18"/>
          <w:szCs w:val="18"/>
        </w:rPr>
      </w:pPr>
      <w:r w:rsidRPr="00767B7C">
        <w:rPr>
          <w:rFonts w:ascii="Arial" w:hAnsi="Arial" w:cs="Arial"/>
          <w:sz w:val="18"/>
          <w:szCs w:val="18"/>
        </w:rPr>
        <w:t xml:space="preserve">o Las manufacturas crecieron 0.3% bimestral, mostrando resiliencia frente al entorno de incertidumbre a nivel global. Destacaron las industrias orientadas al mercado externo, como la fabricación de equipo de cómputo y electrónicos, maquinaria y equipo, y equipo de transporte. Entre las actividades con mayor orientación al mercado interno sobresalió la fabricación de productos derivados del petróleo y del carbón, impulsada por un repunte en la refinación de gasolinas y diésel. En contraste, las industrias metálicas básicas y la fabricación de productos metálicos registraron caídas de 2.7 y 2.8%, respectivamente, asociadas a las nuevas políticas comerciales que afectaron al sector. </w:t>
      </w:r>
    </w:p>
    <w:p w14:paraId="06C0F5DF" w14:textId="77777777" w:rsidR="00045E28" w:rsidRPr="00767B7C" w:rsidRDefault="00045E28" w:rsidP="00045E28">
      <w:pPr>
        <w:tabs>
          <w:tab w:val="left" w:pos="284"/>
        </w:tabs>
        <w:ind w:left="567"/>
        <w:jc w:val="both"/>
        <w:rPr>
          <w:rFonts w:ascii="Arial" w:hAnsi="Arial" w:cs="Arial"/>
          <w:sz w:val="18"/>
          <w:szCs w:val="18"/>
        </w:rPr>
      </w:pPr>
      <w:r w:rsidRPr="00767B7C">
        <w:rPr>
          <w:rFonts w:ascii="Arial" w:hAnsi="Arial" w:cs="Arial"/>
          <w:sz w:val="18"/>
          <w:szCs w:val="18"/>
        </w:rPr>
        <w:t xml:space="preserve">o La construcción disminuyó 0.4% bimestral, afectada por contracciones tanto en los sectores de edificación como en obras de ingeniería civil. Durante el bimestre, el comportamiento del sector contrastó con una caída de 2.0% en abril, seguida de un repunte de 2.8% en mayo. En ambos casos, el comportamiento se explicó por las actividades de edificación. </w:t>
      </w:r>
    </w:p>
    <w:p w14:paraId="33A50EB4" w14:textId="77777777" w:rsidR="00045E28" w:rsidRPr="00767B7C" w:rsidRDefault="00045E28" w:rsidP="00045E28">
      <w:pPr>
        <w:tabs>
          <w:tab w:val="left" w:pos="284"/>
        </w:tabs>
        <w:ind w:left="567"/>
        <w:jc w:val="both"/>
        <w:rPr>
          <w:rFonts w:ascii="Arial" w:hAnsi="Arial" w:cs="Arial"/>
          <w:sz w:val="18"/>
          <w:szCs w:val="18"/>
        </w:rPr>
      </w:pPr>
      <w:r w:rsidRPr="00767B7C">
        <w:rPr>
          <w:rFonts w:ascii="Arial" w:hAnsi="Arial" w:cs="Arial"/>
          <w:sz w:val="18"/>
          <w:szCs w:val="18"/>
        </w:rPr>
        <w:t>o La producción minera disminuyó 0.6% bimestral, a pesar de un ligero repunte en la minería petrolera. Lo anterior, debido a una contracción de 2.9% en la minería no petrolera, posiblemente afectada por las nuevas políticas comerciales sobre el acero y el aluminio. o La menor demanda eléctrica por parte de las actividades agropecuarias y manufacturas, las cuales registraron paros de operación por reparaciones, dieron como resultado que el sector eléctrico disminuyera en 0.1%.</w:t>
      </w:r>
    </w:p>
    <w:p w14:paraId="5E31ED0D"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sym w:font="Symbol" w:char="F0B7"/>
      </w:r>
      <w:r w:rsidRPr="00767B7C">
        <w:rPr>
          <w:rFonts w:ascii="Arial" w:hAnsi="Arial" w:cs="Arial"/>
          <w:sz w:val="18"/>
          <w:szCs w:val="18"/>
        </w:rPr>
        <w:t xml:space="preserve"> Los servicios presentaron un alza bimestral de 0.4%, registrando crecimientos positivos en 11 de sus 14 sectores. En el periodo destacó el aumento de 3.9% en los servicios de apoyo a negocios; así como un repunte de 1.5% en los servicios de transporte, luego de dos bimestres de contracción. Al igual que estos sectores, continuó el desempeño positivo de los servicios profesionales de 1.1%, que desde el año pasado presentaron un crecimiento notable; resaltando los servicios de arquitectura, contaduría y los asociados a la expansión de la economía digital. Finalmente, los servicios altamente vinculados con el desempeño de la demanda interna como los de esparcimiento y el comercio al por menor, mantuvieron un desempeño positivo.</w:t>
      </w:r>
    </w:p>
    <w:p w14:paraId="3C5FE78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La información disponible por el lado del gasto sugiere que, durante el segundo trimestre de 2025, el consumo privado repuntó respecto a los niveles observados en el trimestre previo, al tiempo que la inversión siguió afectada por la incertidumbre en el entorno económico internacional y una alta base de comparación del año pasado. Con datos a abril, el consumo privado repuntó 1.1% mensual, con cifras ajustadas por estacionalidad, impulsado por aumentos de 2.0% en el consumo de bienes de origen nacional y de 0.7% en servicios. </w:t>
      </w:r>
    </w:p>
    <w:p w14:paraId="4641539F"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contraste, el consumo de bienes importados disminuyó 1.0%, afectado por la volatilidad cambiaria y el alza en precios finales tras la imposición de nuevos aranceles a países con los que no se cuenta con algún tratado comercial. De esta manera, en lo que va del año el consumo privado acumuló un crecimiento de 2.2% respecto al cierre de 2024. Las ventas de la Asociación Nacional de Tiendas de Autoservicio y Departamentales (ANTAD) aumentaron 3.2% en el segundo trimestre del año respecto al primero, con cifras ajustadas por estacionalidad. </w:t>
      </w:r>
    </w:p>
    <w:p w14:paraId="5331DC1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Este desempeño fue impulsado por el crecimiento en mayo y junio, particularmente en las ventas de ropa, calzado y mercancías generales, apoyados por los días festivos de mayo y las promociones del Hot Sale 2025. La incertidumbre en el entorno económico internacional siguió afectando las decisiones de inversión. En abril, la inversión fija bruta disminuyó 1.7% mensual, con cifras ajustadas por estacionalidad, influida por caídas de 2.2% en maquinaria y equipo y de 1.1% en construcción. </w:t>
      </w:r>
    </w:p>
    <w:p w14:paraId="3AD55CAF"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Dentro de este último rubro se observó una caída de 5.7% en el sector residencial, la cual fue compensada parcialmente por el crecimiento de 3.0% en el componente no residencial. La información de la Encuesta Mensual de Empresas Constructoras sugiere que este desempeño en la construcción no residencial estuvo relacionado con un mayor dinamismo en obras viales urbanas, infraestructura eléctrica y proyectos ferroviarios.</w:t>
      </w:r>
    </w:p>
    <w:p w14:paraId="265188D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mercado laboral prevaleció un ritmo moderado de creación de empleos, debido a disminuciones en la participación laboral y el desempeño de algunos sectores. Así, entre abril y junio de 2025, la población ocupada registró un nivel promedio de 60 millones, lo que representó un aumento de 487 mil personas respecto al mismo periodo de 2024. Este incremento se concentró en el sector servicios, particularmente en los subsectores de servicios profesionales y de transporte con alzas de 227 mil y 205 mil, respectivamente. </w:t>
      </w:r>
    </w:p>
    <w:p w14:paraId="20FC06E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Lo anterior compensó las reducciones de 225 mil y de 115 mil en las manufacturas y la construcción, respectivamente. Respecto a la participación laboral, durante el segundo trimestre de 2025, la población económicamente activa (PEA) alcanzó los 61.6 millones de personas. Sin embargo, el incremento de 1.6 millones en la población no económicamente activa (PNEA) generó una disminución de 0.7 pp en la tasa de participación. El incremento en la PNEA se concentró principalmente en la población no disponible, especialmente entre quienes declararon no tener interés en trabajar debido a otras obligaciones. </w:t>
      </w:r>
    </w:p>
    <w:p w14:paraId="7FA0F75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particular, desde el primer trimestre del año, la población no disponible creció en 1.0 millón de personas. De ese total, 302 mil correspondieron a jóvenes de entre 15 y 24 años, principalmente estudiantes, y 519 mil a adultos mayores de 65 años, en su mayoría pensionados y jubilados. En este contexto, la población desocupada promedió 6 mil personas más que en el mismo periodo de 2024, principalmente entre quienes afirmaron tener una educación media superior y superior. Como resultado, la tasa de desocupación se ubicó en 2.7% en el segundo trimestre, sin cambios respecto al año anterior.</w:t>
      </w:r>
    </w:p>
    <w:p w14:paraId="5D3D023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tasa de informalidad subió 0.5 pp respecto al segundo trimestre del año previo. En contraste, en el segundo trimestre del año, la tasa de subocupación disminuyó 0.4 pp respecto al mismo trimestre de 2024, lo que representó una reducción de 177 mil personas. En el mismo periodo, la tasa de condiciones críticas de ocupación, con salarios mínimos equivalentes base enero de 2025, disminuyó en 5.0 pp.</w:t>
      </w:r>
    </w:p>
    <w:p w14:paraId="088AFAE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Al cierre del segundo trimestre de 2025, el número de puestos de trabajo registrados en el IMSS se mantuvo prácticamente sin cambio respecto al mismo periodo del año previo. Lo anterior fue el resultado de un crecimiento de 233 mil personas en puestos de trabajo permanentes, lo cual fue contrarrestado por una caída de 227 mil personas en puestos eventuales. La pérdida de empleos eventuales se concentró en la construcción y la manufactura, mientras que la creación de puestos permanentes se dio principalmente en el sector servicios. </w:t>
      </w:r>
    </w:p>
    <w:p w14:paraId="56C7701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Dentro de estos, los rubros con mejor desempeño fueron comercio, servicios a empresas y transporte. La mayor creación de puestos de trabajo afiliados al IMSS se concentró en los estados de México, Nuevo León y Jalisco, impulsados por el desempeño del sector del comercio. Por el contrario, las menores cifras de creación de empleo se registraron en Ciudad de México, Baja California y Tabasco, como resultado de la contracción en los sectores de la manufactura y la construcción de personal eventual. Durante el periodo, los salarios reales de los trabajadores mantuvieron su tendencia al alza. </w:t>
      </w:r>
    </w:p>
    <w:p w14:paraId="3C2400D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salario real promedio registrado ante el IMSS aumentó 3.2% anual durante el segundo trimestre. De manera similar, el ingreso laboral real promedio reportado en la Encuesta Nacional de Ocupación y Empleo (ENOE) creció 3.1%. Finalmente, entre abril y junio los salarios contractuales de jurisdicción federal se incrementaron 3.4% anual.</w:t>
      </w:r>
    </w:p>
    <w:p w14:paraId="4C4113D1"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materia de precios, durante el segundo trimestre de 2025, la inflación al consumidor repuntó frente al trimestre anterior, afectada por presiones asociadas a precios internacionales de productos pecuarios y por el efecto rezagado de la depreciación del peso sobre las mercancías en los trimestres previos. Además, tanto en mercancías no alimenticias como en frutas y verduras se observaron ajustes al alza, tras haber registrado inflaciones inferiores a su promedio histórico en el primer trimestre. Así, la inflación general anual se ubicó en 4.2%, un incremento de 0.5 pp respecto al trimestre previo.</w:t>
      </w:r>
    </w:p>
    <w:p w14:paraId="77A21F5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La inflación subyacente se ubicó en 4.1% anual, lo que representó un aumento de 0.4 pp respecto al trimestre anterior. Este repunte se explicó por una aceleración en la inflación de las mercancías, mientras que la de servicios se mantuvo sin cambios en 4.6% anual. La inflación de mercancías se vio presionada por el efecto rezagado de la depreciación del peso en trimestres previos, así como por la normalización en la inflación de mercancías no alimenticias, que pasó de 1.8% en el trimestre previo a 2.8%, en línea con su promedio histórico. </w:t>
      </w:r>
    </w:p>
    <w:p w14:paraId="2199A52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La inflación no subyacente, por su parte, se ubicó en 4.5% anual, 0.6 pp por encima del primer trimestre, impulsada por la inflación de productos agropecuarios. Persistieron las presiones en artículos como el pollo y la carne de res, asociadas a brotes de gripe aviar en Norteamérica y a una menor oferta en los principales países exportadores de carne. Aunque las frutas y verduras siguieron registrando deflación, ésta fue menor que en el primer trimestre del año, por lo que contribuyeron a una mayor inflación en el segundo trimestre. </w:t>
      </w:r>
    </w:p>
    <w:p w14:paraId="1E617A8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contraste, la inflación de energéticos disminuyó, apoyada por el acuerdo nacional que ha mantenido el precio de la gasolina regular cerca de 24 pesos por litro. La inflación de precios al productor, excluyendo petróleo, disminuyó luego de varios trimestres al alza, ubicándose en 6.4% anual. Lo anterior se explicó principalmente por la apreciación del peso durante el periodo, cuyo efecto en los precios al productor suele ser más inmediato. Así, la inflación al productor en las actividades primarias fue de 3.5%, mientras que, en las actividades secundarias, excluyendo petróleo, fue de 7.1%, con reducciones de 4.7 y 1.6 pp respecto al trimestre anterior, respectivamente. En contraste, la inflación al productor de los servicios se mantuvo prácticamente en el mismo nivel del trimestre previo al registrar una tasa de 5.6%.</w:t>
      </w:r>
    </w:p>
    <w:p w14:paraId="1CA71B3D"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Al igual que en el primer trimestre del año, durante el periodo abril-junio, el sector externo continuó contribuyendo al crecimiento de la actividad económica, a pesar de un entorno internacional marcado por la incertidumbre. Esta contribución se vio favorecida por un tipo de cambio real más competitivo que el observado en 2024, lo que impulsó el desempeño de las exportaciones, particularmente en manufactura de alto contenido tecnológico. El valor de las exportaciones creció 1.8% respecto al primer trimestre del año, con cifras ajustadas por estacionalidad. </w:t>
      </w:r>
    </w:p>
    <w:p w14:paraId="51CCA67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Este resultado obedeció al aumento de 2.7% en las exportaciones manufactureras no automotrices, donde destacaron los incrementos en productos como computadoras y electrónicos, particularmente hacia EE.UU. Por su parte, las exportaciones automotrices crecieron 0.8%. Asimismo, las exportaciones agropecuarias y petroleras disminuyeron en 4.1 y 9.9%, respectivamente. En el sector agropecuario, se resintieron los efectos del bloqueo a la entrada de ganado mexicano a EE.UU., en tanto que la caída en las exportaciones petroleras estuvo asociada tanto a un menor volumen como a una caída en el precio promedio de la mezcla mexicana de exportación. </w:t>
      </w:r>
    </w:p>
    <w:p w14:paraId="331BCD25"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lo que va de 2025, el comercio entre México y EE.UU. ha seguido al alza, impulsado por el dinamismo del sector de equipo de cómputo y accesorios electrónicos. Entre enero y mayo, las exportaciones de estos productos crecieron 51.4% anual, la tasa más alta desde que se tiene registro. Dentro del sector, sobresalió el desempeño de las exportaciones de computadoras, con un crecimiento anual de 105.4%. Este crecimiento más que compensó la caída de 6.1% en las exportaciones de equipo de transporte, afectadas por las políticas comerciales y la desaceleración del sector en EE.UU. En conjunto, las exportaciones mexicanas a ese país aumentaron 6.2% en el periodo. </w:t>
      </w:r>
    </w:p>
    <w:p w14:paraId="4C99E61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El valor de las importaciones totales creció 2.2% trimestral, con cifras ajustadas por estacionalidad. Este comportamiento se atribuyó, al incremento en la importación de bienes de consumo (6.0%) y de uso intermedio (2.1%), que contrarrestaron la caída en las importaciones de bienes de capital. En tanto que, las importaciones petroleras aumentaron 13.6%, impulsadas por mayores compras de combustibles como gasolina y diésel. Con cifras ajustadas por estacionalidad, la balanza comercial registró un superávit de 543 millones de dólares en el segundo trimestre de 2025, menor al observado en el trimestre previo de mil 278 millones de dólares. </w:t>
      </w:r>
    </w:p>
    <w:p w14:paraId="471C3461"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Lo anterior fue el resultado de un incremento en el saldo deficitario de la balanza petrolera que contrarrestó el mayor superávit de la balanza no petrolera. En el periodo entre abril y mayo de 2025, el flujo de remesas disminuyó 5.4% bimestral, con cifras ajustadas por estacionalidad. Este ajuste refleja en parte una moderación en las condiciones del mercado laboral para trabajadores mexicanos en EE.UU. El flujo acumulado en los primeros cinco meses del año se ubicó en 24 mil 375 millones de dólares, 3.0% por debajo del nivel observado en el mismo periodo de 2024.</w:t>
      </w:r>
    </w:p>
    <w:p w14:paraId="2012400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Los ingresos por turismo extranjero mantuvieron su dinamismo y contribuyeron positivamente a la entrada de divisas. Durante los primeros cinco meses del año, el número de visitantes internacionales creció 14.2%, lo que implicó que los ingresos totales por turismo aumentaran 6.4%, respecto al mismo periodo de 2024. Sin embargo, el gasto medio por visitante disminuyó 6.9%, afectado por una mayor afluencia de viajeros fronterizos con estancias más cortas. La cuenta corriente de la balanza de pagos, de acuerdo con la última información disponible al primer trimestre de 2025, mostró un déficit de 7 mil 613 millones de dólares (1.8% del PIB anualizado), menor que el de 22 mil 207 millones (4.7% del PIB) en el mismo periodo de 2024. </w:t>
      </w:r>
    </w:p>
    <w:p w14:paraId="772F681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Este resultado reflejó, principalmente, un menor déficit en la balanza del ingreso primario, así como un aumento en el saldo superavitario de la balanza de ingreso secundario y la balanza comercial por mercancías no petroleras y de servicios. Lo anterior fue compensado parcialmente por un mayor déficit de la balanza de mercancías petroleras. Los flujos de capital registrados en la cuenta financiera reportaron una entrada neta de recursos (endeudamiento neto al resto del mundo) de 6 mil 870 millones de dólares, menor que la entrada neta de 28 mil 33 millones del primer trimestre de 2024. Esto obedeció a entradas netas en inversión directa y en otra inversión, que no se compensó con la salida neta de recursos en inversión de cartera por 541 millones y derivados financieros de 2 mil 816 millones. Además, los activos de reserva aumentaron en 6 mil 400 millones con respecto al mismo trimestre del año anterior. </w:t>
      </w:r>
    </w:p>
    <w:p w14:paraId="70B93DD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Finalmente, respecto a la IED, México continuó atrayendo capital, de tal forma que alcanzó un máximo histórico de 21 mil 373 millones de dólares, con cifras preliminares, para un primer trimestre. En dicho periodo, la IED se concentró principalmente en la manufactura, que atrajo el 43.2% del monto total de inversión, en donde destacó el sector de equipo de transporte, que alcanzó un valor de 3 mil 333 millones de dólares, concentrados en la fabricación de automóviles y camiones y en la fabricación de autopartes.</w:t>
      </w:r>
    </w:p>
    <w:p w14:paraId="0D86CC0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Durante el segundo trimestre de 2025, el sistema financiero mexicano mostró solidez y solvencia con un sector bancario bien capitalizado y con tasas de morosidad históricamente bajas, a pesar de los episodios de volatilidad registrados por los cambios en las políticas comerciales de EE.UU. y las implicaciones para el ritmo de crecimiento de la actividad económica. Al 30 de junio, el tipo de cambio se ubicó en 18.75 pesos por dólar estadounidense, una apreciación de 9.2% respecto al cierre del trimestre anterior, alcanzando su nivel más bajo desde agosto de 2024. </w:t>
      </w:r>
    </w:p>
    <w:p w14:paraId="074D2D4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Este comportamiento se explicó, principalmente, por un debilitamiento del dólar, medido por el DXY, que retrocedió 7.0% en el trimestre, así como por el diferencial de tasas entre el Banco de México y la FED, el cual mantuvo el atractivo relativo del peso mexicano. Otras economías emergentes también registraron apreciaciones cambiarias como el real brasileño, el rand sudafricano, el peso chileno y el peso colombiano de 5.0, 3.4, 2.1 y 2.0%, respectivamente. La volatilidad implícita del tipo de cambio a un mes cerró en 9.9% al finalizar el segundo trimestre, lo que representó una disminución de 3.3 pb respecto al trimestre previo. </w:t>
      </w:r>
    </w:p>
    <w:p w14:paraId="36CF2B14"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Asimismo, el riesgo país de México, medido por el EMBI+, disminuyó 24 pb, un descenso mayor al observado en el promedio de economías emergentes, que descendió 19 pb. Por su parte, el Banco de México realizó dos recortes de 50 pb en cada una de sus reuniones, el 15 de mayo y el 26 de junio, con lo que la tasa de referencia se ubicó en 8.00%. En su reunión más reciente, la Junta de Gobierno señaló que evaluará posibles recortes adicionales. Estas decisiones provocaron reducciones a lo largo de toda la curva de rendimientos en pesos: la parte corta reflejó los recortes de tasa con una disminución promedio de 72 pb, mientras que los bonos a 10 años se ubicaron en 9.30%, una caída de 5 pb respecto al cierre del trimestre anterior. Como resultado, la pendiente de la curva de 10 y 2 años se mantuvo positiva en 119 pb.</w:t>
      </w:r>
    </w:p>
    <w:p w14:paraId="44B464C6"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En el mercado de renta variable, el Índice de Precios y Cotizaciones (IPC) cerró el segundo trimestre de 2025 en 57 mil 450 unidades, lo que representó un incremento de 9.5% respecto al cierre del trimestre anterior. Entre los componentes que destacaron por su desempeño positivo fueron el sector financiero, telecomunicaciones y materiales básicos, que registraron avances de 16.9, 15.3 y 15.2%, respectivamente, mientras que el sector de consumo básico descendió 4.5%, en el mismo periodo. Con base en las últimas cifras disponibles a mayo de 2025, el crédito vigente al sector privado no financiero otorgado por la banca comercial creció 0.8% real respecto a marzo, con cifras ajustadas por estacionalidad. </w:t>
      </w:r>
    </w:p>
    <w:p w14:paraId="578AD6D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crédito al consumo aumentó 1.4% real, impulsado por créditos personales y automotrices. El crédito a la vivienda creció 0.2% real, por su parte, a pesar de una caída en el segmento de interés social. La cartera empresarial aumentó 0.8% real, sustentado en el desempeño del sector manufacturero, así como por los servicios de comercio y transportes, que compensaron las contracciones observadas en el sector agropecuario, generación de electricidad y minería. El ICAP de la banca comercial se ubicó en 19.7% en abril, superando el mínimo regulatorio de Basilea III (10.5%), mientras que la tasa de morosidad en febrero se ubicó en 2.0% y la ajustada por quitas y castigos se ubicó en 4.2%, por debajo de niveles previos de estrés como los observados en 2009 y 2020.</w:t>
      </w:r>
    </w:p>
    <w:p w14:paraId="0461114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Cabe destacar que el 26 de junio de 2025, la SHCP, por conducto de la Junta de Gobierno de la Comisión Nacional Bancaria y de Valores (CNBV) y con fundamento en la Ley de Instituciones de Crédito y la Ley del Mercado de Valores, decretó la intervención gerencial temporal de CIBanco, Intercam Banco y Vector Casa de Bolsa, después de que el Departamento del Tesoro de EE.UU. los designara como instituciones de preocupación en materia de prevención y lavado de dinero. El objetivo de esta medida fue sustituir a los órganos de administración y a los representantes legales de dichas instituciones, con el fin de salvaguardar los derechos de los ahorradores e inversionistas.</w:t>
      </w:r>
    </w:p>
    <w:p w14:paraId="1AE0D7D1"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impacto de esta medida en el sistema financiero es limitado. Al cierre de abril de 2025, CIBanco e Intercam Banco representaron el 0.6 y 0.9%, respectivamente, del total de activos del sistema bancario. Su participación en el otorgamiento de crédito total es de 0.2 y 0.3%, en el mismo orden, mientras que en la captación total representan el 0.5% cada uno. Además, los ahorradores cuentan, en caso de ser necesario, con la protección del seguro de depósitos del Instituto para la Protección al Ahorro Bancario (IPAB). Asimismo, Vector también mantiene una participación reducida en el mercado de casas de bolsa. Al cierre de marzo de 2025, esta institución representó el 3.7% de los activos del sector y el 2.1% del monto total de operaciones por cuentas de clientes del total.</w:t>
      </w:r>
    </w:p>
    <w:p w14:paraId="3EC42C8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Tlaxcala tiene una localización geográfica estratégica al encontrarse en la región centro del país, integrada por los Estados de Guanajuato, Hidalgo, Morelos, Puebla, Querétaro, Ciudad de México y Estado de México; colindando con Hidalgo, Puebla y el Estado de México. En 2020, la población en Tlaxcala fue de 1,342,977 habitantes (48.4% hombres y 51.6% mujeres). En comparación a 2010, la población en Tlaxcala creció un 14.8 %.</w:t>
      </w:r>
    </w:p>
    <w:p w14:paraId="06ED8C25"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actividad económica del Estado de Tlaxcala ha dado signos claros de fortalecimiento, impulsada principalmente por políticas públicas enfocadas hacia el desarrollo económico, el emprendedurismo y la promoción de la inversión. El Instituto Nacional de Estadística y Geografía (INEGI), dio a conocer mediante los resultados del Censo Económico 2024, que en el Estado operaron 107 mil 210 establecimientos en diversos rubros, generando empleos para cerca de trescientas ochenta mil personas. Es de resaltar que más un aproximado de siete mil negociaciones de reciente creación, observaron una recuperación en sus actividades económicas. Más del noventa por ciento de las unidades económicas en la Entidad son microempresas, mismas que generan el sesenta y cuatro por ciento de los empleos creados en el sector privado, demostrando avances significativos en la mejora regulatoria para apoyar al emprendedurismo que redunda de forma directa en el bienestar de las familias tlaxcaltecas.</w:t>
      </w:r>
    </w:p>
    <w:p w14:paraId="62260B08"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Sistema de Apertura Rápida de Empresas (SARE), promovido a través de la Secretaría de Desarrollo Económico (SEDECO), y que a la fecha cuenta con 22 ventanillas certificadas, facilitó el establecimiento de negocios en diversas comunidades de los municipios del Estado, ya que ha disminuido la necesidad de traslados y la eliminación de trámites burocráticos, permitiendo posicionar a Tlaxcala como un destino confiable para la inversión nacional y extranjera.</w:t>
      </w:r>
    </w:p>
    <w:p w14:paraId="68821675"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Actualmente 22 países invierten en la entidad, lo que ha contribuido a la consolidación de 39 nuevas inversiones y 33 expansiones empresariales, lo que ha generado una derrama superior a 20 mil millones de pesos en capital privado. En 2024, el estado captó 94.2 millones de dólares en Inversión Extranjera Directa (IED), lo que refleja la confianza de los inversionistas internacionales en el potencial económico de la entidad. Esta inversión proviene de diversos países, entre los que se incluyen Alemania, España, Estados Unidos, Argentina, Australia, Bélgica, Brasil, India, Japón, Países Bajos, Reino Unido y Suecia.</w:t>
      </w:r>
    </w:p>
    <w:p w14:paraId="61A47D9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participación de inversionistas extranjeros en la Entidad contribuye a la generación de nuevos empleos, al desarrollo local y a la captación de divisas que refuerzan la actividad económica de Tlaxcala; alcanzando la cifra histórica de 118 mil 587 empleos formales generados. A pesar de los retos que aún enfrenta la industria de Tlaxcala, especialmente en sectores como la construcción y las industrias manufactureras, el incremento en la actividad industrial refleja una recuperación parcial y un entorno económico en avance. Este impulso también ha mejorado las condiciones laborales de los trabajadores, ya que la remuneración promedio anual pasó de 124 mil 468 pesos en 2018 a 133 mil 738 pesos en 2023; asimismo, el valor agregado censal bruto creció 4.6%, para ubicarse en más de 80 mil millones de pesos.</w:t>
      </w:r>
    </w:p>
    <w:p w14:paraId="7E71EF3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Es de resaltar que el Estado avanzó seis lugares en el Índice de Competitividad Estatal 2025, elaborado por el Instituto Mexicano para la Competitividad A.C. (IMCO). Asimismo, se consolidó la marca “Hecho en Tlaxcala”, dando proyección nacional a micro y pequeñas empresas locales, permitiendo ubicar sus productos en tiendas de conveniencia y autoservicio.</w:t>
      </w:r>
    </w:p>
    <w:p w14:paraId="73F27B53"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apoyo efectivo al emprendedurismo por parte del gobierno estatal, se ha traducido en más de 1,500 millones de pesos, destinados a microcréditos, financiamientos y subsidios, a través de diferentes Secretarías, tales como de Desarrollo Económico, de Impulso Agropecuario, de Bienestar, del Fondo Macro para el Desarrollo Integral de Tlaxcala y del Sistema Estatal para el Desarrollo Integral de la Familia.</w:t>
      </w:r>
    </w:p>
    <w:p w14:paraId="38720C7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Asimismo, Tlaxcala es el primer Estado del país en contar con una guardería empresarial, que respalda directamente a mujeres trabajadoras y madres emprendedoras, siendo una iniciativa inclusiva y generadora de bienestar para las familias tlaxcaltecas.</w:t>
      </w:r>
    </w:p>
    <w:p w14:paraId="0A555866"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actividad económica de Tlaxcala creció en 1.1 por ciento durante el primer trimestre de 2025 en comparación con el mismo periodo del año previo; principalmente impulsada por las actividades primarias y terciarias, de acuerdo a los datos dados a conocer por el INEGI.</w:t>
      </w:r>
    </w:p>
    <w:p w14:paraId="072CFDC0" w14:textId="77777777" w:rsidR="00045E28" w:rsidRPr="00767B7C" w:rsidRDefault="00045E28" w:rsidP="00045E28">
      <w:pPr>
        <w:tabs>
          <w:tab w:val="left" w:pos="284"/>
        </w:tabs>
        <w:ind w:left="284"/>
        <w:jc w:val="both"/>
        <w:rPr>
          <w:rFonts w:ascii="Arial" w:hAnsi="Arial" w:cs="Arial"/>
          <w:sz w:val="18"/>
          <w:szCs w:val="18"/>
        </w:rPr>
      </w:pPr>
    </w:p>
    <w:p w14:paraId="640F672B" w14:textId="77777777" w:rsidR="00045E28" w:rsidRPr="00767B7C" w:rsidRDefault="00045E28" w:rsidP="00045E28">
      <w:pPr>
        <w:tabs>
          <w:tab w:val="left" w:pos="284"/>
        </w:tabs>
        <w:ind w:left="284"/>
        <w:jc w:val="both"/>
        <w:rPr>
          <w:rFonts w:ascii="Arial" w:hAnsi="Arial" w:cs="Arial"/>
          <w:sz w:val="18"/>
          <w:szCs w:val="18"/>
        </w:rPr>
      </w:pPr>
    </w:p>
    <w:p w14:paraId="3DF5D435" w14:textId="77777777" w:rsidR="00045E28" w:rsidRPr="00767B7C" w:rsidRDefault="00045E28" w:rsidP="00045E28">
      <w:pPr>
        <w:tabs>
          <w:tab w:val="left" w:pos="284"/>
        </w:tabs>
        <w:ind w:left="284"/>
        <w:jc w:val="both"/>
        <w:rPr>
          <w:rFonts w:ascii="Arial" w:hAnsi="Arial" w:cs="Arial"/>
          <w:sz w:val="18"/>
          <w:szCs w:val="18"/>
        </w:rPr>
      </w:pPr>
    </w:p>
    <w:p w14:paraId="1ADACB33" w14:textId="77777777" w:rsidR="00045E28" w:rsidRPr="00767B7C" w:rsidRDefault="00045E28" w:rsidP="00045E28">
      <w:pPr>
        <w:tabs>
          <w:tab w:val="left" w:pos="284"/>
        </w:tabs>
        <w:ind w:left="284"/>
        <w:jc w:val="both"/>
        <w:rPr>
          <w:rFonts w:ascii="Arial" w:hAnsi="Arial" w:cs="Arial"/>
          <w:sz w:val="18"/>
          <w:szCs w:val="18"/>
        </w:rPr>
      </w:pPr>
    </w:p>
    <w:p w14:paraId="56B2241D" w14:textId="77777777" w:rsidR="00045E28" w:rsidRPr="00767B7C" w:rsidRDefault="00045E28" w:rsidP="00045E28">
      <w:pPr>
        <w:tabs>
          <w:tab w:val="left" w:pos="284"/>
        </w:tabs>
        <w:ind w:left="284"/>
        <w:jc w:val="both"/>
        <w:rPr>
          <w:rFonts w:ascii="Arial" w:hAnsi="Arial" w:cs="Arial"/>
          <w:sz w:val="18"/>
          <w:szCs w:val="18"/>
        </w:rPr>
      </w:pPr>
    </w:p>
    <w:p w14:paraId="0B205C68" w14:textId="77777777" w:rsidR="00045E28" w:rsidRPr="00767B7C" w:rsidRDefault="00045E28" w:rsidP="00045E28">
      <w:pPr>
        <w:tabs>
          <w:tab w:val="left" w:pos="284"/>
        </w:tabs>
        <w:ind w:left="284"/>
        <w:jc w:val="both"/>
        <w:rPr>
          <w:rFonts w:ascii="Arial" w:hAnsi="Arial" w:cs="Arial"/>
          <w:sz w:val="18"/>
          <w:szCs w:val="18"/>
        </w:rPr>
      </w:pPr>
    </w:p>
    <w:p w14:paraId="7385BC86" w14:textId="77777777" w:rsidR="00045E28" w:rsidRPr="00767B7C" w:rsidRDefault="00045E28" w:rsidP="00045E28">
      <w:pPr>
        <w:tabs>
          <w:tab w:val="left" w:pos="284"/>
        </w:tabs>
        <w:spacing w:after="0"/>
        <w:ind w:left="284"/>
        <w:jc w:val="center"/>
        <w:rPr>
          <w:rFonts w:ascii="Arial" w:hAnsi="Arial" w:cs="Arial"/>
          <w:b/>
          <w:bCs/>
          <w:sz w:val="16"/>
          <w:szCs w:val="16"/>
        </w:rPr>
      </w:pPr>
      <w:r w:rsidRPr="00767B7C">
        <w:rPr>
          <w:rFonts w:ascii="Arial" w:hAnsi="Arial" w:cs="Arial"/>
          <w:b/>
          <w:bCs/>
          <w:sz w:val="16"/>
          <w:szCs w:val="16"/>
        </w:rPr>
        <w:t>Variación anual y contribución de la actividad económica estatal</w:t>
      </w:r>
    </w:p>
    <w:p w14:paraId="6C9E4A1A" w14:textId="77777777" w:rsidR="00045E28" w:rsidRPr="00767B7C" w:rsidRDefault="00045E28" w:rsidP="00045E28">
      <w:pPr>
        <w:tabs>
          <w:tab w:val="left" w:pos="284"/>
        </w:tabs>
        <w:spacing w:after="0"/>
        <w:ind w:left="284"/>
        <w:jc w:val="center"/>
        <w:rPr>
          <w:rFonts w:ascii="Arial" w:hAnsi="Arial" w:cs="Arial"/>
          <w:b/>
          <w:bCs/>
          <w:sz w:val="16"/>
          <w:szCs w:val="16"/>
        </w:rPr>
      </w:pPr>
      <w:r w:rsidRPr="00767B7C">
        <w:rPr>
          <w:rFonts w:ascii="Arial" w:hAnsi="Arial" w:cs="Arial"/>
          <w:b/>
          <w:bCs/>
          <w:sz w:val="16"/>
          <w:szCs w:val="16"/>
        </w:rPr>
        <w:t>primer trimestre de 20251/</w:t>
      </w:r>
    </w:p>
    <w:tbl>
      <w:tblPr>
        <w:tblW w:w="5000" w:type="pct"/>
        <w:tblCellMar>
          <w:left w:w="0" w:type="dxa"/>
          <w:right w:w="0" w:type="dxa"/>
        </w:tblCellMar>
        <w:tblLook w:val="04A0" w:firstRow="1" w:lastRow="0" w:firstColumn="1" w:lastColumn="0" w:noHBand="0" w:noVBand="1"/>
      </w:tblPr>
      <w:tblGrid>
        <w:gridCol w:w="4583"/>
        <w:gridCol w:w="148"/>
        <w:gridCol w:w="4629"/>
      </w:tblGrid>
      <w:tr w:rsidR="00045E28" w:rsidRPr="00767B7C" w14:paraId="566F4F20" w14:textId="77777777" w:rsidTr="009A39F3">
        <w:trPr>
          <w:trHeight w:hRule="exact" w:val="567"/>
        </w:trPr>
        <w:tc>
          <w:tcPr>
            <w:tcW w:w="4910" w:type="dxa"/>
            <w:vAlign w:val="center"/>
          </w:tcPr>
          <w:p w14:paraId="0F8DB72B" w14:textId="77777777" w:rsidR="00045E28" w:rsidRPr="00767B7C" w:rsidRDefault="00045E28" w:rsidP="009A39F3">
            <w:pPr>
              <w:tabs>
                <w:tab w:val="left" w:pos="284"/>
              </w:tabs>
              <w:spacing w:after="0"/>
              <w:ind w:left="284"/>
              <w:jc w:val="center"/>
              <w:rPr>
                <w:rFonts w:ascii="Arial" w:hAnsi="Arial" w:cs="Arial"/>
                <w:b/>
                <w:bCs/>
                <w:sz w:val="16"/>
                <w:szCs w:val="16"/>
              </w:rPr>
            </w:pPr>
            <w:r w:rsidRPr="00767B7C">
              <w:rPr>
                <w:rFonts w:ascii="Arial" w:hAnsi="Arial" w:cs="Arial"/>
                <w:b/>
                <w:bCs/>
                <w:sz w:val="16"/>
                <w:szCs w:val="16"/>
              </w:rPr>
              <w:t xml:space="preserve">Variación porcentual real </w:t>
            </w:r>
            <w:r w:rsidRPr="00767B7C">
              <w:rPr>
                <w:rFonts w:ascii="Arial" w:hAnsi="Arial" w:cs="Arial"/>
                <w:b/>
                <w:bCs/>
                <w:sz w:val="16"/>
                <w:szCs w:val="16"/>
              </w:rPr>
              <w:br/>
              <w:t>respecto al primer trimestre de 2024</w:t>
            </w:r>
          </w:p>
        </w:tc>
        <w:tc>
          <w:tcPr>
            <w:tcW w:w="148" w:type="dxa"/>
            <w:vAlign w:val="center"/>
          </w:tcPr>
          <w:p w14:paraId="4AB89981" w14:textId="77777777" w:rsidR="00045E28" w:rsidRPr="00767B7C" w:rsidRDefault="00045E28" w:rsidP="009A39F3">
            <w:pPr>
              <w:tabs>
                <w:tab w:val="left" w:pos="284"/>
              </w:tabs>
              <w:spacing w:after="0"/>
              <w:ind w:left="284"/>
              <w:jc w:val="center"/>
              <w:rPr>
                <w:rFonts w:ascii="Arial" w:hAnsi="Arial" w:cs="Arial"/>
                <w:b/>
                <w:bCs/>
                <w:sz w:val="16"/>
                <w:szCs w:val="16"/>
              </w:rPr>
            </w:pPr>
          </w:p>
        </w:tc>
        <w:tc>
          <w:tcPr>
            <w:tcW w:w="4916" w:type="dxa"/>
            <w:vAlign w:val="center"/>
          </w:tcPr>
          <w:p w14:paraId="26E5BC23" w14:textId="77777777" w:rsidR="00045E28" w:rsidRPr="00767B7C" w:rsidRDefault="00045E28" w:rsidP="009A39F3">
            <w:pPr>
              <w:tabs>
                <w:tab w:val="left" w:pos="284"/>
              </w:tabs>
              <w:spacing w:after="0"/>
              <w:ind w:left="284"/>
              <w:jc w:val="center"/>
              <w:rPr>
                <w:rFonts w:ascii="Arial" w:hAnsi="Arial" w:cs="Arial"/>
                <w:b/>
                <w:bCs/>
                <w:sz w:val="16"/>
                <w:szCs w:val="16"/>
              </w:rPr>
            </w:pPr>
            <w:r w:rsidRPr="00767B7C">
              <w:rPr>
                <w:rFonts w:ascii="Arial" w:hAnsi="Arial" w:cs="Arial"/>
                <w:b/>
                <w:bCs/>
                <w:sz w:val="16"/>
                <w:szCs w:val="16"/>
              </w:rPr>
              <w:t xml:space="preserve">Contribución a la variación real </w:t>
            </w:r>
            <w:r w:rsidRPr="00767B7C">
              <w:rPr>
                <w:rFonts w:ascii="Arial" w:hAnsi="Arial" w:cs="Arial"/>
                <w:b/>
                <w:bCs/>
                <w:sz w:val="16"/>
                <w:szCs w:val="16"/>
              </w:rPr>
              <w:br/>
              <w:t>de la actividad económica nacional2/</w:t>
            </w:r>
          </w:p>
        </w:tc>
      </w:tr>
      <w:tr w:rsidR="00045E28" w:rsidRPr="00767B7C" w14:paraId="43C9ED18" w14:textId="77777777" w:rsidTr="009A39F3">
        <w:tblPrEx>
          <w:tblCellMar>
            <w:left w:w="70" w:type="dxa"/>
            <w:right w:w="70" w:type="dxa"/>
          </w:tblCellMar>
        </w:tblPrEx>
        <w:trPr>
          <w:trHeight w:val="7659"/>
        </w:trPr>
        <w:tc>
          <w:tcPr>
            <w:tcW w:w="4910" w:type="dxa"/>
            <w:vAlign w:val="center"/>
          </w:tcPr>
          <w:p w14:paraId="073B524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1C37A756" wp14:editId="1E1B526E">
                  <wp:extent cx="2557780" cy="6363801"/>
                  <wp:effectExtent l="0" t="0" r="13970" b="18415"/>
                  <wp:docPr id="821563122"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54" w:type="dxa"/>
            <w:vAlign w:val="center"/>
          </w:tcPr>
          <w:p w14:paraId="09CF09A4" w14:textId="77777777" w:rsidR="00045E28" w:rsidRPr="00767B7C" w:rsidRDefault="00045E28" w:rsidP="009A39F3">
            <w:pPr>
              <w:tabs>
                <w:tab w:val="left" w:pos="284"/>
              </w:tabs>
              <w:ind w:left="284"/>
              <w:jc w:val="both"/>
              <w:rPr>
                <w:rFonts w:ascii="Arial" w:hAnsi="Arial" w:cs="Arial"/>
                <w:sz w:val="18"/>
                <w:szCs w:val="18"/>
              </w:rPr>
            </w:pPr>
          </w:p>
        </w:tc>
        <w:tc>
          <w:tcPr>
            <w:tcW w:w="4910" w:type="dxa"/>
            <w:vAlign w:val="center"/>
          </w:tcPr>
          <w:p w14:paraId="66B1886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193604AE" wp14:editId="485E3BF6">
                  <wp:extent cx="2606040" cy="6321517"/>
                  <wp:effectExtent l="0" t="0" r="3810" b="3175"/>
                  <wp:docPr id="639860634"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34999539" w14:textId="77777777" w:rsidR="00045E28" w:rsidRPr="00767B7C" w:rsidRDefault="00045E28" w:rsidP="00045E28">
      <w:pPr>
        <w:tabs>
          <w:tab w:val="left" w:pos="284"/>
        </w:tabs>
        <w:spacing w:after="0"/>
        <w:ind w:left="284"/>
        <w:jc w:val="both"/>
        <w:rPr>
          <w:rFonts w:ascii="Arial" w:hAnsi="Arial" w:cs="Arial"/>
          <w:b/>
          <w:bCs/>
          <w:sz w:val="12"/>
          <w:szCs w:val="12"/>
        </w:rPr>
      </w:pPr>
      <w:r w:rsidRPr="00767B7C">
        <w:rPr>
          <w:rFonts w:ascii="Arial" w:hAnsi="Arial" w:cs="Arial"/>
          <w:b/>
          <w:bCs/>
          <w:sz w:val="12"/>
          <w:szCs w:val="12"/>
        </w:rPr>
        <w:t>1/ Cifras preliminares.</w:t>
      </w:r>
    </w:p>
    <w:p w14:paraId="02FE8DF1" w14:textId="77777777" w:rsidR="00045E28" w:rsidRPr="00767B7C" w:rsidRDefault="00045E28" w:rsidP="00045E28">
      <w:pPr>
        <w:tabs>
          <w:tab w:val="left" w:pos="284"/>
        </w:tabs>
        <w:spacing w:after="0"/>
        <w:ind w:left="284"/>
        <w:jc w:val="both"/>
        <w:rPr>
          <w:rFonts w:ascii="Arial" w:hAnsi="Arial" w:cs="Arial"/>
          <w:b/>
          <w:bCs/>
          <w:sz w:val="12"/>
          <w:szCs w:val="12"/>
        </w:rPr>
      </w:pPr>
      <w:r w:rsidRPr="00767B7C">
        <w:rPr>
          <w:rFonts w:ascii="Arial" w:hAnsi="Arial" w:cs="Arial"/>
          <w:b/>
          <w:bCs/>
          <w:sz w:val="12"/>
          <w:szCs w:val="12"/>
        </w:rPr>
        <w:t>2/ Las contribuciones se obtienen ponderando las tasas de crecimiento con la participación que cada estado tiene en la actividad económica nacional.</w:t>
      </w:r>
    </w:p>
    <w:p w14:paraId="7A980F0B" w14:textId="77777777" w:rsidR="00045E28" w:rsidRPr="00767B7C" w:rsidRDefault="00045E28" w:rsidP="00045E28">
      <w:pPr>
        <w:tabs>
          <w:tab w:val="left" w:pos="284"/>
        </w:tabs>
        <w:ind w:left="284"/>
        <w:jc w:val="both"/>
        <w:rPr>
          <w:rFonts w:ascii="Arial" w:hAnsi="Arial" w:cs="Arial"/>
          <w:b/>
          <w:bCs/>
          <w:sz w:val="12"/>
          <w:szCs w:val="12"/>
        </w:rPr>
      </w:pPr>
      <w:r w:rsidRPr="00767B7C">
        <w:rPr>
          <w:rFonts w:ascii="Arial" w:hAnsi="Arial" w:cs="Arial"/>
          <w:b/>
          <w:bCs/>
          <w:sz w:val="12"/>
          <w:szCs w:val="12"/>
        </w:rPr>
        <w:t>Fuente:</w:t>
      </w:r>
      <w:r>
        <w:rPr>
          <w:rFonts w:ascii="Arial" w:hAnsi="Arial" w:cs="Arial"/>
          <w:b/>
          <w:bCs/>
          <w:sz w:val="12"/>
          <w:szCs w:val="12"/>
        </w:rPr>
        <w:t xml:space="preserve"> </w:t>
      </w:r>
      <w:r w:rsidRPr="00767B7C">
        <w:rPr>
          <w:rFonts w:ascii="Arial" w:hAnsi="Arial" w:cs="Arial"/>
          <w:b/>
          <w:bCs/>
          <w:sz w:val="12"/>
          <w:szCs w:val="12"/>
        </w:rPr>
        <w:t>inegi. Sistema de Cuentas Nacionales de México (scnm). Indicador Trimestral de la Actividad Económica Estatal (itaee), 2025.</w:t>
      </w:r>
    </w:p>
    <w:p w14:paraId="3686178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Indicador Trimestral de Actividad Económica Estatal (ITAEE), ubica a la entidad en la posición 20 respecto al resto de los estados en cuanto al crecimiento de su actividad económica. De enero a marzo de este año, las entidades que registraron un mayor incremento en su actividad económica fueron Guerrero (6.8%), Oaxaca (5.6%) y Nayarit (4.7%), mientras que en el otro extremo están Quintana Roo (-9.4%), Tabasco (-12.8%), y Campeche (-16.7%) con pérdidas en su actividad.</w:t>
      </w:r>
    </w:p>
    <w:p w14:paraId="5142650C" w14:textId="77777777" w:rsidR="00045E28" w:rsidRDefault="00045E28" w:rsidP="00045E28">
      <w:pPr>
        <w:tabs>
          <w:tab w:val="left" w:pos="284"/>
        </w:tabs>
        <w:ind w:left="284"/>
        <w:jc w:val="both"/>
        <w:rPr>
          <w:rFonts w:ascii="Arial" w:hAnsi="Arial" w:cs="Arial"/>
          <w:sz w:val="18"/>
          <w:szCs w:val="18"/>
        </w:rPr>
      </w:pPr>
    </w:p>
    <w:p w14:paraId="7B2B5B9E"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VARIACIÓN DE LA ACTIVIDAD ECONÓMICA ESTATAL</w:t>
      </w:r>
    </w:p>
    <w:p w14:paraId="4966A992"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cifras desestacionalizadas, primer trimestre de 2025</w:t>
      </w:r>
    </w:p>
    <w:p w14:paraId="0284128C"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(variación porcentual real trimestral y anual)</w:t>
      </w:r>
    </w:p>
    <w:tbl>
      <w:tblPr>
        <w:tblW w:w="5003" w:type="pct"/>
        <w:jc w:val="center"/>
        <w:tblLayout w:type="fixed"/>
        <w:tblCellMar>
          <w:left w:w="0" w:type="dxa"/>
          <w:right w:w="0" w:type="dxa"/>
        </w:tblCellMar>
        <w:tblLook w:val="04A0" w:firstRow="1" w:lastRow="0" w:firstColumn="1" w:lastColumn="0" w:noHBand="0" w:noVBand="1"/>
      </w:tblPr>
      <w:tblGrid>
        <w:gridCol w:w="1933"/>
        <w:gridCol w:w="1344"/>
        <w:gridCol w:w="1345"/>
        <w:gridCol w:w="163"/>
        <w:gridCol w:w="1881"/>
        <w:gridCol w:w="1345"/>
        <w:gridCol w:w="1345"/>
      </w:tblGrid>
      <w:tr w:rsidR="00045E28" w:rsidRPr="00600180" w14:paraId="009C87FA" w14:textId="77777777" w:rsidTr="009A39F3">
        <w:trPr>
          <w:trHeight w:hRule="exact" w:val="510"/>
          <w:jc w:val="center"/>
        </w:trPr>
        <w:tc>
          <w:tcPr>
            <w:tcW w:w="2062" w:type="dxa"/>
            <w:vMerge w:val="restart"/>
            <w:tcBorders>
              <w:top w:val="single" w:sz="4" w:space="0" w:color="F2F2F2"/>
              <w:left w:val="single" w:sz="4" w:space="0" w:color="F2F2F2"/>
              <w:right w:val="single" w:sz="4" w:space="0" w:color="F2F2F2"/>
            </w:tcBorders>
            <w:shd w:val="clear" w:color="auto" w:fill="538135"/>
            <w:noWrap/>
            <w:vAlign w:val="center"/>
          </w:tcPr>
          <w:p w14:paraId="1FC8236F" w14:textId="77777777" w:rsidR="00045E28" w:rsidRPr="00600180" w:rsidRDefault="00045E28" w:rsidP="009A39F3">
            <w:pPr>
              <w:tabs>
                <w:tab w:val="left" w:pos="284"/>
              </w:tabs>
              <w:ind w:left="284"/>
              <w:jc w:val="both"/>
              <w:rPr>
                <w:rFonts w:ascii="Arial" w:hAnsi="Arial"/>
                <w:color w:val="FFFFFF" w:themeColor="background1"/>
                <w:sz w:val="18"/>
                <w:szCs w:val="18"/>
              </w:rPr>
            </w:pPr>
            <w:r w:rsidRPr="00600180">
              <w:rPr>
                <w:rFonts w:ascii="Arial" w:hAnsi="Arial" w:cs="Arial"/>
                <w:color w:val="FFFFFF" w:themeColor="background1"/>
                <w:sz w:val="18"/>
                <w:szCs w:val="18"/>
              </w:rPr>
              <w:t>Entidad federativa</w:t>
            </w:r>
          </w:p>
        </w:tc>
        <w:tc>
          <w:tcPr>
            <w:tcW w:w="2865" w:type="dxa"/>
            <w:gridSpan w:val="2"/>
            <w:tcBorders>
              <w:top w:val="single" w:sz="4" w:space="0" w:color="F2F2F2"/>
              <w:left w:val="single" w:sz="4" w:space="0" w:color="F2F2F2"/>
              <w:bottom w:val="single" w:sz="4" w:space="0" w:color="F2F2F2"/>
              <w:right w:val="single" w:sz="4" w:space="0" w:color="F2F2F2"/>
            </w:tcBorders>
            <w:shd w:val="clear" w:color="auto" w:fill="538135"/>
            <w:vAlign w:val="center"/>
          </w:tcPr>
          <w:p w14:paraId="5C0410FF" w14:textId="77777777" w:rsidR="00045E28" w:rsidRPr="00600180" w:rsidRDefault="00045E28" w:rsidP="009A39F3">
            <w:pPr>
              <w:tabs>
                <w:tab w:val="left" w:pos="284"/>
              </w:tabs>
              <w:ind w:left="284"/>
              <w:jc w:val="center"/>
              <w:rPr>
                <w:rFonts w:ascii="Arial" w:hAnsi="Arial" w:cs="Arial"/>
                <w:color w:val="FFFFFF" w:themeColor="background1"/>
                <w:sz w:val="18"/>
                <w:szCs w:val="18"/>
              </w:rPr>
            </w:pPr>
            <w:r w:rsidRPr="00600180">
              <w:rPr>
                <w:rFonts w:ascii="Arial" w:hAnsi="Arial" w:cs="Arial"/>
                <w:color w:val="FFFFFF" w:themeColor="background1"/>
                <w:sz w:val="18"/>
                <w:szCs w:val="18"/>
              </w:rPr>
              <w:t>Variación porcentual real respecto a:</w:t>
            </w:r>
          </w:p>
        </w:tc>
        <w:tc>
          <w:tcPr>
            <w:tcW w:w="172" w:type="dxa"/>
            <w:tcBorders>
              <w:left w:val="single" w:sz="4" w:space="0" w:color="F2F2F2"/>
              <w:right w:val="single" w:sz="4" w:space="0" w:color="F2F2F2"/>
            </w:tcBorders>
            <w:shd w:val="clear" w:color="auto" w:fill="538135"/>
            <w:vAlign w:val="center"/>
          </w:tcPr>
          <w:p w14:paraId="230CF5E8" w14:textId="77777777" w:rsidR="00045E28" w:rsidRPr="00600180" w:rsidRDefault="00045E28" w:rsidP="009A39F3">
            <w:pPr>
              <w:tabs>
                <w:tab w:val="left" w:pos="284"/>
              </w:tabs>
              <w:ind w:left="284"/>
              <w:jc w:val="both"/>
              <w:rPr>
                <w:rFonts w:ascii="Arial" w:hAnsi="Arial" w:cs="Arial"/>
                <w:color w:val="FFFFFF" w:themeColor="background1"/>
                <w:sz w:val="18"/>
                <w:szCs w:val="18"/>
              </w:rPr>
            </w:pPr>
          </w:p>
        </w:tc>
        <w:tc>
          <w:tcPr>
            <w:tcW w:w="2005" w:type="dxa"/>
            <w:vMerge w:val="restart"/>
            <w:tcBorders>
              <w:top w:val="single" w:sz="4" w:space="0" w:color="F2F2F2"/>
              <w:left w:val="single" w:sz="4" w:space="0" w:color="F2F2F2"/>
              <w:right w:val="single" w:sz="4" w:space="0" w:color="F2F2F2"/>
            </w:tcBorders>
            <w:shd w:val="clear" w:color="auto" w:fill="538135"/>
            <w:noWrap/>
            <w:vAlign w:val="center"/>
          </w:tcPr>
          <w:p w14:paraId="43429501" w14:textId="77777777" w:rsidR="00045E28" w:rsidRPr="00600180" w:rsidRDefault="00045E28" w:rsidP="009A39F3">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Entidad federativa</w:t>
            </w:r>
          </w:p>
        </w:tc>
        <w:tc>
          <w:tcPr>
            <w:tcW w:w="2866" w:type="dxa"/>
            <w:gridSpan w:val="2"/>
            <w:tcBorders>
              <w:top w:val="single" w:sz="4" w:space="0" w:color="F2F2F2"/>
              <w:left w:val="single" w:sz="4" w:space="0" w:color="F2F2F2"/>
              <w:bottom w:val="single" w:sz="4" w:space="0" w:color="F2F2F2"/>
              <w:right w:val="single" w:sz="4" w:space="0" w:color="F2F2F2"/>
            </w:tcBorders>
            <w:shd w:val="clear" w:color="auto" w:fill="538135"/>
            <w:vAlign w:val="center"/>
          </w:tcPr>
          <w:p w14:paraId="6C5B2B64" w14:textId="77777777" w:rsidR="00045E28" w:rsidRPr="00600180" w:rsidRDefault="00045E28" w:rsidP="009A39F3">
            <w:pPr>
              <w:tabs>
                <w:tab w:val="left" w:pos="284"/>
              </w:tabs>
              <w:ind w:left="284"/>
              <w:jc w:val="center"/>
              <w:rPr>
                <w:rFonts w:ascii="Arial" w:hAnsi="Arial" w:cs="Arial"/>
                <w:color w:val="FFFFFF" w:themeColor="background1"/>
                <w:sz w:val="18"/>
                <w:szCs w:val="18"/>
              </w:rPr>
            </w:pPr>
            <w:r w:rsidRPr="00600180">
              <w:rPr>
                <w:rFonts w:ascii="Arial" w:hAnsi="Arial" w:cs="Arial"/>
                <w:color w:val="FFFFFF" w:themeColor="background1"/>
                <w:sz w:val="18"/>
                <w:szCs w:val="18"/>
              </w:rPr>
              <w:t>Variación porcentual real respecto a:</w:t>
            </w:r>
          </w:p>
        </w:tc>
      </w:tr>
      <w:tr w:rsidR="00045E28" w:rsidRPr="00767B7C" w14:paraId="651F5BC1" w14:textId="77777777" w:rsidTr="009A39F3">
        <w:trPr>
          <w:trHeight w:hRule="exact" w:val="510"/>
          <w:jc w:val="center"/>
        </w:trPr>
        <w:tc>
          <w:tcPr>
            <w:tcW w:w="2062" w:type="dxa"/>
            <w:vMerge/>
            <w:tcBorders>
              <w:left w:val="single" w:sz="4" w:space="0" w:color="F2F2F2"/>
              <w:bottom w:val="single" w:sz="4" w:space="0" w:color="F2F2F2"/>
              <w:right w:val="single" w:sz="4" w:space="0" w:color="F2F2F2"/>
            </w:tcBorders>
            <w:noWrap/>
            <w:vAlign w:val="center"/>
          </w:tcPr>
          <w:p w14:paraId="101943FC" w14:textId="77777777" w:rsidR="00045E28" w:rsidRPr="00767B7C" w:rsidRDefault="00045E28" w:rsidP="009A39F3">
            <w:pPr>
              <w:tabs>
                <w:tab w:val="left" w:pos="284"/>
              </w:tabs>
              <w:ind w:left="284"/>
              <w:jc w:val="both"/>
              <w:rPr>
                <w:rFonts w:ascii="Arial" w:hAnsi="Arial"/>
                <w:sz w:val="18"/>
                <w:szCs w:val="18"/>
              </w:rPr>
            </w:pPr>
          </w:p>
        </w:tc>
        <w:tc>
          <w:tcPr>
            <w:tcW w:w="1432" w:type="dxa"/>
            <w:tcBorders>
              <w:top w:val="single" w:sz="4" w:space="0" w:color="F2F2F2"/>
              <w:left w:val="single" w:sz="4" w:space="0" w:color="F2F2F2"/>
              <w:bottom w:val="single" w:sz="4" w:space="0" w:color="F2F2F2"/>
              <w:right w:val="single" w:sz="4" w:space="0" w:color="F2F2F2"/>
            </w:tcBorders>
            <w:shd w:val="clear" w:color="auto" w:fill="385623"/>
            <w:vAlign w:val="center"/>
          </w:tcPr>
          <w:p w14:paraId="3451DCF0" w14:textId="77777777" w:rsidR="00045E28" w:rsidRPr="00600180" w:rsidRDefault="00045E28" w:rsidP="009A39F3">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4.° trimestre de 2024</w:t>
            </w:r>
          </w:p>
        </w:tc>
        <w:tc>
          <w:tcPr>
            <w:tcW w:w="1433" w:type="dxa"/>
            <w:tcBorders>
              <w:top w:val="single" w:sz="4" w:space="0" w:color="F2F2F2"/>
              <w:left w:val="single" w:sz="4" w:space="0" w:color="F2F2F2"/>
              <w:bottom w:val="single" w:sz="4" w:space="0" w:color="F2F2F2"/>
              <w:right w:val="single" w:sz="4" w:space="0" w:color="F2F2F2"/>
            </w:tcBorders>
            <w:shd w:val="clear" w:color="auto" w:fill="385623"/>
            <w:noWrap/>
            <w:vAlign w:val="center"/>
          </w:tcPr>
          <w:p w14:paraId="43959F9E" w14:textId="77777777" w:rsidR="00045E28" w:rsidRPr="00600180" w:rsidRDefault="00045E28" w:rsidP="009A39F3">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1.er trimestre de 2024</w:t>
            </w:r>
          </w:p>
        </w:tc>
        <w:tc>
          <w:tcPr>
            <w:tcW w:w="172" w:type="dxa"/>
            <w:tcBorders>
              <w:left w:val="single" w:sz="4" w:space="0" w:color="F2F2F2"/>
              <w:right w:val="single" w:sz="4" w:space="0" w:color="F2F2F2"/>
            </w:tcBorders>
            <w:vAlign w:val="center"/>
          </w:tcPr>
          <w:p w14:paraId="5E1949F9" w14:textId="77777777" w:rsidR="00045E28" w:rsidRPr="00767B7C" w:rsidRDefault="00045E28" w:rsidP="009A39F3">
            <w:pPr>
              <w:tabs>
                <w:tab w:val="left" w:pos="284"/>
              </w:tabs>
              <w:ind w:left="284"/>
              <w:jc w:val="both"/>
              <w:rPr>
                <w:rFonts w:ascii="Arial" w:hAnsi="Arial" w:cs="Arial"/>
                <w:sz w:val="18"/>
                <w:szCs w:val="18"/>
              </w:rPr>
            </w:pPr>
          </w:p>
        </w:tc>
        <w:tc>
          <w:tcPr>
            <w:tcW w:w="2005" w:type="dxa"/>
            <w:vMerge/>
            <w:tcBorders>
              <w:left w:val="single" w:sz="4" w:space="0" w:color="F2F2F2"/>
              <w:bottom w:val="single" w:sz="4" w:space="0" w:color="F2F2F2"/>
              <w:right w:val="single" w:sz="4" w:space="0" w:color="F2F2F2"/>
            </w:tcBorders>
            <w:noWrap/>
            <w:vAlign w:val="center"/>
          </w:tcPr>
          <w:p w14:paraId="0B37C840" w14:textId="77777777" w:rsidR="00045E28" w:rsidRPr="00767B7C" w:rsidRDefault="00045E28" w:rsidP="009A39F3">
            <w:pPr>
              <w:tabs>
                <w:tab w:val="left" w:pos="284"/>
              </w:tabs>
              <w:ind w:left="284"/>
              <w:jc w:val="both"/>
              <w:rPr>
                <w:rFonts w:ascii="Arial" w:hAnsi="Arial" w:cs="Arial"/>
                <w:sz w:val="18"/>
                <w:szCs w:val="18"/>
              </w:rPr>
            </w:pPr>
          </w:p>
        </w:tc>
        <w:tc>
          <w:tcPr>
            <w:tcW w:w="1433" w:type="dxa"/>
            <w:tcBorders>
              <w:top w:val="single" w:sz="4" w:space="0" w:color="F2F2F2"/>
              <w:left w:val="single" w:sz="4" w:space="0" w:color="F2F2F2"/>
              <w:bottom w:val="single" w:sz="4" w:space="0" w:color="F2F2F2"/>
              <w:right w:val="single" w:sz="4" w:space="0" w:color="F2F2F2"/>
            </w:tcBorders>
            <w:shd w:val="clear" w:color="auto" w:fill="385623"/>
            <w:vAlign w:val="center"/>
          </w:tcPr>
          <w:p w14:paraId="7609FD36" w14:textId="77777777" w:rsidR="00045E28" w:rsidRPr="00600180" w:rsidRDefault="00045E28" w:rsidP="009A39F3">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4.° trimestre de 2024</w:t>
            </w:r>
          </w:p>
        </w:tc>
        <w:tc>
          <w:tcPr>
            <w:tcW w:w="1433" w:type="dxa"/>
            <w:tcBorders>
              <w:top w:val="single" w:sz="4" w:space="0" w:color="F2F2F2"/>
              <w:left w:val="single" w:sz="4" w:space="0" w:color="F2F2F2"/>
              <w:bottom w:val="single" w:sz="4" w:space="0" w:color="F2F2F2"/>
              <w:right w:val="single" w:sz="4" w:space="0" w:color="F2F2F2"/>
            </w:tcBorders>
            <w:shd w:val="clear" w:color="auto" w:fill="385623"/>
            <w:noWrap/>
            <w:vAlign w:val="center"/>
          </w:tcPr>
          <w:p w14:paraId="78440922" w14:textId="77777777" w:rsidR="00045E28" w:rsidRPr="00600180" w:rsidRDefault="00045E28" w:rsidP="009A39F3">
            <w:pPr>
              <w:tabs>
                <w:tab w:val="left" w:pos="284"/>
              </w:tabs>
              <w:ind w:left="284"/>
              <w:jc w:val="both"/>
              <w:rPr>
                <w:rFonts w:ascii="Arial" w:hAnsi="Arial" w:cs="Arial"/>
                <w:color w:val="FFFFFF" w:themeColor="background1"/>
                <w:sz w:val="18"/>
                <w:szCs w:val="18"/>
              </w:rPr>
            </w:pPr>
            <w:r w:rsidRPr="00600180">
              <w:rPr>
                <w:rFonts w:ascii="Arial" w:hAnsi="Arial" w:cs="Arial"/>
                <w:color w:val="FFFFFF" w:themeColor="background1"/>
                <w:sz w:val="18"/>
                <w:szCs w:val="18"/>
              </w:rPr>
              <w:t>1.er trimestre de 2024</w:t>
            </w:r>
          </w:p>
        </w:tc>
      </w:tr>
      <w:tr w:rsidR="00045E28" w:rsidRPr="00767B7C" w14:paraId="377F7C35" w14:textId="77777777" w:rsidTr="009A39F3">
        <w:trPr>
          <w:trHeight w:val="113"/>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7F0FE56F"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Aguascalientes</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1FE1C9DD"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0.6</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3409E48C"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0.9</w:t>
            </w:r>
          </w:p>
        </w:tc>
        <w:tc>
          <w:tcPr>
            <w:tcW w:w="172" w:type="dxa"/>
            <w:tcBorders>
              <w:left w:val="single" w:sz="4" w:space="0" w:color="F2F2F2"/>
              <w:right w:val="single" w:sz="4" w:space="0" w:color="F2F2F2"/>
            </w:tcBorders>
            <w:vAlign w:val="center"/>
          </w:tcPr>
          <w:p w14:paraId="7A91B0B6"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42353EDD"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Morelos</w:t>
            </w:r>
          </w:p>
        </w:tc>
        <w:tc>
          <w:tcPr>
            <w:tcW w:w="1433" w:type="dxa"/>
            <w:tcBorders>
              <w:top w:val="single" w:sz="4" w:space="0" w:color="F2F2F2"/>
              <w:left w:val="single" w:sz="4" w:space="0" w:color="F2F2F2"/>
              <w:bottom w:val="single" w:sz="4" w:space="0" w:color="F2F2F2"/>
              <w:right w:val="single" w:sz="4" w:space="0" w:color="F2F2F2"/>
            </w:tcBorders>
            <w:vAlign w:val="center"/>
          </w:tcPr>
          <w:p w14:paraId="0FB96ACC"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1.9</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5742C4A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2.1</w:t>
            </w:r>
          </w:p>
        </w:tc>
      </w:tr>
      <w:tr w:rsidR="00045E28" w:rsidRPr="00767B7C" w14:paraId="23B39253"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30CCDDE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Baja California</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3E6A199F"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0.8</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0765CAC6"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1.2</w:t>
            </w:r>
          </w:p>
        </w:tc>
        <w:tc>
          <w:tcPr>
            <w:tcW w:w="172" w:type="dxa"/>
            <w:tcBorders>
              <w:left w:val="single" w:sz="4" w:space="0" w:color="F2F2F2"/>
              <w:right w:val="single" w:sz="4" w:space="0" w:color="F2F2F2"/>
            </w:tcBorders>
            <w:vAlign w:val="center"/>
          </w:tcPr>
          <w:p w14:paraId="6720B185"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6C471FD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Nayarit</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7F9E7EB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3.3</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E6FD7B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4.7</w:t>
            </w:r>
          </w:p>
        </w:tc>
      </w:tr>
      <w:tr w:rsidR="00045E28" w:rsidRPr="00767B7C" w14:paraId="07DCE5B4"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3B0143F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Baja California Sur</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3A98E49F"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1.8</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168780B4"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3.9</w:t>
            </w:r>
          </w:p>
        </w:tc>
        <w:tc>
          <w:tcPr>
            <w:tcW w:w="172" w:type="dxa"/>
            <w:tcBorders>
              <w:left w:val="single" w:sz="4" w:space="0" w:color="F2F2F2"/>
              <w:right w:val="single" w:sz="4" w:space="0" w:color="F2F2F2"/>
            </w:tcBorders>
            <w:vAlign w:val="center"/>
          </w:tcPr>
          <w:p w14:paraId="6761442B"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19810A1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Nuevo León</w:t>
            </w:r>
          </w:p>
        </w:tc>
        <w:tc>
          <w:tcPr>
            <w:tcW w:w="1433" w:type="dxa"/>
            <w:tcBorders>
              <w:top w:val="single" w:sz="4" w:space="0" w:color="F2F2F2"/>
              <w:left w:val="single" w:sz="4" w:space="0" w:color="F2F2F2"/>
              <w:bottom w:val="single" w:sz="4" w:space="0" w:color="F2F2F2"/>
              <w:right w:val="single" w:sz="4" w:space="0" w:color="F2F2F2"/>
            </w:tcBorders>
            <w:vAlign w:val="center"/>
          </w:tcPr>
          <w:p w14:paraId="066D512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-1.1</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2ACFFB0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1.3</w:t>
            </w:r>
          </w:p>
        </w:tc>
      </w:tr>
      <w:tr w:rsidR="00045E28" w:rsidRPr="00767B7C" w14:paraId="6303A3C5"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4064CE6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Campeche</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765039F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-6.4</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7ECC70B3"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-16.8</w:t>
            </w:r>
          </w:p>
        </w:tc>
        <w:tc>
          <w:tcPr>
            <w:tcW w:w="172" w:type="dxa"/>
            <w:tcBorders>
              <w:left w:val="single" w:sz="4" w:space="0" w:color="F2F2F2"/>
              <w:right w:val="single" w:sz="4" w:space="0" w:color="F2F2F2"/>
            </w:tcBorders>
            <w:vAlign w:val="center"/>
          </w:tcPr>
          <w:p w14:paraId="040C773F"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6D4754DF"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Oaxaca</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648FD69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1.6</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D272D5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5.7</w:t>
            </w:r>
          </w:p>
        </w:tc>
      </w:tr>
      <w:tr w:rsidR="00045E28" w:rsidRPr="00767B7C" w14:paraId="008876F0"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1DAEA0E6"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Coahuila de Zaragoza</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4F5F535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-1.4</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170D553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0.7</w:t>
            </w:r>
          </w:p>
        </w:tc>
        <w:tc>
          <w:tcPr>
            <w:tcW w:w="172" w:type="dxa"/>
            <w:tcBorders>
              <w:left w:val="single" w:sz="4" w:space="0" w:color="F2F2F2"/>
              <w:right w:val="single" w:sz="4" w:space="0" w:color="F2F2F2"/>
            </w:tcBorders>
            <w:vAlign w:val="center"/>
          </w:tcPr>
          <w:p w14:paraId="758B4804"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7B56B943"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Puebla</w:t>
            </w:r>
          </w:p>
        </w:tc>
        <w:tc>
          <w:tcPr>
            <w:tcW w:w="1433" w:type="dxa"/>
            <w:tcBorders>
              <w:top w:val="single" w:sz="4" w:space="0" w:color="F2F2F2"/>
              <w:left w:val="single" w:sz="4" w:space="0" w:color="F2F2F2"/>
              <w:bottom w:val="single" w:sz="4" w:space="0" w:color="F2F2F2"/>
              <w:right w:val="single" w:sz="4" w:space="0" w:color="F2F2F2"/>
            </w:tcBorders>
            <w:vAlign w:val="center"/>
          </w:tcPr>
          <w:p w14:paraId="490E2A43"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3F782DF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-0.7</w:t>
            </w:r>
          </w:p>
        </w:tc>
      </w:tr>
      <w:tr w:rsidR="00045E28" w:rsidRPr="00767B7C" w14:paraId="04DAE468"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0E4781A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Colima</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68447F96"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1.6</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26DF8622"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2.6</w:t>
            </w:r>
          </w:p>
        </w:tc>
        <w:tc>
          <w:tcPr>
            <w:tcW w:w="172" w:type="dxa"/>
            <w:tcBorders>
              <w:left w:val="single" w:sz="4" w:space="0" w:color="F2F2F2"/>
              <w:right w:val="single" w:sz="4" w:space="0" w:color="F2F2F2"/>
            </w:tcBorders>
            <w:vAlign w:val="center"/>
          </w:tcPr>
          <w:p w14:paraId="6829800B"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B2220F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Querétaro</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07570D4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1A43D92"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0.6</w:t>
            </w:r>
          </w:p>
        </w:tc>
      </w:tr>
      <w:tr w:rsidR="00045E28" w:rsidRPr="00767B7C" w14:paraId="4EBD3583"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5C791F8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Chiapas</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2DBA7AC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-1.2</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6604A86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0.0</w:t>
            </w:r>
          </w:p>
        </w:tc>
        <w:tc>
          <w:tcPr>
            <w:tcW w:w="172" w:type="dxa"/>
            <w:tcBorders>
              <w:left w:val="single" w:sz="4" w:space="0" w:color="F2F2F2"/>
              <w:right w:val="single" w:sz="4" w:space="0" w:color="F2F2F2"/>
            </w:tcBorders>
            <w:vAlign w:val="center"/>
          </w:tcPr>
          <w:p w14:paraId="5BBDC3F9"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1A13FCA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Quintana Roo</w:t>
            </w:r>
          </w:p>
        </w:tc>
        <w:tc>
          <w:tcPr>
            <w:tcW w:w="1433" w:type="dxa"/>
            <w:tcBorders>
              <w:top w:val="single" w:sz="4" w:space="0" w:color="F2F2F2"/>
              <w:left w:val="single" w:sz="4" w:space="0" w:color="F2F2F2"/>
              <w:bottom w:val="single" w:sz="4" w:space="0" w:color="F2F2F2"/>
              <w:right w:val="single" w:sz="4" w:space="0" w:color="F2F2F2"/>
            </w:tcBorders>
            <w:vAlign w:val="center"/>
          </w:tcPr>
          <w:p w14:paraId="0BD05A4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-4.2</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53250853"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-9.2</w:t>
            </w:r>
          </w:p>
        </w:tc>
      </w:tr>
      <w:tr w:rsidR="00045E28" w:rsidRPr="00767B7C" w14:paraId="3191B5AA"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4BBAC8D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Chihuahua</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57B8C42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-0.9</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664A5F1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-1.3</w:t>
            </w:r>
          </w:p>
        </w:tc>
        <w:tc>
          <w:tcPr>
            <w:tcW w:w="172" w:type="dxa"/>
            <w:tcBorders>
              <w:left w:val="single" w:sz="4" w:space="0" w:color="F2F2F2"/>
              <w:right w:val="single" w:sz="4" w:space="0" w:color="F2F2F2"/>
            </w:tcBorders>
            <w:vAlign w:val="center"/>
          </w:tcPr>
          <w:p w14:paraId="4E2EDB68"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76A40DC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San Luis Potosí</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0EB0915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2.3</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26C368A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2.3</w:t>
            </w:r>
          </w:p>
        </w:tc>
      </w:tr>
      <w:tr w:rsidR="00045E28" w:rsidRPr="00767B7C" w14:paraId="3C8D276B"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hideMark/>
          </w:tcPr>
          <w:p w14:paraId="3DF3180B"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Ciudad de México</w:t>
            </w:r>
          </w:p>
        </w:tc>
        <w:tc>
          <w:tcPr>
            <w:tcW w:w="1432" w:type="dxa"/>
            <w:tcBorders>
              <w:top w:val="single" w:sz="4" w:space="0" w:color="F2F2F2"/>
              <w:left w:val="single" w:sz="4" w:space="0" w:color="F2F2F2"/>
              <w:bottom w:val="single" w:sz="4" w:space="0" w:color="F2F2F2"/>
              <w:right w:val="single" w:sz="4" w:space="0" w:color="F2F2F2"/>
            </w:tcBorders>
            <w:vAlign w:val="center"/>
            <w:hideMark/>
          </w:tcPr>
          <w:p w14:paraId="31EE3D4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-0.4</w:t>
            </w:r>
          </w:p>
        </w:tc>
        <w:tc>
          <w:tcPr>
            <w:tcW w:w="1433" w:type="dxa"/>
            <w:tcBorders>
              <w:top w:val="single" w:sz="4" w:space="0" w:color="F2F2F2"/>
              <w:left w:val="single" w:sz="4" w:space="0" w:color="F2F2F2"/>
              <w:bottom w:val="single" w:sz="4" w:space="0" w:color="F2F2F2"/>
              <w:right w:val="single" w:sz="4" w:space="0" w:color="F2F2F2"/>
            </w:tcBorders>
            <w:noWrap/>
            <w:vAlign w:val="center"/>
            <w:hideMark/>
          </w:tcPr>
          <w:p w14:paraId="1BB2B4F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1.5</w:t>
            </w:r>
          </w:p>
        </w:tc>
        <w:tc>
          <w:tcPr>
            <w:tcW w:w="172" w:type="dxa"/>
            <w:tcBorders>
              <w:left w:val="single" w:sz="4" w:space="0" w:color="F2F2F2"/>
              <w:right w:val="single" w:sz="4" w:space="0" w:color="F2F2F2"/>
            </w:tcBorders>
            <w:vAlign w:val="center"/>
          </w:tcPr>
          <w:p w14:paraId="31D593EB"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69986194"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Sinaloa</w:t>
            </w:r>
          </w:p>
        </w:tc>
        <w:tc>
          <w:tcPr>
            <w:tcW w:w="1433" w:type="dxa"/>
            <w:tcBorders>
              <w:top w:val="single" w:sz="4" w:space="0" w:color="F2F2F2"/>
              <w:left w:val="single" w:sz="4" w:space="0" w:color="F2F2F2"/>
              <w:bottom w:val="single" w:sz="4" w:space="0" w:color="F2F2F2"/>
              <w:right w:val="single" w:sz="4" w:space="0" w:color="F2F2F2"/>
            </w:tcBorders>
            <w:vAlign w:val="center"/>
          </w:tcPr>
          <w:p w14:paraId="15E4685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7.0</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7683E24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2.0</w:t>
            </w:r>
          </w:p>
        </w:tc>
      </w:tr>
      <w:tr w:rsidR="00045E28" w:rsidRPr="00767B7C" w14:paraId="2E36C130"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0E2E1B8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Durango</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hideMark/>
          </w:tcPr>
          <w:p w14:paraId="19E1B8FF"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1.2</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hideMark/>
          </w:tcPr>
          <w:p w14:paraId="0382CAA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-0.4</w:t>
            </w:r>
          </w:p>
        </w:tc>
        <w:tc>
          <w:tcPr>
            <w:tcW w:w="172" w:type="dxa"/>
            <w:tcBorders>
              <w:left w:val="single" w:sz="4" w:space="0" w:color="F2F2F2"/>
              <w:right w:val="single" w:sz="4" w:space="0" w:color="F2F2F2"/>
            </w:tcBorders>
            <w:vAlign w:val="center"/>
          </w:tcPr>
          <w:p w14:paraId="4BA55577"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20CC862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Sonora</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61446548"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0.2</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7EE5B7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0.4</w:t>
            </w:r>
          </w:p>
        </w:tc>
      </w:tr>
      <w:tr w:rsidR="00045E28" w:rsidRPr="00767B7C" w14:paraId="1900EE13"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FFFFF"/>
            <w:noWrap/>
            <w:vAlign w:val="center"/>
          </w:tcPr>
          <w:p w14:paraId="059E1EB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Guanajuato</w:t>
            </w:r>
          </w:p>
        </w:tc>
        <w:tc>
          <w:tcPr>
            <w:tcW w:w="1432" w:type="dxa"/>
            <w:tcBorders>
              <w:top w:val="single" w:sz="4" w:space="0" w:color="F2F2F2"/>
              <w:left w:val="single" w:sz="4" w:space="0" w:color="F2F2F2"/>
              <w:bottom w:val="single" w:sz="4" w:space="0" w:color="F2F2F2"/>
              <w:right w:val="single" w:sz="4" w:space="0" w:color="F2F2F2"/>
            </w:tcBorders>
            <w:shd w:val="clear" w:color="auto" w:fill="FFFFFF"/>
            <w:vAlign w:val="center"/>
          </w:tcPr>
          <w:p w14:paraId="1E0C0E0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-1.5</w:t>
            </w:r>
          </w:p>
        </w:tc>
        <w:tc>
          <w:tcPr>
            <w:tcW w:w="1433" w:type="dxa"/>
            <w:tcBorders>
              <w:top w:val="single" w:sz="4" w:space="0" w:color="F2F2F2"/>
              <w:left w:val="single" w:sz="4" w:space="0" w:color="F2F2F2"/>
              <w:bottom w:val="single" w:sz="4" w:space="0" w:color="F2F2F2"/>
              <w:right w:val="single" w:sz="4" w:space="0" w:color="F2F2F2"/>
            </w:tcBorders>
            <w:shd w:val="clear" w:color="auto" w:fill="FFFFFF"/>
            <w:noWrap/>
            <w:vAlign w:val="center"/>
          </w:tcPr>
          <w:p w14:paraId="4F82A59D"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2.2</w:t>
            </w:r>
          </w:p>
        </w:tc>
        <w:tc>
          <w:tcPr>
            <w:tcW w:w="172" w:type="dxa"/>
            <w:tcBorders>
              <w:left w:val="single" w:sz="4" w:space="0" w:color="F2F2F2"/>
              <w:right w:val="single" w:sz="4" w:space="0" w:color="F2F2F2"/>
            </w:tcBorders>
            <w:vAlign w:val="center"/>
          </w:tcPr>
          <w:p w14:paraId="62186308"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5C9C126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Tabasco</w:t>
            </w:r>
          </w:p>
        </w:tc>
        <w:tc>
          <w:tcPr>
            <w:tcW w:w="1433" w:type="dxa"/>
            <w:tcBorders>
              <w:top w:val="single" w:sz="4" w:space="0" w:color="F2F2F2"/>
              <w:left w:val="single" w:sz="4" w:space="0" w:color="F2F2F2"/>
              <w:bottom w:val="single" w:sz="4" w:space="0" w:color="F2F2F2"/>
              <w:right w:val="single" w:sz="4" w:space="0" w:color="F2F2F2"/>
            </w:tcBorders>
            <w:vAlign w:val="center"/>
          </w:tcPr>
          <w:p w14:paraId="6A7BEEB5"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-2.7</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2F81936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-12.3</w:t>
            </w:r>
          </w:p>
        </w:tc>
      </w:tr>
      <w:tr w:rsidR="00045E28" w:rsidRPr="00767B7C" w14:paraId="0483DD38"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3BA1AF4"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Guerrero</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25A8EA7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2.4</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C38B42C"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8.0</w:t>
            </w:r>
          </w:p>
        </w:tc>
        <w:tc>
          <w:tcPr>
            <w:tcW w:w="172" w:type="dxa"/>
            <w:tcBorders>
              <w:left w:val="single" w:sz="4" w:space="0" w:color="F2F2F2"/>
              <w:right w:val="single" w:sz="4" w:space="0" w:color="F2F2F2"/>
            </w:tcBorders>
            <w:vAlign w:val="center"/>
          </w:tcPr>
          <w:p w14:paraId="0664D202"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64D937EB"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Tamaulipas</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7C431E1D"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5E74662"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2.9</w:t>
            </w:r>
          </w:p>
        </w:tc>
      </w:tr>
      <w:tr w:rsidR="00045E28" w:rsidRPr="00767B7C" w14:paraId="04178D41"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tcPr>
          <w:p w14:paraId="51CA68FC"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Hidalgo</w:t>
            </w:r>
          </w:p>
        </w:tc>
        <w:tc>
          <w:tcPr>
            <w:tcW w:w="1432" w:type="dxa"/>
            <w:tcBorders>
              <w:top w:val="single" w:sz="4" w:space="0" w:color="F2F2F2"/>
              <w:left w:val="single" w:sz="4" w:space="0" w:color="F2F2F2"/>
              <w:bottom w:val="single" w:sz="4" w:space="0" w:color="F2F2F2"/>
              <w:right w:val="single" w:sz="4" w:space="0" w:color="F2F2F2"/>
            </w:tcBorders>
            <w:vAlign w:val="center"/>
          </w:tcPr>
          <w:p w14:paraId="5D2A7BDD"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0.7</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41DEB1D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0.5</w:t>
            </w:r>
          </w:p>
        </w:tc>
        <w:tc>
          <w:tcPr>
            <w:tcW w:w="172" w:type="dxa"/>
            <w:tcBorders>
              <w:left w:val="single" w:sz="4" w:space="0" w:color="F2F2F2"/>
              <w:right w:val="single" w:sz="4" w:space="0" w:color="F2F2F2"/>
            </w:tcBorders>
            <w:vAlign w:val="center"/>
          </w:tcPr>
          <w:p w14:paraId="175955CE"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593D8B5D"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Tlaxcala</w:t>
            </w:r>
          </w:p>
        </w:tc>
        <w:tc>
          <w:tcPr>
            <w:tcW w:w="1433" w:type="dxa"/>
            <w:tcBorders>
              <w:top w:val="single" w:sz="4" w:space="0" w:color="F2F2F2"/>
              <w:left w:val="single" w:sz="4" w:space="0" w:color="F2F2F2"/>
              <w:bottom w:val="single" w:sz="4" w:space="0" w:color="F2F2F2"/>
              <w:right w:val="single" w:sz="4" w:space="0" w:color="F2F2F2"/>
            </w:tcBorders>
            <w:vAlign w:val="center"/>
          </w:tcPr>
          <w:p w14:paraId="29184C3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1.4</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2430ED9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1.2</w:t>
            </w:r>
          </w:p>
        </w:tc>
      </w:tr>
      <w:tr w:rsidR="00045E28" w:rsidRPr="00767B7C" w14:paraId="1D29A4E9"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692B076"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Jalisco</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14885B0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0.8</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4E193CA3"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0.6</w:t>
            </w:r>
          </w:p>
        </w:tc>
        <w:tc>
          <w:tcPr>
            <w:tcW w:w="172" w:type="dxa"/>
            <w:tcBorders>
              <w:left w:val="single" w:sz="4" w:space="0" w:color="F2F2F2"/>
              <w:right w:val="single" w:sz="4" w:space="0" w:color="F2F2F2"/>
            </w:tcBorders>
            <w:vAlign w:val="center"/>
          </w:tcPr>
          <w:p w14:paraId="39382749"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3A47EED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 xml:space="preserve">Veracruz de Ignacio de la Llave </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74A28758"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-0.6</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A2F21A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-0.4</w:t>
            </w:r>
          </w:p>
        </w:tc>
      </w:tr>
      <w:tr w:rsidR="00045E28" w:rsidRPr="00767B7C" w14:paraId="2726C6A5" w14:textId="77777777" w:rsidTr="009A39F3">
        <w:trPr>
          <w:trHeight w:val="170"/>
          <w:jc w:val="center"/>
        </w:trPr>
        <w:tc>
          <w:tcPr>
            <w:tcW w:w="2062" w:type="dxa"/>
            <w:tcBorders>
              <w:top w:val="single" w:sz="4" w:space="0" w:color="F2F2F2"/>
              <w:left w:val="single" w:sz="4" w:space="0" w:color="F2F2F2"/>
              <w:bottom w:val="single" w:sz="4" w:space="0" w:color="F2F2F2"/>
              <w:right w:val="single" w:sz="4" w:space="0" w:color="F2F2F2"/>
            </w:tcBorders>
            <w:noWrap/>
            <w:vAlign w:val="center"/>
          </w:tcPr>
          <w:p w14:paraId="61A83172"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México</w:t>
            </w:r>
          </w:p>
        </w:tc>
        <w:tc>
          <w:tcPr>
            <w:tcW w:w="1432" w:type="dxa"/>
            <w:tcBorders>
              <w:top w:val="single" w:sz="4" w:space="0" w:color="F2F2F2"/>
              <w:left w:val="single" w:sz="4" w:space="0" w:color="F2F2F2"/>
              <w:bottom w:val="single" w:sz="4" w:space="0" w:color="F2F2F2"/>
              <w:right w:val="single" w:sz="4" w:space="0" w:color="F2F2F2"/>
            </w:tcBorders>
            <w:vAlign w:val="center"/>
          </w:tcPr>
          <w:p w14:paraId="0C7DC21A"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0.4</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4F8C1132"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0.6</w:t>
            </w:r>
          </w:p>
        </w:tc>
        <w:tc>
          <w:tcPr>
            <w:tcW w:w="172" w:type="dxa"/>
            <w:tcBorders>
              <w:left w:val="single" w:sz="4" w:space="0" w:color="F2F2F2"/>
              <w:right w:val="single" w:sz="4" w:space="0" w:color="F2F2F2"/>
            </w:tcBorders>
            <w:vAlign w:val="center"/>
          </w:tcPr>
          <w:p w14:paraId="4B7C9C61"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noWrap/>
            <w:vAlign w:val="center"/>
          </w:tcPr>
          <w:p w14:paraId="068820B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Yucatán</w:t>
            </w:r>
          </w:p>
        </w:tc>
        <w:tc>
          <w:tcPr>
            <w:tcW w:w="1433" w:type="dxa"/>
            <w:tcBorders>
              <w:top w:val="single" w:sz="4" w:space="0" w:color="F2F2F2"/>
              <w:left w:val="single" w:sz="4" w:space="0" w:color="F2F2F2"/>
              <w:bottom w:val="single" w:sz="4" w:space="0" w:color="F2F2F2"/>
              <w:right w:val="single" w:sz="4" w:space="0" w:color="F2F2F2"/>
            </w:tcBorders>
            <w:vAlign w:val="center"/>
          </w:tcPr>
          <w:p w14:paraId="2F5AC58C"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0.6</w:t>
            </w:r>
          </w:p>
        </w:tc>
        <w:tc>
          <w:tcPr>
            <w:tcW w:w="1433" w:type="dxa"/>
            <w:tcBorders>
              <w:top w:val="single" w:sz="4" w:space="0" w:color="F2F2F2"/>
              <w:left w:val="single" w:sz="4" w:space="0" w:color="F2F2F2"/>
              <w:bottom w:val="single" w:sz="4" w:space="0" w:color="F2F2F2"/>
              <w:right w:val="single" w:sz="4" w:space="0" w:color="F2F2F2"/>
            </w:tcBorders>
            <w:noWrap/>
            <w:vAlign w:val="center"/>
          </w:tcPr>
          <w:p w14:paraId="48595BE2"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2.1</w:t>
            </w:r>
          </w:p>
        </w:tc>
      </w:tr>
      <w:tr w:rsidR="00045E28" w:rsidRPr="00767B7C" w14:paraId="3C9EA2CD" w14:textId="77777777" w:rsidTr="009A39F3">
        <w:trPr>
          <w:trHeight w:val="64"/>
          <w:jc w:val="center"/>
        </w:trPr>
        <w:tc>
          <w:tcPr>
            <w:tcW w:w="2062"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59F5DB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 xml:space="preserve">Michoacán de Ocampo </w:t>
            </w:r>
          </w:p>
        </w:tc>
        <w:tc>
          <w:tcPr>
            <w:tcW w:w="1432"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1DDC058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2.0</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1CCD2580"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1.3</w:t>
            </w:r>
          </w:p>
        </w:tc>
        <w:tc>
          <w:tcPr>
            <w:tcW w:w="172" w:type="dxa"/>
            <w:tcBorders>
              <w:left w:val="single" w:sz="4" w:space="0" w:color="F2F2F2"/>
              <w:right w:val="single" w:sz="4" w:space="0" w:color="F2F2F2"/>
            </w:tcBorders>
            <w:vAlign w:val="center"/>
          </w:tcPr>
          <w:p w14:paraId="052452FB" w14:textId="77777777" w:rsidR="00045E28" w:rsidRPr="00767B7C" w:rsidRDefault="00045E28" w:rsidP="009A39F3">
            <w:pPr>
              <w:tabs>
                <w:tab w:val="left" w:pos="284"/>
              </w:tabs>
              <w:ind w:left="284"/>
              <w:jc w:val="both"/>
              <w:rPr>
                <w:rFonts w:ascii="Arial" w:hAnsi="Arial" w:cs="Arial"/>
                <w:sz w:val="18"/>
                <w:szCs w:val="18"/>
              </w:rPr>
            </w:pPr>
          </w:p>
        </w:tc>
        <w:tc>
          <w:tcPr>
            <w:tcW w:w="2005"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5D90127E"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Zacatecas</w:t>
            </w:r>
          </w:p>
        </w:tc>
        <w:tc>
          <w:tcPr>
            <w:tcW w:w="1433" w:type="dxa"/>
            <w:tcBorders>
              <w:top w:val="single" w:sz="4" w:space="0" w:color="F2F2F2"/>
              <w:left w:val="single" w:sz="4" w:space="0" w:color="F2F2F2"/>
              <w:bottom w:val="single" w:sz="4" w:space="0" w:color="F2F2F2"/>
              <w:right w:val="single" w:sz="4" w:space="0" w:color="F2F2F2"/>
            </w:tcBorders>
            <w:shd w:val="clear" w:color="auto" w:fill="F2F2F2"/>
            <w:vAlign w:val="center"/>
          </w:tcPr>
          <w:p w14:paraId="7B224529"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2.2</w:t>
            </w:r>
          </w:p>
        </w:tc>
        <w:tc>
          <w:tcPr>
            <w:tcW w:w="1433" w:type="dxa"/>
            <w:tcBorders>
              <w:top w:val="single" w:sz="4" w:space="0" w:color="F2F2F2"/>
              <w:left w:val="single" w:sz="4" w:space="0" w:color="F2F2F2"/>
              <w:bottom w:val="single" w:sz="4" w:space="0" w:color="F2F2F2"/>
              <w:right w:val="single" w:sz="4" w:space="0" w:color="F2F2F2"/>
            </w:tcBorders>
            <w:shd w:val="clear" w:color="auto" w:fill="F2F2F2"/>
            <w:noWrap/>
            <w:vAlign w:val="center"/>
          </w:tcPr>
          <w:p w14:paraId="6CC42A7B"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sz w:val="18"/>
                <w:szCs w:val="18"/>
              </w:rPr>
              <w:t>3.6</w:t>
            </w:r>
          </w:p>
        </w:tc>
      </w:tr>
    </w:tbl>
    <w:p w14:paraId="2CD85E87"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Nota:</w:t>
      </w:r>
      <w:r w:rsidRPr="00600180">
        <w:rPr>
          <w:rFonts w:ascii="Arial" w:hAnsi="Arial" w:cs="Arial"/>
          <w:b/>
          <w:bCs/>
          <w:sz w:val="14"/>
          <w:szCs w:val="14"/>
        </w:rPr>
        <w:tab/>
        <w:t>Cifras elaboradas mediante métodos econométricos.</w:t>
      </w:r>
    </w:p>
    <w:p w14:paraId="03AF2289"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Pr>
          <w:rFonts w:ascii="Arial" w:hAnsi="Arial" w:cs="Arial"/>
          <w:b/>
          <w:bCs/>
          <w:sz w:val="14"/>
          <w:szCs w:val="14"/>
        </w:rPr>
        <w:t xml:space="preserve"> </w:t>
      </w:r>
      <w:r w:rsidRPr="00600180">
        <w:rPr>
          <w:rFonts w:ascii="Arial" w:hAnsi="Arial" w:cs="Arial"/>
          <w:b/>
          <w:bCs/>
          <w:sz w:val="14"/>
          <w:szCs w:val="14"/>
        </w:rPr>
        <w:t xml:space="preserve">inegi. Sistema de Cuentas Nacionales de México (scnm). Indicador Trimestral de la Actividad Económica Estatal (itaee), 2025. </w:t>
      </w:r>
    </w:p>
    <w:p w14:paraId="70CC8BCD" w14:textId="77777777" w:rsidR="00045E28" w:rsidRDefault="00045E28" w:rsidP="00045E28">
      <w:pPr>
        <w:tabs>
          <w:tab w:val="left" w:pos="284"/>
        </w:tabs>
        <w:ind w:left="284"/>
        <w:jc w:val="both"/>
        <w:rPr>
          <w:rFonts w:ascii="Arial" w:hAnsi="Arial" w:cs="Arial"/>
          <w:sz w:val="18"/>
          <w:szCs w:val="18"/>
        </w:rPr>
      </w:pPr>
    </w:p>
    <w:p w14:paraId="721C33DA"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este periodo, las actividades terciarias (comercio, operaciones con información y servicios) fueron las que presentaron el mejor comportamiento al crecer en 1.5 por ciento anual que ubicó a Tlaxcala en el lugar 11 respecto al resto de las entidades federativas. En los primeros lugares estuvieron Guerrero (8.8%), Baja California Sur (3.2%) y Yucatán (2.7%); mientras que las entidades con números negativos del periodo fueron Chiapas (1.9%), Baja California (0.6%), y Oaxaca (0.4%).</w:t>
      </w:r>
    </w:p>
    <w:p w14:paraId="3EFE201E" w14:textId="77777777" w:rsidR="00045E28" w:rsidRPr="00767B7C" w:rsidRDefault="00045E28" w:rsidP="00045E28">
      <w:pPr>
        <w:tabs>
          <w:tab w:val="left" w:pos="284"/>
        </w:tabs>
        <w:ind w:left="284"/>
        <w:jc w:val="both"/>
        <w:rPr>
          <w:rFonts w:ascii="Arial" w:hAnsi="Arial" w:cs="Arial"/>
          <w:sz w:val="18"/>
          <w:szCs w:val="18"/>
        </w:rPr>
      </w:pPr>
    </w:p>
    <w:p w14:paraId="3622E45C" w14:textId="77777777" w:rsidR="00045E28" w:rsidRPr="00767B7C" w:rsidRDefault="00045E28" w:rsidP="00045E28">
      <w:pPr>
        <w:tabs>
          <w:tab w:val="left" w:pos="284"/>
        </w:tabs>
        <w:ind w:left="284"/>
        <w:jc w:val="both"/>
        <w:rPr>
          <w:rFonts w:ascii="Arial" w:hAnsi="Arial" w:cs="Arial"/>
          <w:sz w:val="18"/>
          <w:szCs w:val="18"/>
        </w:rPr>
      </w:pPr>
    </w:p>
    <w:p w14:paraId="739F5F81" w14:textId="77777777" w:rsidR="00045E28" w:rsidRPr="00767B7C" w:rsidRDefault="00045E28" w:rsidP="00045E28">
      <w:pPr>
        <w:tabs>
          <w:tab w:val="left" w:pos="284"/>
        </w:tabs>
        <w:ind w:left="284"/>
        <w:jc w:val="both"/>
        <w:rPr>
          <w:rFonts w:ascii="Arial" w:hAnsi="Arial" w:cs="Arial"/>
          <w:sz w:val="18"/>
          <w:szCs w:val="18"/>
        </w:rPr>
      </w:pPr>
    </w:p>
    <w:p w14:paraId="441FE002" w14:textId="77777777" w:rsidR="00045E28" w:rsidRPr="00767B7C" w:rsidRDefault="00045E28" w:rsidP="00045E28">
      <w:pPr>
        <w:tabs>
          <w:tab w:val="left" w:pos="284"/>
        </w:tabs>
        <w:ind w:left="284"/>
        <w:jc w:val="both"/>
        <w:rPr>
          <w:rFonts w:ascii="Arial" w:hAnsi="Arial" w:cs="Arial"/>
          <w:sz w:val="18"/>
          <w:szCs w:val="18"/>
        </w:rPr>
      </w:pPr>
    </w:p>
    <w:p w14:paraId="15E18838"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Variación anual y contribución de las actividades terciarias</w:t>
      </w:r>
    </w:p>
    <w:p w14:paraId="08337782"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primer trimestre de 20251/</w:t>
      </w:r>
    </w:p>
    <w:tbl>
      <w:tblPr>
        <w:tblW w:w="5009" w:type="pct"/>
        <w:tblCellMar>
          <w:left w:w="0" w:type="dxa"/>
          <w:right w:w="0" w:type="dxa"/>
        </w:tblCellMar>
        <w:tblLook w:val="04A0" w:firstRow="1" w:lastRow="0" w:firstColumn="1" w:lastColumn="0" w:noHBand="0" w:noVBand="1"/>
      </w:tblPr>
      <w:tblGrid>
        <w:gridCol w:w="4653"/>
        <w:gridCol w:w="148"/>
        <w:gridCol w:w="14"/>
        <w:gridCol w:w="4562"/>
      </w:tblGrid>
      <w:tr w:rsidR="00045E28" w:rsidRPr="00600180" w14:paraId="3E4FC543" w14:textId="77777777" w:rsidTr="009A39F3">
        <w:trPr>
          <w:trHeight w:hRule="exact" w:val="525"/>
        </w:trPr>
        <w:tc>
          <w:tcPr>
            <w:tcW w:w="3753" w:type="dxa"/>
            <w:vAlign w:val="center"/>
          </w:tcPr>
          <w:p w14:paraId="397C5B51" w14:textId="77777777" w:rsidR="00045E28" w:rsidRPr="00600180" w:rsidRDefault="00045E28" w:rsidP="009A39F3">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Variación porcentual real </w:t>
            </w:r>
            <w:r w:rsidRPr="00600180">
              <w:rPr>
                <w:rFonts w:ascii="Arial" w:hAnsi="Arial" w:cs="Arial"/>
                <w:b/>
                <w:bCs/>
                <w:sz w:val="18"/>
                <w:szCs w:val="18"/>
              </w:rPr>
              <w:br/>
              <w:t>respecto al primer trimestre de 2024</w:t>
            </w:r>
          </w:p>
        </w:tc>
        <w:tc>
          <w:tcPr>
            <w:tcW w:w="146" w:type="dxa"/>
            <w:vAlign w:val="center"/>
          </w:tcPr>
          <w:p w14:paraId="72C808E4" w14:textId="77777777" w:rsidR="00045E28" w:rsidRPr="00600180" w:rsidRDefault="00045E28" w:rsidP="009A39F3">
            <w:pPr>
              <w:tabs>
                <w:tab w:val="left" w:pos="284"/>
              </w:tabs>
              <w:spacing w:after="0"/>
              <w:ind w:left="284"/>
              <w:jc w:val="center"/>
              <w:rPr>
                <w:rFonts w:ascii="Arial" w:hAnsi="Arial" w:cs="Arial"/>
                <w:b/>
                <w:bCs/>
                <w:sz w:val="18"/>
                <w:szCs w:val="18"/>
              </w:rPr>
            </w:pPr>
          </w:p>
        </w:tc>
        <w:tc>
          <w:tcPr>
            <w:tcW w:w="4211" w:type="dxa"/>
            <w:gridSpan w:val="2"/>
            <w:vAlign w:val="center"/>
          </w:tcPr>
          <w:p w14:paraId="7F0A0431" w14:textId="77777777" w:rsidR="00045E28" w:rsidRPr="00600180" w:rsidRDefault="00045E28" w:rsidP="009A39F3">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Contribución a la variación total real </w:t>
            </w:r>
            <w:r w:rsidRPr="00600180">
              <w:rPr>
                <w:rFonts w:ascii="Arial" w:hAnsi="Arial" w:cs="Arial"/>
                <w:b/>
                <w:bCs/>
                <w:sz w:val="18"/>
                <w:szCs w:val="18"/>
              </w:rPr>
              <w:br/>
              <w:t>de las actividades terciarias2/</w:t>
            </w:r>
          </w:p>
        </w:tc>
      </w:tr>
      <w:tr w:rsidR="00045E28" w:rsidRPr="00767B7C" w14:paraId="61EEDB81" w14:textId="77777777" w:rsidTr="009A39F3">
        <w:tblPrEx>
          <w:tblCellMar>
            <w:left w:w="70" w:type="dxa"/>
            <w:right w:w="70" w:type="dxa"/>
          </w:tblCellMar>
        </w:tblPrEx>
        <w:trPr>
          <w:trHeight w:val="7933"/>
        </w:trPr>
        <w:tc>
          <w:tcPr>
            <w:tcW w:w="3753" w:type="dxa"/>
            <w:vAlign w:val="center"/>
          </w:tcPr>
          <w:p w14:paraId="154F5FC1"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622F2169" wp14:editId="45219934">
                  <wp:extent cx="2637155" cy="6400800"/>
                  <wp:effectExtent l="0" t="0" r="10795" b="0"/>
                  <wp:docPr id="141023314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60" w:type="dxa"/>
            <w:gridSpan w:val="2"/>
            <w:vAlign w:val="center"/>
          </w:tcPr>
          <w:p w14:paraId="21191C5F" w14:textId="77777777" w:rsidR="00045E28" w:rsidRPr="00767B7C" w:rsidRDefault="00045E28" w:rsidP="009A39F3">
            <w:pPr>
              <w:tabs>
                <w:tab w:val="left" w:pos="284"/>
              </w:tabs>
              <w:ind w:left="284"/>
              <w:jc w:val="both"/>
              <w:rPr>
                <w:rFonts w:ascii="Arial" w:hAnsi="Arial" w:cs="Arial"/>
                <w:sz w:val="18"/>
                <w:szCs w:val="18"/>
              </w:rPr>
            </w:pPr>
          </w:p>
        </w:tc>
        <w:tc>
          <w:tcPr>
            <w:tcW w:w="4201" w:type="dxa"/>
            <w:vAlign w:val="center"/>
          </w:tcPr>
          <w:p w14:paraId="5B623743"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34FF347C" wp14:editId="3D8D55A9">
                  <wp:extent cx="2588260" cy="6390229"/>
                  <wp:effectExtent l="0" t="0" r="2540" b="10795"/>
                  <wp:docPr id="1557054172"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2367DFB9"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1/ Cifras preliminares.</w:t>
      </w:r>
    </w:p>
    <w:p w14:paraId="62FE7959"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2/ Las contribuciones se obtienen ponderando las tasas de crecimiento con la participación que cada estado tiene en las actividades terciarias.</w:t>
      </w:r>
    </w:p>
    <w:p w14:paraId="57822D90"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Pr>
          <w:rFonts w:ascii="Arial" w:hAnsi="Arial" w:cs="Arial"/>
          <w:b/>
          <w:bCs/>
          <w:sz w:val="14"/>
          <w:szCs w:val="14"/>
        </w:rPr>
        <w:t xml:space="preserve"> </w:t>
      </w:r>
      <w:r w:rsidRPr="00600180">
        <w:rPr>
          <w:rFonts w:ascii="Arial" w:hAnsi="Arial" w:cs="Arial"/>
          <w:b/>
          <w:bCs/>
          <w:sz w:val="14"/>
          <w:szCs w:val="14"/>
        </w:rPr>
        <w:t>inegi. Sistema de Cuentas Nacionales de México (scnm). Indicador Trimestral de la Actividad Económica Estatal (itaee), 2025.</w:t>
      </w:r>
    </w:p>
    <w:p w14:paraId="381ACC2C" w14:textId="77777777" w:rsidR="00045E28" w:rsidRDefault="00045E28" w:rsidP="00045E28">
      <w:pPr>
        <w:tabs>
          <w:tab w:val="left" w:pos="284"/>
        </w:tabs>
        <w:ind w:left="284"/>
        <w:jc w:val="both"/>
        <w:rPr>
          <w:rFonts w:ascii="Arial" w:hAnsi="Arial" w:cs="Arial"/>
          <w:sz w:val="18"/>
          <w:szCs w:val="18"/>
        </w:rPr>
      </w:pPr>
    </w:p>
    <w:p w14:paraId="77178C2C"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 </w:t>
      </w:r>
      <w:proofErr w:type="gramStart"/>
      <w:r w:rsidRPr="00767B7C">
        <w:rPr>
          <w:rFonts w:ascii="Arial" w:hAnsi="Arial" w:cs="Arial"/>
          <w:sz w:val="18"/>
          <w:szCs w:val="18"/>
        </w:rPr>
        <w:t>continuación</w:t>
      </w:r>
      <w:proofErr w:type="gramEnd"/>
      <w:r w:rsidRPr="00767B7C">
        <w:rPr>
          <w:rFonts w:ascii="Arial" w:hAnsi="Arial" w:cs="Arial"/>
          <w:sz w:val="18"/>
          <w:szCs w:val="18"/>
        </w:rPr>
        <w:t xml:space="preserve"> se colocaron las actividades primarias (agricultura, cría y exploración de animales, aprovechamiento forestal, caza y pesca) que registraron un crecimiento de 1.3 por ciento en comparación con el primer trimestre de 2024. En este caso, Tlaxcala obtuvo el lugar 22 a nivel nacional, mientras que los primeros los ocuparon Tamaulipas (24.3%), Baja California (23%) y Zacatecas (23%).</w:t>
      </w:r>
    </w:p>
    <w:p w14:paraId="5D696C2B"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Variación anual y contribución de las actividades primarias</w:t>
      </w:r>
    </w:p>
    <w:p w14:paraId="306794F3"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primer trimestre de 20251/</w:t>
      </w:r>
    </w:p>
    <w:tbl>
      <w:tblPr>
        <w:tblW w:w="4410" w:type="pct"/>
        <w:jc w:val="center"/>
        <w:tblCellMar>
          <w:left w:w="0" w:type="dxa"/>
          <w:right w:w="0" w:type="dxa"/>
        </w:tblCellMar>
        <w:tblLook w:val="04A0" w:firstRow="1" w:lastRow="0" w:firstColumn="1" w:lastColumn="0" w:noHBand="0" w:noVBand="1"/>
      </w:tblPr>
      <w:tblGrid>
        <w:gridCol w:w="4354"/>
        <w:gridCol w:w="146"/>
        <w:gridCol w:w="4234"/>
      </w:tblGrid>
      <w:tr w:rsidR="00045E28" w:rsidRPr="00600180" w14:paraId="2F31CE74" w14:textId="77777777" w:rsidTr="009A39F3">
        <w:trPr>
          <w:trHeight w:hRule="exact" w:val="414"/>
          <w:jc w:val="center"/>
        </w:trPr>
        <w:tc>
          <w:tcPr>
            <w:tcW w:w="3561" w:type="dxa"/>
            <w:vAlign w:val="center"/>
          </w:tcPr>
          <w:p w14:paraId="10C9F443" w14:textId="77777777" w:rsidR="00045E28" w:rsidRPr="00600180" w:rsidRDefault="00045E28" w:rsidP="009A39F3">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Variación porcentual real </w:t>
            </w:r>
            <w:r w:rsidRPr="00600180">
              <w:rPr>
                <w:rFonts w:ascii="Arial" w:hAnsi="Arial" w:cs="Arial"/>
                <w:b/>
                <w:bCs/>
                <w:sz w:val="18"/>
                <w:szCs w:val="18"/>
              </w:rPr>
              <w:br/>
              <w:t>respecto al primer trimestre de 2024</w:t>
            </w:r>
          </w:p>
        </w:tc>
        <w:tc>
          <w:tcPr>
            <w:tcW w:w="128" w:type="dxa"/>
            <w:vAlign w:val="center"/>
          </w:tcPr>
          <w:p w14:paraId="2EAC7AD8" w14:textId="77777777" w:rsidR="00045E28" w:rsidRPr="00600180" w:rsidRDefault="00045E28" w:rsidP="009A39F3">
            <w:pPr>
              <w:tabs>
                <w:tab w:val="left" w:pos="284"/>
              </w:tabs>
              <w:spacing w:after="0"/>
              <w:ind w:left="284"/>
              <w:jc w:val="center"/>
              <w:rPr>
                <w:rFonts w:ascii="Arial" w:hAnsi="Arial" w:cs="Arial"/>
                <w:b/>
                <w:bCs/>
                <w:sz w:val="18"/>
                <w:szCs w:val="18"/>
              </w:rPr>
            </w:pPr>
          </w:p>
        </w:tc>
        <w:tc>
          <w:tcPr>
            <w:tcW w:w="3456" w:type="dxa"/>
            <w:vAlign w:val="center"/>
          </w:tcPr>
          <w:p w14:paraId="29F17568" w14:textId="77777777" w:rsidR="00045E28" w:rsidRPr="00600180" w:rsidRDefault="00045E28" w:rsidP="009A39F3">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Contribución a la variación total real </w:t>
            </w:r>
            <w:r w:rsidRPr="00600180">
              <w:rPr>
                <w:rFonts w:ascii="Arial" w:hAnsi="Arial" w:cs="Arial"/>
                <w:b/>
                <w:bCs/>
                <w:sz w:val="18"/>
                <w:szCs w:val="18"/>
              </w:rPr>
              <w:br/>
              <w:t>de las actividades primarias2/</w:t>
            </w:r>
          </w:p>
        </w:tc>
      </w:tr>
      <w:tr w:rsidR="00045E28" w:rsidRPr="00767B7C" w14:paraId="3CCA193F" w14:textId="77777777" w:rsidTr="009A39F3">
        <w:tblPrEx>
          <w:tblCellMar>
            <w:left w:w="70" w:type="dxa"/>
            <w:right w:w="70" w:type="dxa"/>
          </w:tblCellMar>
        </w:tblPrEx>
        <w:trPr>
          <w:trHeight w:val="6274"/>
          <w:jc w:val="center"/>
        </w:trPr>
        <w:tc>
          <w:tcPr>
            <w:tcW w:w="3561" w:type="dxa"/>
            <w:vAlign w:val="center"/>
          </w:tcPr>
          <w:p w14:paraId="24CA1068"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721BFB59" wp14:editId="3686860F">
                  <wp:extent cx="2494280" cy="6152379"/>
                  <wp:effectExtent l="0" t="0" r="1270" b="1270"/>
                  <wp:docPr id="59230885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28" w:type="dxa"/>
            <w:vAlign w:val="center"/>
          </w:tcPr>
          <w:p w14:paraId="76E43E91" w14:textId="77777777" w:rsidR="00045E28" w:rsidRPr="00767B7C" w:rsidRDefault="00045E28" w:rsidP="009A39F3">
            <w:pPr>
              <w:tabs>
                <w:tab w:val="left" w:pos="284"/>
              </w:tabs>
              <w:ind w:left="284"/>
              <w:jc w:val="both"/>
              <w:rPr>
                <w:rFonts w:ascii="Arial" w:hAnsi="Arial" w:cs="Arial"/>
                <w:sz w:val="18"/>
                <w:szCs w:val="18"/>
              </w:rPr>
            </w:pPr>
          </w:p>
        </w:tc>
        <w:tc>
          <w:tcPr>
            <w:tcW w:w="3456" w:type="dxa"/>
            <w:vAlign w:val="center"/>
          </w:tcPr>
          <w:p w14:paraId="2D414A3F"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61D1C9AF" wp14:editId="48332F6B">
                  <wp:extent cx="2403475" cy="6141808"/>
                  <wp:effectExtent l="0" t="0" r="15875" b="11430"/>
                  <wp:docPr id="1239956683"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0374EDE"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1/ Cifras preliminares.</w:t>
      </w:r>
    </w:p>
    <w:p w14:paraId="54D97157"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2/ Las contribuciones se obtienen ponderando las tasas de crecimiento con la participación que cada estado tiene en las actividades primarias.</w:t>
      </w:r>
    </w:p>
    <w:p w14:paraId="34DDF684"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Pr>
          <w:rFonts w:ascii="Arial" w:hAnsi="Arial" w:cs="Arial"/>
          <w:b/>
          <w:bCs/>
          <w:sz w:val="14"/>
          <w:szCs w:val="14"/>
        </w:rPr>
        <w:t xml:space="preserve"> </w:t>
      </w:r>
      <w:r w:rsidRPr="00600180">
        <w:rPr>
          <w:rFonts w:ascii="Arial" w:hAnsi="Arial" w:cs="Arial"/>
          <w:b/>
          <w:bCs/>
          <w:sz w:val="14"/>
          <w:szCs w:val="14"/>
        </w:rPr>
        <w:t>inegi. Sistema de Cuentas Nacionales de México (scnm). Indicador Trimestral de la Actividad Económica Estatal (itaee), 2025.</w:t>
      </w:r>
    </w:p>
    <w:p w14:paraId="4246EC9C" w14:textId="77777777" w:rsidR="00045E28" w:rsidRPr="00767B7C" w:rsidRDefault="00045E28" w:rsidP="00045E28">
      <w:pPr>
        <w:tabs>
          <w:tab w:val="left" w:pos="284"/>
        </w:tabs>
        <w:ind w:left="284"/>
        <w:jc w:val="both"/>
        <w:rPr>
          <w:rFonts w:ascii="Arial" w:hAnsi="Arial" w:cs="Arial"/>
          <w:sz w:val="18"/>
          <w:szCs w:val="18"/>
        </w:rPr>
      </w:pPr>
    </w:p>
    <w:p w14:paraId="35F0018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Las actividades secundarias (minería, manufacturas, construcción y electricidad) fueron el sector con menor crecimiento en los primeros tres meses de este año con apenas 0.4 por ciento que le dió a la entidad la posición 19 respecto al resto del país. En tanto que las actividades de este rubro en Oaxaca (15%), Nayarit (12.6%) y la Ciudad de México (8.9%) tuvieron el mejor comportamiento del periodo.</w:t>
      </w:r>
    </w:p>
    <w:p w14:paraId="53775E40" w14:textId="77777777" w:rsidR="00045E28" w:rsidRPr="00767B7C" w:rsidRDefault="00045E28" w:rsidP="00045E28">
      <w:pPr>
        <w:tabs>
          <w:tab w:val="left" w:pos="284"/>
        </w:tabs>
        <w:ind w:left="284"/>
        <w:jc w:val="both"/>
        <w:rPr>
          <w:rFonts w:ascii="Arial" w:hAnsi="Arial" w:cs="Arial"/>
          <w:sz w:val="18"/>
          <w:szCs w:val="18"/>
        </w:rPr>
      </w:pPr>
    </w:p>
    <w:p w14:paraId="25679EA9"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Variación anual y contribución de las actividades secundarias</w:t>
      </w:r>
    </w:p>
    <w:p w14:paraId="133E71F8" w14:textId="77777777" w:rsidR="00045E28" w:rsidRPr="00600180" w:rsidRDefault="00045E28" w:rsidP="00045E28">
      <w:pPr>
        <w:tabs>
          <w:tab w:val="left" w:pos="284"/>
        </w:tabs>
        <w:spacing w:after="0"/>
        <w:ind w:left="284"/>
        <w:jc w:val="center"/>
        <w:rPr>
          <w:rFonts w:ascii="Arial" w:hAnsi="Arial" w:cs="Arial"/>
          <w:b/>
          <w:bCs/>
          <w:sz w:val="18"/>
          <w:szCs w:val="18"/>
        </w:rPr>
      </w:pPr>
      <w:r w:rsidRPr="00600180">
        <w:rPr>
          <w:rFonts w:ascii="Arial" w:hAnsi="Arial" w:cs="Arial"/>
          <w:b/>
          <w:bCs/>
          <w:sz w:val="18"/>
          <w:szCs w:val="18"/>
        </w:rPr>
        <w:t>primer trimestre de 20251/</w:t>
      </w:r>
    </w:p>
    <w:tbl>
      <w:tblPr>
        <w:tblW w:w="4953" w:type="pct"/>
        <w:jc w:val="center"/>
        <w:tblCellMar>
          <w:left w:w="0" w:type="dxa"/>
          <w:right w:w="0" w:type="dxa"/>
        </w:tblCellMar>
        <w:tblLook w:val="04A0" w:firstRow="1" w:lastRow="0" w:firstColumn="1" w:lastColumn="0" w:noHBand="0" w:noVBand="1"/>
      </w:tblPr>
      <w:tblGrid>
        <w:gridCol w:w="4686"/>
        <w:gridCol w:w="155"/>
        <w:gridCol w:w="4431"/>
      </w:tblGrid>
      <w:tr w:rsidR="00045E28" w:rsidRPr="00600180" w14:paraId="2A321EDA" w14:textId="77777777" w:rsidTr="009A39F3">
        <w:trPr>
          <w:trHeight w:hRule="exact" w:val="514"/>
          <w:jc w:val="center"/>
        </w:trPr>
        <w:tc>
          <w:tcPr>
            <w:tcW w:w="4058" w:type="dxa"/>
            <w:vAlign w:val="center"/>
          </w:tcPr>
          <w:p w14:paraId="5DA6EFE3" w14:textId="77777777" w:rsidR="00045E28" w:rsidRPr="00600180" w:rsidRDefault="00045E28" w:rsidP="009A39F3">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Variación porcentual real </w:t>
            </w:r>
            <w:r w:rsidRPr="00600180">
              <w:rPr>
                <w:rFonts w:ascii="Arial" w:hAnsi="Arial" w:cs="Arial"/>
                <w:b/>
                <w:bCs/>
                <w:sz w:val="18"/>
                <w:szCs w:val="18"/>
              </w:rPr>
              <w:br/>
              <w:t>respecto al primer trimestre de 2024</w:t>
            </w:r>
          </w:p>
        </w:tc>
        <w:tc>
          <w:tcPr>
            <w:tcW w:w="144" w:type="dxa"/>
            <w:vAlign w:val="center"/>
          </w:tcPr>
          <w:p w14:paraId="684DCB87" w14:textId="77777777" w:rsidR="00045E28" w:rsidRPr="00600180" w:rsidRDefault="00045E28" w:rsidP="009A39F3">
            <w:pPr>
              <w:tabs>
                <w:tab w:val="left" w:pos="284"/>
              </w:tabs>
              <w:spacing w:after="0"/>
              <w:ind w:left="284"/>
              <w:jc w:val="center"/>
              <w:rPr>
                <w:rFonts w:ascii="Arial" w:hAnsi="Arial" w:cs="Arial"/>
                <w:b/>
                <w:bCs/>
                <w:sz w:val="18"/>
                <w:szCs w:val="18"/>
              </w:rPr>
            </w:pPr>
          </w:p>
        </w:tc>
        <w:tc>
          <w:tcPr>
            <w:tcW w:w="3822" w:type="dxa"/>
            <w:vAlign w:val="center"/>
          </w:tcPr>
          <w:p w14:paraId="0B85E1BF" w14:textId="77777777" w:rsidR="00045E28" w:rsidRPr="00600180" w:rsidRDefault="00045E28" w:rsidP="009A39F3">
            <w:pPr>
              <w:tabs>
                <w:tab w:val="left" w:pos="284"/>
              </w:tabs>
              <w:spacing w:after="0"/>
              <w:ind w:left="284"/>
              <w:jc w:val="center"/>
              <w:rPr>
                <w:rFonts w:ascii="Arial" w:hAnsi="Arial" w:cs="Arial"/>
                <w:b/>
                <w:bCs/>
                <w:sz w:val="18"/>
                <w:szCs w:val="18"/>
              </w:rPr>
            </w:pPr>
            <w:r w:rsidRPr="00600180">
              <w:rPr>
                <w:rFonts w:ascii="Arial" w:hAnsi="Arial" w:cs="Arial"/>
                <w:b/>
                <w:bCs/>
                <w:sz w:val="18"/>
                <w:szCs w:val="18"/>
              </w:rPr>
              <w:t xml:space="preserve">Contribución a la variación total real </w:t>
            </w:r>
            <w:r w:rsidRPr="00600180">
              <w:rPr>
                <w:rFonts w:ascii="Arial" w:hAnsi="Arial" w:cs="Arial"/>
                <w:b/>
                <w:bCs/>
                <w:sz w:val="18"/>
                <w:szCs w:val="18"/>
              </w:rPr>
              <w:br/>
              <w:t>de las actividades secundarias2/</w:t>
            </w:r>
          </w:p>
        </w:tc>
      </w:tr>
      <w:tr w:rsidR="00045E28" w:rsidRPr="00767B7C" w14:paraId="075D6EED" w14:textId="77777777" w:rsidTr="009A39F3">
        <w:tblPrEx>
          <w:tblCellMar>
            <w:left w:w="70" w:type="dxa"/>
            <w:right w:w="70" w:type="dxa"/>
          </w:tblCellMar>
        </w:tblPrEx>
        <w:trPr>
          <w:trHeight w:val="5568"/>
          <w:jc w:val="center"/>
        </w:trPr>
        <w:tc>
          <w:tcPr>
            <w:tcW w:w="4058" w:type="dxa"/>
            <w:vAlign w:val="center"/>
          </w:tcPr>
          <w:p w14:paraId="5FD64917"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6EAEE479" wp14:editId="467FF689">
                  <wp:extent cx="2526030" cy="4862705"/>
                  <wp:effectExtent l="0" t="0" r="7620" b="14605"/>
                  <wp:docPr id="860631984"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44" w:type="dxa"/>
            <w:vAlign w:val="center"/>
          </w:tcPr>
          <w:p w14:paraId="3ABEE487" w14:textId="77777777" w:rsidR="00045E28" w:rsidRPr="00767B7C" w:rsidRDefault="00045E28" w:rsidP="009A39F3">
            <w:pPr>
              <w:tabs>
                <w:tab w:val="left" w:pos="284"/>
              </w:tabs>
              <w:ind w:left="284"/>
              <w:jc w:val="both"/>
              <w:rPr>
                <w:rFonts w:ascii="Arial" w:hAnsi="Arial" w:cs="Arial"/>
                <w:sz w:val="18"/>
                <w:szCs w:val="18"/>
              </w:rPr>
            </w:pPr>
          </w:p>
        </w:tc>
        <w:tc>
          <w:tcPr>
            <w:tcW w:w="3822" w:type="dxa"/>
            <w:vAlign w:val="center"/>
          </w:tcPr>
          <w:p w14:paraId="4851DB78" w14:textId="77777777" w:rsidR="00045E28" w:rsidRPr="00767B7C" w:rsidRDefault="00045E28" w:rsidP="009A39F3">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3621B3EC" wp14:editId="46002985">
                  <wp:extent cx="2378710" cy="4809850"/>
                  <wp:effectExtent l="0" t="0" r="2540" b="10160"/>
                  <wp:docPr id="883535793"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267535E4"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1/ Cifras preliminares.</w:t>
      </w:r>
    </w:p>
    <w:p w14:paraId="79A143B7"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 xml:space="preserve">2/ Las contribuciones se obtienen ponderando las tasas de crecimiento con la participación que cada estado tiene en las actividades secundarias. </w:t>
      </w:r>
    </w:p>
    <w:p w14:paraId="3AAFC628" w14:textId="77777777" w:rsidR="00045E28" w:rsidRPr="00600180" w:rsidRDefault="00045E28" w:rsidP="00045E28">
      <w:pPr>
        <w:tabs>
          <w:tab w:val="left" w:pos="284"/>
        </w:tabs>
        <w:spacing w:after="0"/>
        <w:ind w:left="284"/>
        <w:jc w:val="both"/>
        <w:rPr>
          <w:rFonts w:ascii="Arial" w:hAnsi="Arial" w:cs="Arial"/>
          <w:b/>
          <w:bCs/>
          <w:sz w:val="14"/>
          <w:szCs w:val="14"/>
        </w:rPr>
      </w:pPr>
      <w:r w:rsidRPr="00600180">
        <w:rPr>
          <w:rFonts w:ascii="Arial" w:hAnsi="Arial" w:cs="Arial"/>
          <w:b/>
          <w:bCs/>
          <w:sz w:val="14"/>
          <w:szCs w:val="14"/>
        </w:rPr>
        <w:t>Fuente:</w:t>
      </w:r>
      <w:r>
        <w:rPr>
          <w:rFonts w:ascii="Arial" w:hAnsi="Arial" w:cs="Arial"/>
          <w:b/>
          <w:bCs/>
          <w:sz w:val="14"/>
          <w:szCs w:val="14"/>
        </w:rPr>
        <w:t xml:space="preserve"> </w:t>
      </w:r>
      <w:r w:rsidRPr="00600180">
        <w:rPr>
          <w:rFonts w:ascii="Arial" w:hAnsi="Arial" w:cs="Arial"/>
          <w:b/>
          <w:bCs/>
          <w:sz w:val="14"/>
          <w:szCs w:val="14"/>
        </w:rPr>
        <w:t>inegi. Sistema de Cuentas Nacionales de México (scnm). Indicador Trimestral de la Actividad Económica Estatal (itaee), 2025.</w:t>
      </w:r>
    </w:p>
    <w:p w14:paraId="0451BDFB" w14:textId="77777777" w:rsidR="00045E28" w:rsidRDefault="00045E28" w:rsidP="00045E28">
      <w:pPr>
        <w:tabs>
          <w:tab w:val="left" w:pos="284"/>
        </w:tabs>
        <w:ind w:left="284"/>
        <w:jc w:val="both"/>
        <w:rPr>
          <w:rFonts w:ascii="Arial" w:hAnsi="Arial" w:cs="Arial"/>
          <w:sz w:val="18"/>
          <w:szCs w:val="18"/>
        </w:rPr>
      </w:pPr>
    </w:p>
    <w:p w14:paraId="4EF20AA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Tlaxcala -junto a Guerrero, Hidalgo, Michoacán, Morelo, Puebla y Querétaro- forma parte de la región centro sur del país que en el mismo periodo registró un incremento de 1.4 por ciento en su actividad económica; principalmente impulsado por el sector primario con 4.7 por ciento de crecimiento, seguido de las actividades terciarias que tuvieron 2.1 por ciento más actividad económica; pero el sector secundario perdió 0.6 por ciento de su actividad.</w:t>
      </w:r>
    </w:p>
    <w:p w14:paraId="36901CB6"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actividad económica de la región centro-sur representó 13.3 por ciento del total de las actividades en México. El primer lugar lo obtuvo el norte con 28.2 por ciento, le siguió la región centro con 24.4 por ciento, la región centro norte con 19 por ciento, y la región sur-sureste con 15.1 por ciento.</w:t>
      </w:r>
    </w:p>
    <w:p w14:paraId="51AA3CBF"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aporte de Tlaxcala para la región fue de 0.05 por ciento que le dió la posición seis de las siete entidades que la conforman. En este caso, Guerrero fue la entidad con mayor aporte al registrar 0.65 por ciento, y por el contrario Puebla mostró una pérdida de 0.04 por ciento.</w:t>
      </w:r>
    </w:p>
    <w:p w14:paraId="0AE941EF" w14:textId="77777777" w:rsidR="00045E28" w:rsidRPr="00767B7C" w:rsidRDefault="00045E28" w:rsidP="00045E28">
      <w:pPr>
        <w:tabs>
          <w:tab w:val="left" w:pos="284"/>
        </w:tabs>
        <w:ind w:left="284"/>
        <w:jc w:val="both"/>
        <w:rPr>
          <w:rFonts w:ascii="Arial" w:hAnsi="Arial" w:cs="Arial"/>
          <w:sz w:val="18"/>
          <w:szCs w:val="18"/>
        </w:rPr>
      </w:pPr>
    </w:p>
    <w:p w14:paraId="3193196F"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Se estima que la Entidad siga registrando márgenes operativos positivos en 2026, pero menores a los observados en 2025 y años previos. Las asignaciones en el PPEF 2026 para los gobiernos locales, que se integran por participaciones, aportaciones y otros conceptos, sumarán 2,810.8 mmp, 3.0% más en términos reales que en el aprobado de 2025.</w:t>
      </w:r>
    </w:p>
    <w:p w14:paraId="7343863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política fiscal que el Gobierno del Estado implementará en el ejercicio 2026, tendrá como finalidad mantener un balance presupuestario positivo, procurando que las fuentes de ingreso financien el gasto del ejercicio, por lo que se espera que se sigan registrando márgenes operativos positivos al cierre de 2025 y en 2026, pero menores a los registrados en ejercicios anteriores. Los resultados financieros balanceados y la política de deuda conservadora, han permitido que desde el ejercicio 2008 el Estado de Tlaxcala haya registrado una posición libre de endeudamiento.</w:t>
      </w:r>
    </w:p>
    <w:p w14:paraId="00811CD1"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Con la finalidad de controlar el crecimiento del gasto se establecieron topes a ciertos rubros del gasto, mediante el Acuerdo que Establece los Lineamientos y Políticas Generales del Ejercicio del Presupuesto, las Medidas de Mejora y Modernización, así como de Austeridad del Gasto Público de la Gestión Administrativa, limitando el crecimiento del presupuesto.</w:t>
      </w:r>
    </w:p>
    <w:p w14:paraId="743B24D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Se estima que para 2026, los ingresos propios se mantengan en niveles similares a los de 2025, en línea con las previsiones efectuadas por el Gobierno Federal, considerando que los recursos destinados a las entidades federativas por participaciones, al primer semestre de 2025 corresponde a 632,369.1 millones de pesos, lo que representa un crecimiento del 3.6% con respecto a lo programado.</w:t>
      </w:r>
    </w:p>
    <w:p w14:paraId="1C0023D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liquidez del Estado de Tlaxcala es un factor que permite enfrentar choques externos imprevistos, por lo que se espera que el efectivo del Estado cubra al menos el 0.6% de los pasivos promedio para 2025 y 2026, como resultado del buen manejo del presupuesto.</w:t>
      </w:r>
    </w:p>
    <w:p w14:paraId="4C6AEFA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el COVID-19.</w:t>
      </w:r>
    </w:p>
    <w:p w14:paraId="3D78B4A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Ante un panorama económico que puede presentar riesgos en el corto y en el mediano plazo, esta administración no prevé la creación de nuevos impuestos ni el incremento de los ya vigentes, por lo que será una tarea fundamental eficientar la administración y recaudación de las diferentes fuentes de ingresos, mediante una política fiscal que favorezca el financiamiento del gasto público. En materia de incentivos fiscales estatales, se proponen políticas que fomentan la creación de nuevos empleos y la integración de cadenas productivas, que propicien el desarrollo de los sectores económicos del Estado.</w:t>
      </w:r>
    </w:p>
    <w:p w14:paraId="5AB671F5"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atención de los derechos de las niñas, niños y adolescentes de 0 a 5 años y adolescentes hasta los 18 años es fundamental, por lo que el Gobierno del Estado considera prioritaria una estrategia de inclusión social con perspectiva de género, para lo cual se han emprendido acciones que permiten identificar plenamente los recursos que son ejercidos en estos rubros por las diferentes Dependencias del Estado, previniendo rezagos y desigualdades, incorporando estrategias de desarrollo con perspectiva de género al interior de éstas.</w:t>
      </w:r>
    </w:p>
    <w:p w14:paraId="243EAC4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Al mes de </w:t>
      </w:r>
      <w:proofErr w:type="gramStart"/>
      <w:r w:rsidRPr="00767B7C">
        <w:rPr>
          <w:rFonts w:ascii="Arial" w:hAnsi="Arial" w:cs="Arial"/>
          <w:sz w:val="18"/>
          <w:szCs w:val="18"/>
        </w:rPr>
        <w:t>Agosto</w:t>
      </w:r>
      <w:proofErr w:type="gramEnd"/>
      <w:r w:rsidRPr="00767B7C">
        <w:rPr>
          <w:rFonts w:ascii="Arial" w:hAnsi="Arial" w:cs="Arial"/>
          <w:sz w:val="18"/>
          <w:szCs w:val="18"/>
        </w:rPr>
        <w:t xml:space="preserve"> de 2025 la tasa de ocupación reflejó una participación del 1% al total nacional, presentando un incremento de 563 puestos de trabajo permanentes respecto a diciembre de 2024. Al mes de agosto de 2025, se tienen registrados 116,849 trabajadores asegurados en el IMSS, tal y como se muestra en los cuadros siguientes:</w:t>
      </w:r>
    </w:p>
    <w:p w14:paraId="1365002F" w14:textId="77777777" w:rsidR="00045E28" w:rsidRDefault="00045E28" w:rsidP="00045E28">
      <w:pPr>
        <w:tabs>
          <w:tab w:val="left" w:pos="284"/>
        </w:tabs>
        <w:ind w:left="284"/>
        <w:jc w:val="both"/>
        <w:rPr>
          <w:rFonts w:ascii="Arial" w:hAnsi="Arial" w:cs="Arial"/>
          <w:sz w:val="18"/>
          <w:szCs w:val="18"/>
        </w:rPr>
      </w:pPr>
    </w:p>
    <w:p w14:paraId="24C4C85E" w14:textId="77777777" w:rsidR="00045E28" w:rsidRDefault="00045E28" w:rsidP="00045E28">
      <w:pPr>
        <w:tabs>
          <w:tab w:val="left" w:pos="284"/>
        </w:tabs>
        <w:ind w:left="284"/>
        <w:jc w:val="both"/>
        <w:rPr>
          <w:rFonts w:ascii="Arial" w:hAnsi="Arial" w:cs="Arial"/>
          <w:sz w:val="18"/>
          <w:szCs w:val="18"/>
        </w:rPr>
      </w:pPr>
    </w:p>
    <w:p w14:paraId="2C4787F4" w14:textId="77777777" w:rsidR="00045E28" w:rsidRDefault="00045E28" w:rsidP="00045E28">
      <w:pPr>
        <w:tabs>
          <w:tab w:val="left" w:pos="284"/>
        </w:tabs>
        <w:ind w:left="284"/>
        <w:jc w:val="both"/>
        <w:rPr>
          <w:rFonts w:ascii="Arial" w:hAnsi="Arial" w:cs="Arial"/>
          <w:sz w:val="18"/>
          <w:szCs w:val="18"/>
        </w:rPr>
      </w:pPr>
    </w:p>
    <w:p w14:paraId="4F377242" w14:textId="77777777" w:rsidR="00045E28" w:rsidRDefault="00045E28" w:rsidP="00045E28">
      <w:pPr>
        <w:tabs>
          <w:tab w:val="left" w:pos="284"/>
        </w:tabs>
        <w:ind w:left="284"/>
        <w:jc w:val="both"/>
        <w:rPr>
          <w:rFonts w:ascii="Arial" w:hAnsi="Arial" w:cs="Arial"/>
          <w:sz w:val="18"/>
          <w:szCs w:val="18"/>
        </w:rPr>
      </w:pPr>
    </w:p>
    <w:p w14:paraId="1D2726EB" w14:textId="77777777" w:rsidR="00045E28" w:rsidRDefault="00045E28" w:rsidP="00045E28">
      <w:pPr>
        <w:tabs>
          <w:tab w:val="left" w:pos="284"/>
        </w:tabs>
        <w:ind w:left="284"/>
        <w:jc w:val="both"/>
        <w:rPr>
          <w:rFonts w:ascii="Arial" w:hAnsi="Arial" w:cs="Arial"/>
          <w:sz w:val="18"/>
          <w:szCs w:val="18"/>
        </w:rPr>
      </w:pPr>
    </w:p>
    <w:p w14:paraId="020CD027" w14:textId="77777777" w:rsidR="00045E28" w:rsidRDefault="00045E28" w:rsidP="00045E28">
      <w:pPr>
        <w:tabs>
          <w:tab w:val="left" w:pos="284"/>
        </w:tabs>
        <w:ind w:left="284"/>
        <w:jc w:val="both"/>
        <w:rPr>
          <w:rFonts w:ascii="Arial" w:hAnsi="Arial" w:cs="Arial"/>
          <w:sz w:val="18"/>
          <w:szCs w:val="18"/>
        </w:rPr>
      </w:pPr>
    </w:p>
    <w:p w14:paraId="409A2649" w14:textId="77777777" w:rsidR="00045E28" w:rsidRPr="00767B7C" w:rsidRDefault="00045E28" w:rsidP="00045E28">
      <w:pPr>
        <w:tabs>
          <w:tab w:val="left" w:pos="284"/>
        </w:tabs>
        <w:ind w:left="284"/>
        <w:jc w:val="both"/>
        <w:rPr>
          <w:rFonts w:ascii="Arial" w:hAnsi="Arial" w:cs="Arial"/>
          <w:sz w:val="18"/>
          <w:szCs w:val="18"/>
        </w:rPr>
      </w:pPr>
    </w:p>
    <w:p w14:paraId="74BB8840"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0F45A36B" wp14:editId="7D9AFA03">
            <wp:extent cx="5943600" cy="4543425"/>
            <wp:effectExtent l="0" t="0" r="0" b="9525"/>
            <wp:docPr id="10300850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3593" t="23218" r="25172" b="7253"/>
                    <a:stretch>
                      <a:fillRect/>
                    </a:stretch>
                  </pic:blipFill>
                  <pic:spPr bwMode="auto">
                    <a:xfrm>
                      <a:off x="0" y="0"/>
                      <a:ext cx="5943600" cy="4543425"/>
                    </a:xfrm>
                    <a:prstGeom prst="rect">
                      <a:avLst/>
                    </a:prstGeom>
                    <a:noFill/>
                    <a:ln>
                      <a:noFill/>
                    </a:ln>
                  </pic:spPr>
                </pic:pic>
              </a:graphicData>
            </a:graphic>
          </wp:inline>
        </w:drawing>
      </w:r>
    </w:p>
    <w:p w14:paraId="5966E5E7"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De acuerdo al Directorio Estadístico Nacional de Unidades Económicas, Tlaxcala cuenta con 98,711 Unidades Económicas al mes de septiembre de 2025, lo que representa una participación del 1.6% del Estado en el total nacional. Al segundo trimestre de 2025 la Población Económicamente Activa (PEA) ascendió a 703,274 personas, representando el 61% de la población en edad de trabajar. Del total de la PEA, el 98% está ocupada y el 2% se encuentra desocupada.</w:t>
      </w:r>
    </w:p>
    <w:p w14:paraId="5B8EA310" w14:textId="77777777" w:rsidR="00045E28" w:rsidRPr="00767B7C" w:rsidRDefault="00045E28" w:rsidP="00045E28">
      <w:pPr>
        <w:tabs>
          <w:tab w:val="left" w:pos="284"/>
        </w:tabs>
        <w:ind w:left="284"/>
        <w:jc w:val="both"/>
        <w:rPr>
          <w:rFonts w:ascii="Arial" w:hAnsi="Arial" w:cs="Arial"/>
          <w:sz w:val="18"/>
          <w:szCs w:val="18"/>
        </w:rPr>
      </w:pPr>
    </w:p>
    <w:p w14:paraId="0A1275F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3D76437F" wp14:editId="7D082318">
            <wp:extent cx="5943600" cy="4132580"/>
            <wp:effectExtent l="0" t="0" r="0" b="1270"/>
            <wp:docPr id="13391682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2755" t="24416" r="23895" b="5766"/>
                    <a:stretch>
                      <a:fillRect/>
                    </a:stretch>
                  </pic:blipFill>
                  <pic:spPr bwMode="auto">
                    <a:xfrm>
                      <a:off x="0" y="0"/>
                      <a:ext cx="5943600" cy="4132580"/>
                    </a:xfrm>
                    <a:prstGeom prst="rect">
                      <a:avLst/>
                    </a:prstGeom>
                    <a:noFill/>
                    <a:ln>
                      <a:noFill/>
                    </a:ln>
                  </pic:spPr>
                </pic:pic>
              </a:graphicData>
            </a:graphic>
          </wp:inline>
        </w:drawing>
      </w:r>
    </w:p>
    <w:p w14:paraId="0144D78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490C47FB"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14:paraId="7732330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lo que se refiere a Inversión Extranjera Directa (IED), Tlaxcala también ha tenido un desempeño notable. En 2024, el Estado captó 94.2 millones de dólares, lo que refleja la confianza de los inversionistas en el potencial económico de la Entidad. Esta inversión proviene de una variedad de países, entre los que destacan Alemania, España y Estados Unidos, así como Argentina, Australia, Bélgica, Brasil, India, Japón, Países Bajos, Reino Unido y Suecia. La participación de diversos inversionistas contribuye a la generación de empleos, al aumento del desarrollo local y a la captación de divisas que refuerzan la actividad económica de Tlaxcala.</w:t>
      </w:r>
    </w:p>
    <w:p w14:paraId="5BDCD72E"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Al primer trimestre de 2025, la Inversión Extranjera Directa Acumulada del año 2006 al mes de marzo de 2025 en el Estado de Tlaxcala fue de 3,342 millones de dólares, lo que representó un aporte del 0.54% al total nacional, tal y como se observa en el cuadro comparativo siguiente:</w:t>
      </w:r>
    </w:p>
    <w:p w14:paraId="4237E3BE" w14:textId="77777777" w:rsidR="00045E28" w:rsidRDefault="00045E28" w:rsidP="00045E28">
      <w:pPr>
        <w:tabs>
          <w:tab w:val="left" w:pos="284"/>
        </w:tabs>
        <w:ind w:left="284"/>
        <w:jc w:val="both"/>
        <w:rPr>
          <w:rFonts w:ascii="Arial" w:hAnsi="Arial" w:cs="Arial"/>
          <w:sz w:val="18"/>
          <w:szCs w:val="18"/>
        </w:rPr>
      </w:pPr>
    </w:p>
    <w:p w14:paraId="7528B64E" w14:textId="77777777" w:rsidR="00045E28" w:rsidRDefault="00045E28" w:rsidP="00045E28">
      <w:pPr>
        <w:tabs>
          <w:tab w:val="left" w:pos="284"/>
        </w:tabs>
        <w:ind w:left="284"/>
        <w:jc w:val="both"/>
        <w:rPr>
          <w:rFonts w:ascii="Arial" w:hAnsi="Arial" w:cs="Arial"/>
          <w:sz w:val="18"/>
          <w:szCs w:val="18"/>
        </w:rPr>
      </w:pPr>
    </w:p>
    <w:p w14:paraId="35E6B6B6" w14:textId="77777777" w:rsidR="00045E28" w:rsidRDefault="00045E28" w:rsidP="00045E28">
      <w:pPr>
        <w:tabs>
          <w:tab w:val="left" w:pos="284"/>
        </w:tabs>
        <w:ind w:left="284"/>
        <w:jc w:val="both"/>
        <w:rPr>
          <w:rFonts w:ascii="Arial" w:hAnsi="Arial" w:cs="Arial"/>
          <w:sz w:val="18"/>
          <w:szCs w:val="18"/>
        </w:rPr>
      </w:pPr>
    </w:p>
    <w:p w14:paraId="6EFC3F01" w14:textId="77777777" w:rsidR="00045E28" w:rsidRPr="00767B7C" w:rsidRDefault="00045E28" w:rsidP="00045E28">
      <w:pPr>
        <w:tabs>
          <w:tab w:val="left" w:pos="284"/>
        </w:tabs>
        <w:ind w:left="284"/>
        <w:jc w:val="both"/>
        <w:rPr>
          <w:rFonts w:ascii="Arial" w:hAnsi="Arial" w:cs="Arial"/>
          <w:sz w:val="18"/>
          <w:szCs w:val="18"/>
        </w:rPr>
      </w:pPr>
    </w:p>
    <w:p w14:paraId="5E09EFDD"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noProof/>
          <w:sz w:val="18"/>
          <w:szCs w:val="18"/>
        </w:rPr>
        <w:drawing>
          <wp:inline distT="0" distB="0" distL="0" distR="0" wp14:anchorId="3C374642" wp14:editId="2F8F133E">
            <wp:extent cx="5943600" cy="4331335"/>
            <wp:effectExtent l="0" t="0" r="0" b="0"/>
            <wp:docPr id="15264204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31335"/>
                    </a:xfrm>
                    <a:prstGeom prst="rect">
                      <a:avLst/>
                    </a:prstGeom>
                    <a:noFill/>
                    <a:ln>
                      <a:noFill/>
                    </a:ln>
                  </pic:spPr>
                </pic:pic>
              </a:graphicData>
            </a:graphic>
          </wp:inline>
        </w:drawing>
      </w:r>
    </w:p>
    <w:p w14:paraId="3E43DDB5"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 xml:space="preserve">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(IIPE); actual Barómetro de Información Presupuestal Estatal (BIPE), que evalúa la calidad del reporte de la información presupuestal de las 32 Entidades Federativas. </w:t>
      </w:r>
    </w:p>
    <w:p w14:paraId="4C9D3C39"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2025.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471C3DE2" w14:textId="77777777" w:rsidR="00045E28" w:rsidRPr="00767B7C"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51F6FBE" w14:textId="217EE583" w:rsidR="008C10B0" w:rsidRPr="001240AA" w:rsidRDefault="00045E28" w:rsidP="00045E28">
      <w:pPr>
        <w:tabs>
          <w:tab w:val="left" w:pos="284"/>
        </w:tabs>
        <w:ind w:left="284"/>
        <w:jc w:val="both"/>
        <w:rPr>
          <w:rFonts w:ascii="Arial" w:hAnsi="Arial" w:cs="Arial"/>
          <w:sz w:val="18"/>
          <w:szCs w:val="18"/>
        </w:rPr>
      </w:pPr>
      <w:r w:rsidRPr="00767B7C">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420E8FE9"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Organización y Objeto Social</w:t>
      </w:r>
    </w:p>
    <w:p w14:paraId="43B3A6D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5E14BE6D"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5CDA5581" w14:textId="77777777" w:rsidR="008C10B0" w:rsidRDefault="008C10B0" w:rsidP="008C10B0">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3F0F240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42E53B04"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del CONAC.</w:t>
      </w:r>
    </w:p>
    <w:p w14:paraId="6F15DD9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34E21111"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9F1B2D9" w14:textId="77777777" w:rsidR="00045E28" w:rsidRDefault="00045E28" w:rsidP="008C10B0">
      <w:pPr>
        <w:tabs>
          <w:tab w:val="left" w:pos="284"/>
        </w:tabs>
        <w:ind w:left="284"/>
        <w:jc w:val="both"/>
        <w:rPr>
          <w:rFonts w:ascii="Arial" w:hAnsi="Arial" w:cs="Arial"/>
          <w:sz w:val="18"/>
          <w:szCs w:val="18"/>
        </w:rPr>
      </w:pPr>
    </w:p>
    <w:p w14:paraId="5FB589B9" w14:textId="77777777" w:rsidR="008C10B0" w:rsidRPr="00FB4A59" w:rsidRDefault="008C10B0" w:rsidP="008C10B0">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52716229"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2F9B974F" w14:textId="332BFA74" w:rsidR="008C10B0" w:rsidRDefault="008C10B0" w:rsidP="008C10B0">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r w:rsidR="002D48B0">
        <w:rPr>
          <w:rFonts w:ascii="Arial" w:hAnsi="Arial" w:cs="Arial"/>
          <w:sz w:val="18"/>
          <w:szCs w:val="18"/>
        </w:rPr>
        <w:t xml:space="preserve"> </w:t>
      </w: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r w:rsidR="002D48B0">
        <w:rPr>
          <w:rFonts w:ascii="Arial" w:hAnsi="Arial" w:cs="Arial"/>
          <w:sz w:val="18"/>
          <w:szCs w:val="18"/>
        </w:rPr>
        <w:t xml:space="preserve"> </w:t>
      </w: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r w:rsidR="002D48B0">
        <w:rPr>
          <w:rFonts w:ascii="Arial" w:hAnsi="Arial" w:cs="Arial"/>
          <w:sz w:val="18"/>
          <w:szCs w:val="18"/>
        </w:rPr>
        <w:t xml:space="preserve"> </w:t>
      </w: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7F08907B"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Posición en Moneda Extranjera y Protección por Riesgo Cambiario</w:t>
      </w:r>
    </w:p>
    <w:p w14:paraId="069BB646" w14:textId="429FF87C" w:rsidR="008C10B0" w:rsidRPr="00C733C0" w:rsidRDefault="008C10B0" w:rsidP="008C10B0">
      <w:pPr>
        <w:tabs>
          <w:tab w:val="left" w:pos="284"/>
        </w:tabs>
        <w:ind w:left="288"/>
        <w:jc w:val="both"/>
        <w:rPr>
          <w:rFonts w:ascii="Arial" w:hAnsi="Arial" w:cs="Arial"/>
          <w:sz w:val="18"/>
          <w:szCs w:val="18"/>
        </w:rPr>
      </w:pPr>
      <w:r w:rsidRPr="00C733C0">
        <w:rPr>
          <w:rFonts w:ascii="Arial" w:hAnsi="Arial" w:cs="Arial"/>
          <w:sz w:val="18"/>
          <w:szCs w:val="18"/>
        </w:rPr>
        <w:t xml:space="preserve">Se informa que al </w:t>
      </w:r>
      <w:r w:rsidR="008736CF">
        <w:rPr>
          <w:rFonts w:ascii="Arial" w:hAnsi="Arial" w:cs="Arial"/>
          <w:sz w:val="18"/>
          <w:szCs w:val="18"/>
        </w:rPr>
        <w:t xml:space="preserve">31 de </w:t>
      </w:r>
      <w:r w:rsidR="00045E28">
        <w:rPr>
          <w:rFonts w:ascii="Arial" w:hAnsi="Arial" w:cs="Arial"/>
          <w:sz w:val="18"/>
          <w:szCs w:val="18"/>
        </w:rPr>
        <w:t>diciembre</w:t>
      </w:r>
      <w:r w:rsidR="008736CF">
        <w:rPr>
          <w:rFonts w:ascii="Arial" w:hAnsi="Arial" w:cs="Arial"/>
          <w:sz w:val="18"/>
          <w:szCs w:val="18"/>
        </w:rPr>
        <w:t xml:space="preserve"> d</w:t>
      </w:r>
      <w:r w:rsidRPr="00C733C0">
        <w:rPr>
          <w:rFonts w:ascii="Arial" w:hAnsi="Arial" w:cs="Arial"/>
          <w:sz w:val="18"/>
          <w:szCs w:val="18"/>
        </w:rPr>
        <w:t>el ejercicio 202</w:t>
      </w:r>
      <w:r w:rsidR="008736CF">
        <w:rPr>
          <w:rFonts w:ascii="Arial" w:hAnsi="Arial" w:cs="Arial"/>
          <w:sz w:val="18"/>
          <w:szCs w:val="18"/>
        </w:rPr>
        <w:t>5</w:t>
      </w:r>
      <w:r w:rsidRPr="00C733C0">
        <w:rPr>
          <w:rFonts w:ascii="Arial" w:hAnsi="Arial" w:cs="Arial"/>
          <w:sz w:val="18"/>
          <w:szCs w:val="18"/>
        </w:rPr>
        <w:t xml:space="preserve">, el Poder Ejecutivo </w:t>
      </w:r>
      <w:r>
        <w:rPr>
          <w:rFonts w:ascii="Arial" w:hAnsi="Arial" w:cs="Arial"/>
          <w:sz w:val="18"/>
          <w:szCs w:val="18"/>
        </w:rPr>
        <w:t>no</w:t>
      </w:r>
      <w:r w:rsidRPr="00C733C0">
        <w:rPr>
          <w:rFonts w:ascii="Arial" w:hAnsi="Arial" w:cs="Arial"/>
          <w:sz w:val="18"/>
          <w:szCs w:val="18"/>
        </w:rPr>
        <w:t xml:space="preserve"> tiene activos o pasivos en moneda extranjera</w:t>
      </w:r>
      <w:r>
        <w:rPr>
          <w:rFonts w:ascii="Arial" w:hAnsi="Arial" w:cs="Arial"/>
          <w:sz w:val="18"/>
          <w:szCs w:val="18"/>
        </w:rPr>
        <w:t>.</w:t>
      </w:r>
    </w:p>
    <w:p w14:paraId="1EAC4B03"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Reporte Analítico del Activo</w:t>
      </w:r>
    </w:p>
    <w:p w14:paraId="52C672AD" w14:textId="307F05DA" w:rsidR="008C10B0" w:rsidRPr="001A2210" w:rsidRDefault="008C10B0" w:rsidP="008C10B0">
      <w:pPr>
        <w:tabs>
          <w:tab w:val="left" w:pos="284"/>
        </w:tabs>
        <w:ind w:left="284"/>
        <w:jc w:val="both"/>
        <w:rPr>
          <w:rFonts w:ascii="Arial" w:hAnsi="Arial" w:cs="Arial"/>
          <w:sz w:val="18"/>
          <w:szCs w:val="18"/>
        </w:rPr>
      </w:pPr>
      <w:r w:rsidRPr="001A2210">
        <w:rPr>
          <w:rFonts w:ascii="Arial" w:hAnsi="Arial" w:cs="Arial"/>
          <w:sz w:val="18"/>
          <w:szCs w:val="18"/>
        </w:rPr>
        <w:t xml:space="preserve">Al </w:t>
      </w:r>
      <w:r w:rsidR="008736CF">
        <w:rPr>
          <w:rFonts w:ascii="Arial" w:hAnsi="Arial" w:cs="Arial"/>
          <w:sz w:val="18"/>
          <w:szCs w:val="18"/>
        </w:rPr>
        <w:t xml:space="preserve">31 de </w:t>
      </w:r>
      <w:r w:rsidR="00045E28">
        <w:rPr>
          <w:rFonts w:ascii="Arial" w:hAnsi="Arial" w:cs="Arial"/>
          <w:sz w:val="18"/>
          <w:szCs w:val="18"/>
        </w:rPr>
        <w:t>diciembre</w:t>
      </w:r>
      <w:r w:rsidR="008736CF">
        <w:rPr>
          <w:rFonts w:ascii="Arial" w:hAnsi="Arial" w:cs="Arial"/>
          <w:sz w:val="18"/>
          <w:szCs w:val="18"/>
        </w:rPr>
        <w:t xml:space="preserve"> d</w:t>
      </w:r>
      <w:r w:rsidR="008736CF" w:rsidRPr="00C733C0">
        <w:rPr>
          <w:rFonts w:ascii="Arial" w:hAnsi="Arial" w:cs="Arial"/>
          <w:sz w:val="18"/>
          <w:szCs w:val="18"/>
        </w:rPr>
        <w:t>el ejercicio 202</w:t>
      </w:r>
      <w:r w:rsidR="008736CF">
        <w:rPr>
          <w:rFonts w:ascii="Arial" w:hAnsi="Arial" w:cs="Arial"/>
          <w:sz w:val="18"/>
          <w:szCs w:val="18"/>
        </w:rPr>
        <w:t>5</w:t>
      </w:r>
      <w:r w:rsidRPr="001A2210">
        <w:rPr>
          <w:rFonts w:ascii="Arial" w:hAnsi="Arial" w:cs="Arial"/>
          <w:sz w:val="18"/>
          <w:szCs w:val="18"/>
        </w:rPr>
        <w:t>, el saldo reflejado en la cuenta de bienes muebles es de $</w:t>
      </w:r>
      <w:r w:rsidR="008736CF" w:rsidRPr="008736CF">
        <w:rPr>
          <w:rFonts w:ascii="Arial" w:hAnsi="Arial" w:cs="Arial"/>
          <w:sz w:val="18"/>
          <w:szCs w:val="18"/>
        </w:rPr>
        <w:t>3</w:t>
      </w:r>
      <w:r w:rsidR="008736CF">
        <w:rPr>
          <w:rFonts w:ascii="Arial" w:hAnsi="Arial" w:cs="Arial"/>
          <w:sz w:val="18"/>
          <w:szCs w:val="18"/>
        </w:rPr>
        <w:t>,</w:t>
      </w:r>
      <w:r w:rsidR="00045E28">
        <w:rPr>
          <w:rFonts w:ascii="Arial" w:hAnsi="Arial" w:cs="Arial"/>
          <w:sz w:val="18"/>
          <w:szCs w:val="18"/>
        </w:rPr>
        <w:t>625</w:t>
      </w:r>
      <w:r w:rsidR="008736CF">
        <w:rPr>
          <w:rFonts w:ascii="Arial" w:hAnsi="Arial" w:cs="Arial"/>
          <w:sz w:val="18"/>
          <w:szCs w:val="18"/>
        </w:rPr>
        <w:t>,</w:t>
      </w:r>
      <w:r w:rsidR="00045E28">
        <w:rPr>
          <w:rFonts w:ascii="Arial" w:hAnsi="Arial" w:cs="Arial"/>
          <w:sz w:val="18"/>
          <w:szCs w:val="18"/>
        </w:rPr>
        <w:t>618</w:t>
      </w:r>
      <w:r w:rsidR="003A3004">
        <w:rPr>
          <w:rFonts w:ascii="Arial" w:hAnsi="Arial" w:cs="Arial"/>
          <w:sz w:val="18"/>
          <w:szCs w:val="18"/>
        </w:rPr>
        <w:t>,</w:t>
      </w:r>
      <w:r w:rsidR="00045E28">
        <w:rPr>
          <w:rFonts w:ascii="Arial" w:hAnsi="Arial" w:cs="Arial"/>
          <w:sz w:val="18"/>
          <w:szCs w:val="18"/>
        </w:rPr>
        <w:t>758</w:t>
      </w:r>
      <w:r w:rsidRPr="001A2210">
        <w:rPr>
          <w:rFonts w:ascii="Arial" w:hAnsi="Arial" w:cs="Arial"/>
          <w:sz w:val="18"/>
          <w:szCs w:val="18"/>
        </w:rPr>
        <w:t>, integrado por mobiliario y equipo de administración; instrumental médico y de laboratorio; equipo de transporte; equipo de defensa y seguridad; maquinaria y equipo agropecuario necesarios</w:t>
      </w:r>
      <w:r>
        <w:rPr>
          <w:rFonts w:ascii="Arial" w:hAnsi="Arial" w:cs="Arial"/>
          <w:sz w:val="18"/>
          <w:szCs w:val="18"/>
        </w:rPr>
        <w:t xml:space="preserve"> y </w:t>
      </w:r>
      <w:r w:rsidRPr="00F619D6">
        <w:rPr>
          <w:rFonts w:ascii="Arial" w:hAnsi="Arial" w:cs="Arial"/>
          <w:sz w:val="18"/>
          <w:szCs w:val="18"/>
        </w:rPr>
        <w:t>la cuenta de bienes inmuebles es de $</w:t>
      </w:r>
      <w:r w:rsidR="003A3004" w:rsidRPr="003A3004">
        <w:rPr>
          <w:rFonts w:ascii="Arial" w:hAnsi="Arial" w:cs="Arial"/>
          <w:sz w:val="18"/>
          <w:szCs w:val="18"/>
        </w:rPr>
        <w:t>11</w:t>
      </w:r>
      <w:r w:rsidR="003A3004">
        <w:rPr>
          <w:rFonts w:ascii="Arial" w:hAnsi="Arial" w:cs="Arial"/>
          <w:sz w:val="18"/>
          <w:szCs w:val="18"/>
        </w:rPr>
        <w:t>,</w:t>
      </w:r>
      <w:r w:rsidR="00045E28">
        <w:rPr>
          <w:rFonts w:ascii="Arial" w:hAnsi="Arial" w:cs="Arial"/>
          <w:sz w:val="18"/>
          <w:szCs w:val="18"/>
        </w:rPr>
        <w:t>251</w:t>
      </w:r>
      <w:r w:rsidR="003A3004">
        <w:rPr>
          <w:rFonts w:ascii="Arial" w:hAnsi="Arial" w:cs="Arial"/>
          <w:sz w:val="18"/>
          <w:szCs w:val="18"/>
        </w:rPr>
        <w:t>,</w:t>
      </w:r>
      <w:r w:rsidR="00045E28">
        <w:rPr>
          <w:rFonts w:ascii="Arial" w:hAnsi="Arial" w:cs="Arial"/>
          <w:sz w:val="18"/>
          <w:szCs w:val="18"/>
        </w:rPr>
        <w:t>755</w:t>
      </w:r>
      <w:r w:rsidR="003A3004">
        <w:rPr>
          <w:rFonts w:ascii="Arial" w:hAnsi="Arial" w:cs="Arial"/>
          <w:sz w:val="18"/>
          <w:szCs w:val="18"/>
        </w:rPr>
        <w:t>,</w:t>
      </w:r>
      <w:r w:rsidR="00045E28">
        <w:rPr>
          <w:rFonts w:ascii="Arial" w:hAnsi="Arial" w:cs="Arial"/>
          <w:sz w:val="18"/>
          <w:szCs w:val="18"/>
        </w:rPr>
        <w:t>355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w:t>
      </w:r>
      <w:r>
        <w:rPr>
          <w:rFonts w:ascii="Arial" w:hAnsi="Arial" w:cs="Arial"/>
          <w:sz w:val="18"/>
          <w:szCs w:val="18"/>
        </w:rPr>
        <w:t>l</w:t>
      </w:r>
      <w:r w:rsidRPr="0073056A">
        <w:rPr>
          <w:rFonts w:ascii="Arial" w:hAnsi="Arial" w:cs="Arial"/>
          <w:sz w:val="18"/>
          <w:szCs w:val="18"/>
        </w:rPr>
        <w:t xml:space="preserve"> </w:t>
      </w:r>
      <w:r>
        <w:rPr>
          <w:rFonts w:ascii="Arial" w:hAnsi="Arial" w:cs="Arial"/>
          <w:sz w:val="18"/>
          <w:szCs w:val="18"/>
        </w:rPr>
        <w:t>ente</w:t>
      </w:r>
      <w:r w:rsidRPr="0073056A">
        <w:rPr>
          <w:rFonts w:ascii="Arial" w:hAnsi="Arial" w:cs="Arial"/>
          <w:sz w:val="18"/>
          <w:szCs w:val="18"/>
        </w:rPr>
        <w:t xml:space="preserve"> público</w:t>
      </w:r>
      <w:r w:rsidRPr="001A2210">
        <w:rPr>
          <w:rFonts w:ascii="Arial" w:hAnsi="Arial" w:cs="Arial"/>
          <w:sz w:val="18"/>
          <w:szCs w:val="18"/>
        </w:rPr>
        <w:t xml:space="preserve"> para el desarrollo de las funci</w:t>
      </w:r>
      <w:r>
        <w:rPr>
          <w:rFonts w:ascii="Arial" w:hAnsi="Arial" w:cs="Arial"/>
          <w:sz w:val="18"/>
          <w:szCs w:val="18"/>
        </w:rPr>
        <w:t>ones de derecho público.</w:t>
      </w:r>
    </w:p>
    <w:p w14:paraId="222A46B8" w14:textId="77777777" w:rsidR="008C10B0" w:rsidRPr="003A3004"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3A3004">
        <w:rPr>
          <w:rFonts w:ascii="Arial" w:eastAsia="Times New Roman" w:hAnsi="Arial" w:cs="Arial"/>
          <w:b/>
          <w:sz w:val="18"/>
          <w:szCs w:val="18"/>
          <w:lang w:eastAsia="es-ES"/>
        </w:rPr>
        <w:t>Fideicomisos, Mandatos y Análogos</w:t>
      </w:r>
    </w:p>
    <w:p w14:paraId="4AE7BB96" w14:textId="33FB6DE2" w:rsidR="008C10B0" w:rsidRPr="001A2210" w:rsidRDefault="008C10B0" w:rsidP="008C10B0">
      <w:pPr>
        <w:tabs>
          <w:tab w:val="left" w:pos="284"/>
        </w:tabs>
        <w:ind w:left="284"/>
        <w:jc w:val="both"/>
        <w:rPr>
          <w:rFonts w:ascii="Arial" w:eastAsia="Times New Roman" w:hAnsi="Arial" w:cs="Arial"/>
          <w:b/>
          <w:sz w:val="18"/>
          <w:szCs w:val="18"/>
          <w:lang w:eastAsia="es-ES"/>
        </w:rPr>
      </w:pPr>
      <w:r>
        <w:rPr>
          <w:rFonts w:ascii="Arial" w:hAnsi="Arial" w:cs="Arial"/>
          <w:sz w:val="18"/>
          <w:szCs w:val="18"/>
        </w:rPr>
        <w:t xml:space="preserve">Al </w:t>
      </w:r>
      <w:r w:rsidR="003A3004">
        <w:rPr>
          <w:rFonts w:ascii="Arial" w:hAnsi="Arial" w:cs="Arial"/>
          <w:sz w:val="18"/>
          <w:szCs w:val="18"/>
        </w:rPr>
        <w:t xml:space="preserve">31 de </w:t>
      </w:r>
      <w:r w:rsidR="00045E28">
        <w:rPr>
          <w:rFonts w:ascii="Arial" w:hAnsi="Arial" w:cs="Arial"/>
          <w:sz w:val="18"/>
          <w:szCs w:val="18"/>
        </w:rPr>
        <w:t>diciembre</w:t>
      </w:r>
      <w:r w:rsidR="003A3004">
        <w:rPr>
          <w:rFonts w:ascii="Arial" w:hAnsi="Arial" w:cs="Arial"/>
          <w:sz w:val="18"/>
          <w:szCs w:val="18"/>
        </w:rPr>
        <w:t xml:space="preserve"> d</w:t>
      </w:r>
      <w:r w:rsidR="003A3004" w:rsidRPr="00C733C0">
        <w:rPr>
          <w:rFonts w:ascii="Arial" w:hAnsi="Arial" w:cs="Arial"/>
          <w:sz w:val="18"/>
          <w:szCs w:val="18"/>
        </w:rPr>
        <w:t>el ejercicio 202</w:t>
      </w:r>
      <w:r w:rsidR="003A3004">
        <w:rPr>
          <w:rFonts w:ascii="Arial" w:hAnsi="Arial" w:cs="Arial"/>
          <w:sz w:val="18"/>
          <w:szCs w:val="18"/>
        </w:rPr>
        <w:t>5</w:t>
      </w:r>
      <w:r>
        <w:rPr>
          <w:rFonts w:ascii="Arial" w:hAnsi="Arial" w:cs="Arial"/>
          <w:sz w:val="18"/>
          <w:szCs w:val="18"/>
        </w:rPr>
        <w:t xml:space="preserve"> el Poder Ejecutivo cuenta con Inversiones en Fideicomisos sin estructura orgánica por un importe de $</w:t>
      </w:r>
      <w:r w:rsidR="003A3004">
        <w:rPr>
          <w:rFonts w:ascii="Arial" w:hAnsi="Arial" w:cs="Arial"/>
          <w:sz w:val="18"/>
          <w:szCs w:val="18"/>
        </w:rPr>
        <w:t>4</w:t>
      </w:r>
      <w:r w:rsidR="00045E28">
        <w:rPr>
          <w:rFonts w:ascii="Arial" w:hAnsi="Arial" w:cs="Arial"/>
          <w:sz w:val="18"/>
          <w:szCs w:val="18"/>
        </w:rPr>
        <w:t>90</w:t>
      </w:r>
      <w:r>
        <w:rPr>
          <w:rFonts w:ascii="Arial" w:hAnsi="Arial" w:cs="Arial"/>
          <w:sz w:val="18"/>
          <w:szCs w:val="18"/>
        </w:rPr>
        <w:t>,</w:t>
      </w:r>
      <w:r w:rsidR="00045E28">
        <w:rPr>
          <w:rFonts w:ascii="Arial" w:hAnsi="Arial" w:cs="Arial"/>
          <w:sz w:val="18"/>
          <w:szCs w:val="18"/>
        </w:rPr>
        <w:t>947</w:t>
      </w:r>
      <w:r>
        <w:rPr>
          <w:rFonts w:ascii="Arial" w:hAnsi="Arial" w:cs="Arial"/>
          <w:sz w:val="18"/>
          <w:szCs w:val="18"/>
        </w:rPr>
        <w:t>,</w:t>
      </w:r>
      <w:r w:rsidR="00045E28">
        <w:rPr>
          <w:rFonts w:ascii="Arial" w:hAnsi="Arial" w:cs="Arial"/>
          <w:sz w:val="18"/>
          <w:szCs w:val="18"/>
        </w:rPr>
        <w:t>753</w:t>
      </w:r>
      <w:r>
        <w:rPr>
          <w:rFonts w:ascii="Arial" w:hAnsi="Arial" w:cs="Arial"/>
          <w:sz w:val="18"/>
          <w:szCs w:val="18"/>
        </w:rPr>
        <w:t>.</w:t>
      </w:r>
    </w:p>
    <w:p w14:paraId="371452EB" w14:textId="77777777" w:rsidR="008C10B0" w:rsidRPr="00EC084F" w:rsidRDefault="008C10B0" w:rsidP="008C10B0">
      <w:pPr>
        <w:pStyle w:val="Prrafodelista"/>
        <w:numPr>
          <w:ilvl w:val="0"/>
          <w:numId w:val="6"/>
        </w:numPr>
        <w:tabs>
          <w:tab w:val="left" w:pos="284"/>
        </w:tabs>
        <w:jc w:val="both"/>
        <w:rPr>
          <w:rFonts w:ascii="Arial" w:eastAsia="Times New Roman" w:hAnsi="Arial" w:cs="Arial"/>
          <w:b/>
          <w:sz w:val="18"/>
          <w:szCs w:val="18"/>
          <w:lang w:eastAsia="es-ES"/>
        </w:rPr>
      </w:pPr>
      <w:r w:rsidRPr="00EC084F">
        <w:rPr>
          <w:rFonts w:ascii="Arial" w:eastAsia="Times New Roman" w:hAnsi="Arial" w:cs="Arial"/>
          <w:b/>
          <w:sz w:val="18"/>
          <w:szCs w:val="18"/>
          <w:lang w:eastAsia="es-ES"/>
        </w:rPr>
        <w:t>Reporte de la Recaudación</w:t>
      </w:r>
    </w:p>
    <w:p w14:paraId="21BDCAA7" w14:textId="77777777" w:rsidR="008C10B0" w:rsidRPr="006149C2"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6149C2">
        <w:rPr>
          <w:rFonts w:ascii="Arial" w:eastAsia="Times New Roman" w:hAnsi="Arial" w:cs="Arial"/>
          <w:sz w:val="18"/>
          <w:szCs w:val="18"/>
          <w:lang w:eastAsia="es-ES"/>
        </w:rPr>
        <w:t>Análisis del comportamiento de la recaudación:</w:t>
      </w:r>
    </w:p>
    <w:p w14:paraId="091434E0" w14:textId="19711E1A" w:rsidR="008C10B0" w:rsidRDefault="008C10B0" w:rsidP="008C10B0">
      <w:pPr>
        <w:tabs>
          <w:tab w:val="left" w:pos="284"/>
        </w:tabs>
        <w:ind w:left="28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Al </w:t>
      </w:r>
      <w:r w:rsidR="00CF4F99">
        <w:rPr>
          <w:rFonts w:ascii="Arial" w:eastAsia="Times New Roman" w:hAnsi="Arial" w:cs="Arial"/>
          <w:sz w:val="18"/>
          <w:szCs w:val="18"/>
          <w:lang w:eastAsia="es-ES"/>
        </w:rPr>
        <w:t>cierre</w:t>
      </w:r>
      <w:r>
        <w:rPr>
          <w:rFonts w:ascii="Arial" w:eastAsia="Times New Roman" w:hAnsi="Arial" w:cs="Arial"/>
          <w:sz w:val="18"/>
          <w:szCs w:val="18"/>
          <w:lang w:eastAsia="es-ES"/>
        </w:rPr>
        <w:t xml:space="preserve"> del ejercicio fiscal 202</w:t>
      </w:r>
      <w:r w:rsidR="000243C9">
        <w:rPr>
          <w:rFonts w:ascii="Arial" w:eastAsia="Times New Roman" w:hAnsi="Arial" w:cs="Arial"/>
          <w:sz w:val="18"/>
          <w:szCs w:val="18"/>
          <w:lang w:eastAsia="es-ES"/>
        </w:rPr>
        <w:t>5</w:t>
      </w:r>
      <w:r>
        <w:rPr>
          <w:rFonts w:ascii="Arial" w:eastAsia="Times New Roman" w:hAnsi="Arial" w:cs="Arial"/>
          <w:sz w:val="18"/>
          <w:szCs w:val="18"/>
          <w:lang w:eastAsia="es-ES"/>
        </w:rPr>
        <w:t xml:space="preserve">, los ingresos por fuentes locales, que son recaudados por el Estado, presentan un comportamiento favorable, ya que la Ley de Ingresos para el Estado de Tlaxcala presentó cifras aprobadas por un monto de </w:t>
      </w:r>
      <w:r w:rsidR="00CF4F99">
        <w:rPr>
          <w:rFonts w:ascii="Arial" w:eastAsia="Times New Roman" w:hAnsi="Arial" w:cs="Arial"/>
          <w:sz w:val="18"/>
          <w:szCs w:val="18"/>
          <w:lang w:eastAsia="es-ES"/>
        </w:rPr>
        <w:t>1,958,188,805</w:t>
      </w:r>
      <w:r>
        <w:rPr>
          <w:rFonts w:ascii="Arial" w:eastAsia="Times New Roman" w:hAnsi="Arial" w:cs="Arial"/>
          <w:sz w:val="18"/>
          <w:szCs w:val="18"/>
          <w:lang w:eastAsia="es-ES"/>
        </w:rPr>
        <w:t xml:space="preserve"> y </w:t>
      </w:r>
      <w:r w:rsidR="00CF4F99">
        <w:rPr>
          <w:rFonts w:ascii="Arial" w:eastAsia="Times New Roman" w:hAnsi="Arial" w:cs="Arial"/>
          <w:sz w:val="18"/>
          <w:szCs w:val="18"/>
          <w:lang w:eastAsia="es-ES"/>
        </w:rPr>
        <w:t>en el mismo periodo</w:t>
      </w:r>
      <w:r>
        <w:rPr>
          <w:rFonts w:ascii="Arial" w:eastAsia="Times New Roman" w:hAnsi="Arial" w:cs="Arial"/>
          <w:sz w:val="18"/>
          <w:szCs w:val="18"/>
          <w:lang w:eastAsia="es-ES"/>
        </w:rPr>
        <w:t xml:space="preserve"> se recaudó un monto de </w:t>
      </w:r>
      <w:r w:rsidR="00CF4F99">
        <w:rPr>
          <w:rFonts w:ascii="Arial" w:eastAsia="Times New Roman" w:hAnsi="Arial" w:cs="Arial"/>
          <w:sz w:val="18"/>
          <w:szCs w:val="18"/>
          <w:lang w:eastAsia="es-ES"/>
        </w:rPr>
        <w:t>2,310,868,244</w:t>
      </w:r>
      <w:r>
        <w:rPr>
          <w:rFonts w:ascii="Arial" w:eastAsia="Times New Roman" w:hAnsi="Arial" w:cs="Arial"/>
          <w:sz w:val="18"/>
          <w:szCs w:val="18"/>
          <w:lang w:eastAsia="es-ES"/>
        </w:rPr>
        <w:t xml:space="preserve"> que representa un</w:t>
      </w:r>
      <w:r w:rsidR="00CF4F99">
        <w:rPr>
          <w:rFonts w:ascii="Arial" w:eastAsia="Times New Roman" w:hAnsi="Arial" w:cs="Arial"/>
          <w:sz w:val="18"/>
          <w:szCs w:val="18"/>
          <w:lang w:eastAsia="es-ES"/>
        </w:rPr>
        <w:t xml:space="preserve"> monto superior</w:t>
      </w:r>
      <w:r>
        <w:rPr>
          <w:rFonts w:ascii="Arial" w:eastAsia="Times New Roman" w:hAnsi="Arial" w:cs="Arial"/>
          <w:sz w:val="18"/>
          <w:szCs w:val="18"/>
          <w:lang w:eastAsia="es-ES"/>
        </w:rPr>
        <w:t xml:space="preserve"> de </w:t>
      </w:r>
      <w:r w:rsidR="00CF4F99">
        <w:rPr>
          <w:rFonts w:ascii="Arial" w:eastAsia="Times New Roman" w:hAnsi="Arial" w:cs="Arial"/>
          <w:sz w:val="18"/>
          <w:szCs w:val="18"/>
          <w:lang w:eastAsia="es-ES"/>
        </w:rPr>
        <w:t>352</w:t>
      </w:r>
      <w:r w:rsidR="000243C9">
        <w:rPr>
          <w:rFonts w:ascii="Arial" w:eastAsia="Times New Roman" w:hAnsi="Arial" w:cs="Arial"/>
          <w:sz w:val="18"/>
          <w:szCs w:val="18"/>
          <w:lang w:eastAsia="es-ES"/>
        </w:rPr>
        <w:t>,</w:t>
      </w:r>
      <w:r w:rsidR="00CF4F99">
        <w:rPr>
          <w:rFonts w:ascii="Arial" w:eastAsia="Times New Roman" w:hAnsi="Arial" w:cs="Arial"/>
          <w:sz w:val="18"/>
          <w:szCs w:val="18"/>
          <w:lang w:eastAsia="es-ES"/>
        </w:rPr>
        <w:t>679</w:t>
      </w:r>
      <w:r w:rsidR="000243C9">
        <w:rPr>
          <w:rFonts w:ascii="Arial" w:eastAsia="Times New Roman" w:hAnsi="Arial" w:cs="Arial"/>
          <w:sz w:val="18"/>
          <w:szCs w:val="18"/>
          <w:lang w:eastAsia="es-ES"/>
        </w:rPr>
        <w:t>,</w:t>
      </w:r>
      <w:r w:rsidR="00CF4F99">
        <w:rPr>
          <w:rFonts w:ascii="Arial" w:eastAsia="Times New Roman" w:hAnsi="Arial" w:cs="Arial"/>
          <w:sz w:val="18"/>
          <w:szCs w:val="18"/>
          <w:lang w:eastAsia="es-ES"/>
        </w:rPr>
        <w:t>439</w:t>
      </w:r>
      <w:r>
        <w:rPr>
          <w:rFonts w:ascii="Arial" w:eastAsia="Times New Roman" w:hAnsi="Arial" w:cs="Arial"/>
          <w:sz w:val="18"/>
          <w:szCs w:val="18"/>
          <w:lang w:eastAsia="es-ES"/>
        </w:rPr>
        <w:t xml:space="preserve"> con un crecimiento de </w:t>
      </w:r>
      <w:r w:rsidR="000243C9">
        <w:rPr>
          <w:rFonts w:ascii="Arial" w:eastAsia="Times New Roman" w:hAnsi="Arial" w:cs="Arial"/>
          <w:sz w:val="18"/>
          <w:szCs w:val="18"/>
          <w:lang w:eastAsia="es-ES"/>
        </w:rPr>
        <w:t>1</w:t>
      </w:r>
      <w:r w:rsidR="00CF4F99">
        <w:rPr>
          <w:rFonts w:ascii="Arial" w:eastAsia="Times New Roman" w:hAnsi="Arial" w:cs="Arial"/>
          <w:sz w:val="18"/>
          <w:szCs w:val="18"/>
          <w:lang w:eastAsia="es-ES"/>
        </w:rPr>
        <w:t>8</w:t>
      </w:r>
      <w:r>
        <w:rPr>
          <w:rFonts w:ascii="Arial" w:eastAsia="Times New Roman" w:hAnsi="Arial" w:cs="Arial"/>
          <w:sz w:val="18"/>
          <w:szCs w:val="18"/>
          <w:lang w:eastAsia="es-ES"/>
        </w:rPr>
        <w:t>.</w:t>
      </w:r>
      <w:r w:rsidR="00CF4F99">
        <w:rPr>
          <w:rFonts w:ascii="Arial" w:eastAsia="Times New Roman" w:hAnsi="Arial" w:cs="Arial"/>
          <w:sz w:val="18"/>
          <w:szCs w:val="18"/>
          <w:lang w:eastAsia="es-ES"/>
        </w:rPr>
        <w:t>01</w:t>
      </w:r>
      <w:r>
        <w:rPr>
          <w:rFonts w:ascii="Arial" w:eastAsia="Times New Roman" w:hAnsi="Arial" w:cs="Arial"/>
          <w:sz w:val="18"/>
          <w:szCs w:val="18"/>
          <w:lang w:eastAsia="es-ES"/>
        </w:rPr>
        <w:t>%.</w:t>
      </w:r>
    </w:p>
    <w:p w14:paraId="673D1E6F" w14:textId="77777777" w:rsidR="008C10B0" w:rsidRPr="00307D7E" w:rsidRDefault="008C10B0" w:rsidP="008C10B0">
      <w:pPr>
        <w:pStyle w:val="Prrafodelista"/>
        <w:numPr>
          <w:ilvl w:val="0"/>
          <w:numId w:val="16"/>
        </w:numPr>
        <w:tabs>
          <w:tab w:val="left" w:pos="284"/>
        </w:tabs>
        <w:jc w:val="both"/>
        <w:rPr>
          <w:rFonts w:ascii="Arial" w:eastAsia="Times New Roman" w:hAnsi="Arial" w:cs="Arial"/>
          <w:sz w:val="18"/>
          <w:szCs w:val="18"/>
          <w:lang w:eastAsia="es-ES"/>
        </w:rPr>
      </w:pPr>
      <w:r w:rsidRPr="00307D7E">
        <w:rPr>
          <w:rFonts w:ascii="Arial" w:eastAsia="Times New Roman" w:hAnsi="Arial" w:cs="Arial"/>
          <w:sz w:val="18"/>
          <w:szCs w:val="18"/>
          <w:lang w:eastAsia="es-ES"/>
        </w:rPr>
        <w:t>P</w:t>
      </w:r>
      <w:r>
        <w:rPr>
          <w:rFonts w:ascii="Arial" w:eastAsia="Times New Roman" w:hAnsi="Arial" w:cs="Arial"/>
          <w:sz w:val="18"/>
          <w:szCs w:val="18"/>
          <w:lang w:eastAsia="es-ES"/>
        </w:rPr>
        <w:t>r</w:t>
      </w:r>
      <w:r w:rsidRPr="00307D7E">
        <w:rPr>
          <w:rFonts w:ascii="Arial" w:eastAsia="Times New Roman" w:hAnsi="Arial" w:cs="Arial"/>
          <w:sz w:val="18"/>
          <w:szCs w:val="18"/>
          <w:lang w:eastAsia="es-ES"/>
        </w:rPr>
        <w:t>oye</w:t>
      </w:r>
      <w:r>
        <w:rPr>
          <w:rFonts w:ascii="Arial" w:eastAsia="Times New Roman" w:hAnsi="Arial" w:cs="Arial"/>
          <w:sz w:val="18"/>
          <w:szCs w:val="18"/>
          <w:lang w:eastAsia="es-ES"/>
        </w:rPr>
        <w:t>c</w:t>
      </w:r>
      <w:r w:rsidRPr="00307D7E">
        <w:rPr>
          <w:rFonts w:ascii="Arial" w:eastAsia="Times New Roman" w:hAnsi="Arial" w:cs="Arial"/>
          <w:sz w:val="18"/>
          <w:szCs w:val="18"/>
          <w:lang w:eastAsia="es-ES"/>
        </w:rPr>
        <w:t>ción de la recaudación e ingresos en el mediano plazo</w:t>
      </w:r>
    </w:p>
    <w:p w14:paraId="2EC576D8" w14:textId="6107B065" w:rsidR="008C10B0" w:rsidRPr="00307D7E" w:rsidRDefault="008C10B0" w:rsidP="008C10B0">
      <w:pPr>
        <w:tabs>
          <w:tab w:val="left" w:pos="284"/>
        </w:tabs>
        <w:ind w:left="284"/>
        <w:jc w:val="both"/>
        <w:rPr>
          <w:rFonts w:ascii="Arial" w:eastAsia="Times New Roman" w:hAnsi="Arial" w:cs="Arial"/>
          <w:sz w:val="18"/>
          <w:szCs w:val="18"/>
          <w:lang w:eastAsia="es-ES"/>
        </w:rPr>
      </w:pPr>
      <w:r>
        <w:rPr>
          <w:rFonts w:ascii="Arial" w:eastAsia="Times New Roman" w:hAnsi="Arial" w:cs="Arial"/>
          <w:sz w:val="18"/>
          <w:szCs w:val="18"/>
          <w:lang w:eastAsia="es-ES"/>
        </w:rPr>
        <w:t>Para el ejercicio fiscal 2025 se tiene una proyección de crecimiento de 4.59%, ya que de la cifra aprobada en el ejercicio fiscal 2024 de 1,872,305,534, se proyecta recau</w:t>
      </w:r>
      <w:r w:rsidR="0057726C">
        <w:rPr>
          <w:rFonts w:ascii="Arial" w:eastAsia="Times New Roman" w:hAnsi="Arial" w:cs="Arial"/>
          <w:sz w:val="18"/>
          <w:szCs w:val="18"/>
          <w:lang w:eastAsia="es-ES"/>
        </w:rPr>
        <w:t>dar 1,958,188,805, esto es 85,8</w:t>
      </w:r>
      <w:r>
        <w:rPr>
          <w:rFonts w:ascii="Arial" w:eastAsia="Times New Roman" w:hAnsi="Arial" w:cs="Arial"/>
          <w:sz w:val="18"/>
          <w:szCs w:val="18"/>
          <w:lang w:eastAsia="es-ES"/>
        </w:rPr>
        <w:t>83,271.</w:t>
      </w:r>
    </w:p>
    <w:p w14:paraId="686D133C" w14:textId="77777777" w:rsidR="008C10B0" w:rsidRDefault="008C10B0" w:rsidP="008C10B0">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3C9521F6" w14:textId="67492A71"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r w:rsidR="002D48B0">
        <w:rPr>
          <w:rFonts w:ascii="Arial" w:eastAsia="Times New Roman" w:hAnsi="Arial" w:cs="Arial"/>
          <w:sz w:val="18"/>
          <w:szCs w:val="18"/>
          <w:lang w:eastAsia="es-ES"/>
        </w:rPr>
        <w:t xml:space="preserve"> </w:t>
      </w:r>
      <w:r w:rsidRPr="00A11793">
        <w:rPr>
          <w:rFonts w:ascii="Arial" w:eastAsia="Times New Roman" w:hAnsi="Arial" w:cs="Arial"/>
          <w:sz w:val="18"/>
          <w:szCs w:val="18"/>
          <w:lang w:eastAsia="es-ES"/>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243E43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 Nuevas reglas de disciplina financiera que contemplan mecanismos de equilibrio presupuestario y de distribución de ingresos excedentes;</w:t>
      </w:r>
    </w:p>
    <w:p w14:paraId="6536FB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b) Un sistema de alertas, el cual mide los niveles de endeudamiento, del servicio de la deuda y las condiciones de liquidez de las entidades federativas, los municipios y sus entes públicos, y</w:t>
      </w:r>
    </w:p>
    <w:p w14:paraId="09504E5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6E548ED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1170BF0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0569A23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particular, el SHRFSP incluye las obligaciones financieras netas del Instituto para la Protección al Ahorro Bancario (IPAB) y el programa de apoyo a deudores, las obligaciones de los Pidiregas, las obligaciones derivadas del entonces Fideicomiso de Apoyo para el Rescate de Autopistas Concesionadas (FARAC), hoy Fondo Nacional de Infraestructura (Fonadin); y el patrimonio de las Instituciones de Fomento.</w:t>
      </w:r>
    </w:p>
    <w:p w14:paraId="1694424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Durante 2024, la política de deuda pública priorizó el financiamiento en el mercado local, con instrumentos a tasa fija y de largo plazo, con el objetivo principal de cubrir las necesidades de financiamiento con un nivel de costo y riesgo adecuados. Además, se buscó implementar una estrategia de manejo de pasivos, así como aprovechar eficientemente ventanas de oportunidad en los mercados financieros. De esta forma, se mejoró el perfil de vencimientos del portafolio de deuda y se mantuvo un nivel de costo y riesgos acotados; asimismo, la trayectoria de la deuda se mantuvo en una senda sostenible como porcentaje del PIB.</w:t>
      </w:r>
    </w:p>
    <w:p w14:paraId="5C88719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el cuarto trimestre de 2024, las operaciones en el mercado interno mejoraron el perfil de vencimientos e incrementaron el plazo promedio del portafolio, y mantuvieron un buen funcionamiento de las curvas de rendimiento nominal. Así, el 31 de octubre se realizó un intercambio de Bonos M y Udibonos por 47 mil millones pesos; el 21 de noviembre se ejecutó el intercambio de Cetes, Bondes F, Bonos M y Udibonos, con el que se recompraron 152 mil millones de pesos. Asimismo, el 4 de diciembre se colocó una nueva referencia de Bonos M a 3 años, por 13 mil millones de pesos. Finalmente, el 5 de diciembre se llevó a cabo el último ejercicio de refinanciamiento del año, mediante una recompra de Cetes, Bondes F, Bonos M y Udibonos, por 123 mil millones de pesos y una colocación de estos mismos instrumentos con vencimientos mayores, por 126 mil millones de pesos. </w:t>
      </w:r>
    </w:p>
    <w:p w14:paraId="635FD4C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cuanto al financiamiento externo, durante el cuarto trimestre de 2024 no se realizaron colocaciones en los mercados internacionales, en línea con la estrategia de utilizar este financiamiento como fuente complementaria de crédito. No obstante, a lo largo del año se realizaron tres colocaciones en los mercados de dólares, euros y yenes, por un monto equivalente a 7 mil 500, 2 mil 169 y 1 mil 50 millones de dólares, respectivamente, con las que se buscó actualizar las referencias de las curvas de rendimiento y contribuir a consolidar el desarrollo de instrumentos sostenibles del Gobierno Federal. Además, el 12 de julio se ejecutó un proceso de vencimiento anticipado de un bono con vencimiento en 2025, por 894 millones de dólares, lo que implicó una reducción de la deuda externa. Dichas operaciones mejoraron las características del portafolio de deuda, en términos de diversificación de monedas, reducción de las necesidades de liquidez de corto plazo, y composición de la deuda. </w:t>
      </w:r>
    </w:p>
    <w:p w14:paraId="6A95797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De esta forma, a diciembre de 2024, el 83.5% de la deuda es interna, el plazo promedio de los valores gubernamentales es de 7.8 años, y el 77.3% está contratada a tasa fija y a largo plazo; para los bonos externos, su plazo promedio es de 18.7 años, y el 100% está denominado a tasa fija. Cabe mencionar que, todas las colocaciones de deuda se enmarcaron en el Programa Anual de Financiamiento, son congruentes con la Ley Federal de Deuda Pública y están en línea con los techos de endeudamiento aprobados por el H. Congreso de la Unión para el ejercicio fiscal 2024. Finalmente, el pasado 20 de diciembre de 2024 la SHCP publicó el Plan Anual de Financiamiento (PAF) 2025, en el cual se detalla la política de deuda de las entidades del Sector Público.</w:t>
      </w:r>
    </w:p>
    <w:p w14:paraId="3BCD2D7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cuarto trimestre de 2024, la deuda neta del Gobierno Federal se ubicó en 15 billones 214 mil 609.7 millones de pesos. La estructura del portafolio de la deuda mantuvo la mayor parte de sus pasivos denominados en moneda nacional, representando el 83.5% del saldo de la deuda neta del Gobierno Federal, al 31 de diciembre de 2024.</w:t>
      </w:r>
    </w:p>
    <w:p w14:paraId="22F9CD3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saldo de la deuda interna neta del Gobierno Federal ascendió a 12 billones 703 mil 792.9 millones de pesos. La variación del saldo de la deuda interna respecto del cierre de 2023 fue el resultado de: </w:t>
      </w:r>
    </w:p>
    <w:p w14:paraId="7109BA42"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Un endeudamiento interno neto por 2 billones 48 mil 752.5 millones de pesos; </w:t>
      </w:r>
    </w:p>
    <w:p w14:paraId="0A4BF5D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Un incremento en las disponibilidades del Gobierno Federal por 185 mil 623.9 millones de pesos; y, </w:t>
      </w:r>
    </w:p>
    <w:p w14:paraId="07F2101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Ajustes contables positivos por 141 mil 117.6 millones de pesos, derivados del efecto inflacionario de la deuda interna indizada y del ajuste por las operaciones de permuta de deuda. </w:t>
      </w:r>
    </w:p>
    <w:p w14:paraId="29078F1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Este desempeño fue congruente con el techo de endeudamiento interno neto aprobado por el H. Congreso de la Unión para 2024.</w:t>
      </w:r>
    </w:p>
    <w:p w14:paraId="63946B0B"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cuanto a la composición de la deuda interna del Gobierno Federal, al cierre del cuarto trimestre de 2024, el 47.0% se encontró contratada en instrumentos a tasa nominal fija y de largo plazo. Adicionalmente, como resultado de la colocación de instrumentos a largo plazo, se observó una participación de 77.3% de los valores a tasa fija nominal y real a plazo mayor de un año en el saldo de valores gubernamentales al cierre del cuarto trimestre de 2024. Por su parte, el plazo promedio de vencimiento de valores gubernamentales emitidos en el mercado local a diciembre de 2024 fue de 7.8 años.</w:t>
      </w:r>
    </w:p>
    <w:p w14:paraId="4FDB665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Entre los cierres de 2023 y 2024, los Cetes incrementaron su participación en el saldo total de los valores gubernamentales al pasar de 11.5% a 14.5%, al igual que los Bondes F que pasaron de 14.9% a 15.5%, los Bondes G al pasar de 0.7% a 1.0% y los Udibonos que pasaron de 29.8% a 30.2%. Por su parte, la participación de los Bonos Tasa Fija Bono M disminuyó de 40.6% a 37.6%, igual que los Bondes D que pasaron de 2.3% a 1.0%. Mientras tanto, los Bonos Tasa Fija Bono MS, durante el periodo, permanecieron sin cambio en 0.2%. Con respecto al perfil de amortizaciones de la deuda interna del Gobierno Federal, de acuerdo con su saldo contractual registrado al 31 de diciembre de 2024, se espera que, durante 2025, las amortizaciones alcancen un monto de 2 billones 584 mil 288.9 millones de pesos. Del total de amortizaciones, sin incluir Cetes, 1 billón 202 mil 18.3 millones de pesos se encuentran asociadas a los vencimientos de valores gubernamentales, cuyo refinanciamiento se realizará a través del programa de subastas que lleva a cabo el Gobierno Federal.</w:t>
      </w:r>
    </w:p>
    <w:p w14:paraId="01415DF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saldo de la deuda externa neta del Gobierno Federal fue de 123 mil 879.0 millones de dólares. La evolución de la deuda externa neta del Gobierno Federal durante el periodo enero a diciembre de 2024 fue resultado de los siguientes factores: </w:t>
      </w:r>
    </w:p>
    <w:p w14:paraId="0228F65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Endeudamiento externo neto de 9 mil 47.7 millones de dólares, derivado de disposiciones por 13 mil 80.7 millones de dólares y amortizaciones por 4 mil 33.0 millones de dólares.</w:t>
      </w:r>
    </w:p>
    <w:p w14:paraId="184E06C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Incremento de los activos internacionales del Gobierno Federal asociados a la deuda externa por 1 mil 183.0 millones de dólares con respecto al cierre de 2023. Este cambio se debe a la variación en el saldo neto denominado en dólares de la Cuenta General de la Tesorería de la Federación. </w:t>
      </w:r>
    </w:p>
    <w:p w14:paraId="21C703F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sym w:font="Symbol" w:char="F0B7"/>
      </w:r>
      <w:r w:rsidRPr="00A11793">
        <w:rPr>
          <w:rFonts w:ascii="Arial" w:eastAsia="Times New Roman" w:hAnsi="Arial" w:cs="Arial"/>
          <w:sz w:val="18"/>
          <w:szCs w:val="18"/>
          <w:lang w:eastAsia="es-ES"/>
        </w:rPr>
        <w:t xml:space="preserve"> Ajustes contables negativos por 2 mil 830.3 millones de dólares, derivados principalmente de la variación del dólar con respecto a otras monedas en las que se encuentra contratada la deuda.</w:t>
      </w:r>
    </w:p>
    <w:p w14:paraId="2EAF925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Con respecto al perfil de amortizaciones de la deuda externa del Gobierno Federal, con base en su saldo contractual al 31 de diciembre de 2024, se espera que las amortizaciones durante 2025, asciendan a 4 mil 761.9 millones de dólares, los cuales se encuentran asociados, principalmente, a los vencimientos de créditos contratados con los Organismos Financieros Internacionales (OFIs).</w:t>
      </w:r>
    </w:p>
    <w:p w14:paraId="1FEC8EB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Durante el cuarto trimestre de 2024, no se ejecutaron operaciones de financiamiento en los mercados internacionales, en línea con utilizar el crédito externo como fuente complementaria, y sólo cuando las condiciones fueran favorables. En 2024 se realizaron tres colocaciones en los mercados de dólares, euros y yenes, por un monto equivalente a 10 mil 721.3 millones de dólares. Dichas colocaciones mantuvieron un sano funcionamiento de las curvas de referencia, y consolidaron las curvas sostenibles en euros y yenes; asimismo, cumplieron el objetivo de cubrir las necesidades de liquidez con estrategia diversificación de monedas en el portafolio de deuda. Cabe mencionar la recompra de un bono, realizada el 12 de junio de 2024, por 894 millones de dólares, la cual implicó una reducción de la deuda externa y de las necesidades de liquidez para el 2025.</w:t>
      </w:r>
    </w:p>
    <w:p w14:paraId="512C7D1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el cuarto trimestre de 2024, el Gobierno Federal realizó erogaciones por concepto de costo financiero neto total de su deuda por 324 mil 193.9 millones de pesos (Ramo 24). Con ello, el total de pagos durante el periodo de enero a diciembre de 2024 por dicho concepto ascendió a 980 mil 58.1 millones de pesos. Esta cifra comprende erogaciones por 882 mil 603.7 millones de pesos para el pago de intereses y gastos asociados a la deuda interna, la cual incluye un monto de 27 mil 29.9 millones de pesos para el pago anticipado de intereses derivados del intercambio de deuda a través de las operaciones de permuta de deuda, así como erogaciones por un monto de 6 mil 375.1 millones de dólares para cubrir el pago por concepto de intereses, comisiones y gastos asociados a la deuda externa</w:t>
      </w:r>
    </w:p>
    <w:p w14:paraId="585EBC9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Adicionalmente, en el cuarto trimestre de 2024, el Gobierno Federal no realizó erogaciones para los Programas de Apoyo a Ahorradores y Deudores de la Banca (Ramo 34), por lo que, el total pagado por este concepto en el periodo de enero a diciembre de 2024 fue de 62 mil 489.4 millones de pesos. Estos recursos se destinaron al Programa de Apoyo a Ahorradores a través del IPAB.</w:t>
      </w:r>
    </w:p>
    <w:p w14:paraId="7E559181"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En 2024, la estrategia de manejo del portafolio de deuda priorizó el financiamiento en el mercado interno, a tasas de interés fijas y de largo plazo. Asimismo, como parte de la gestión de riesgos, se buscó contar con un portafolio de deuda diversificado en términos de divisas, así como llevar a cabo la implementación del programa de coberturas. Estas acciones mantuvieron acotada la sensibilidad del costo financiero de la deuda ante incrementos en la tasa de interés y el tipo de cambio, y favorecieron un portafolio sostenible, sólido y resistente ante choques externos. Las tasas implícitas de costo financiero estimadas en el cuarto trimestre de 2024 son 7.18%, 7.48% y 5.56% para el costo total del Ramo 24, el costo interno, y el costo externo, respectivamente. Si solo se toma en cuenta la deuda externa, el costo externo implícito es de 4.86%.</w:t>
      </w:r>
    </w:p>
    <w:p w14:paraId="4EAAF7B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término del cuarto trimestre de 2024, el saldo de la deuda con garantía explícita del Gobierno Federal se ubicó en 217 mil 948.9 millones de pesos, monto inferior en 101 mil 349.0 millones de pesos al observado al cierre del año anterior. Dentro de los Programas de Apoyo a Deudores se encuentra el Programa de Reestructuración en Udis, mediante el cual se ofrecieron tasas reales fijas a los acreditados durante toda la vida de sus créditos, lo que requirió que el Gobierno Federal realizara un intercambio entre esta tasa y una tasa nominal de mercado. Al 31 de diciembre de 2024, el resultado preliminar de este intercambio ascendió a 31 mil 724.4 millones de pesos, mismos que no están incorporados en las obligaciones garantizadas reportadas por el Gobierno Federal, ya que su evolución futura es contingente al comportamiento de las tasas de interés.</w:t>
      </w:r>
    </w:p>
    <w:p w14:paraId="3DC5DE2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cierre del cuarto trimestre de 2024, el monto de la deuda neta del Sector Público Federal (Gobierno Federal, Empresas Públicas del Estado y la banca de desarrollo), se situó en 17 billones 551 mil 535.8 millones de pesos. Al finalizar el cuarto trimestre de 2024, el saldo de la deuda interna neta del Sector Público Federal se ubicó en 13 billones 126 mil 424.6 millones de pesos. La variación de este saldo al cuarto trimestre de 2024, respecto al cierre de 2023, fue el resultado de los siguientes factores: i) un endeudamiento interno neto por 2 billones 39 mil 772.4 millones de pesos; ii) una variación positiva en los activos internos del Sector Público Federal por 320 mil 99.8 millones de pesos y iii) ajustes contables positivos por 147 mil 817.2 millones de pesos, que reflejaron, principalmente, el efecto inflacionario sobre los pasivos indizados a esta variable y operaciones de permuta de deuda. Al término del cuarto trimestre de 2024, el saldo de la deuda externa neta del Sector Público Federal se ubicó en 218 mil 326.7 millones de dólares. La evolución de la deuda externa neta del Sector Público Federal fue resultado de los siguientes factores: i) un endeudamiento externo neto de 9 mil 524.2 millones de dólares; ii) los activos internacionales del Sector Público Federal asociados a la deuda externa presentaron una variación positiva de 690.0 millones de dólares, y iii) ajustes contables negativos por 3 mil 584.0 millones de dólares, que reflejaron, principalmente, la variación del dólar con respecto a otras monedas en las que se encuentra contratada la deuda.</w:t>
      </w:r>
    </w:p>
    <w:p w14:paraId="54E29DA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Con base en el saldo contractual de la deuda externa del Sector Público Federal registrado al 31 de diciembre de 2024, las amortizaciones durante el año 2025, sumarán un monto de 20 mil 169.0 millones de dólares. De esta cifra, 30.7% se encuentra asociado a las amortizaciones proyectadas de los vencimientos de deuda de mercado de capitales; 44.0% a créditos directos y pasivos Pidiregas; y 25.3%, se refiere a las amortizaciones de líneas vinculadas al comercio exterior y a vencimientos de deuda con OFIs.</w:t>
      </w:r>
    </w:p>
    <w:p w14:paraId="2992249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De enero a diciembre de 2024, el Sector Público Federal realizó erogaciones por concepto de costo financiero de su deuda pública interna por un monto de 955 mil 410.4 millones de pesos. Por otra parte, durante el mismo periodo se efectuaron erogaciones por un monto de 13 mil 242.2 millones de dólares para cubrir el pago por concepto de intereses, comisiones y gastos asociados a la deuda pública externa. 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25C88BA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Fonadin, los asociados a los Pidiregas y los correspondientes a los Programas de Apoyo a Deudores, así como el cambio en la situación patrimonial de las Instituciones de Fomento, y constituye la medida más amplia de deuda pública. Al cierre del cuarto trimestre de 2024, el SHRFSP se ubicó en 17 billones 425 mil 502.1 millones de pesos. El 27.5% de la variación respecto al cierre de 2023, obedeció a un aumento del tipo de cambio del peso respecto al dólar. El efecto por endeudamiento representó el 72.5% de la variación. Así, el componente interno del SHRFSP se ubicó en 13 billones 48 mil 658.1 millones de pesos y el componente externo fue de 215 mil 945.3 millones de dólares.</w:t>
      </w:r>
    </w:p>
    <w:p w14:paraId="08C3270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En diciembre de 2024, la SHCP publicó el PAF 2025, documento que da a conocer los principales elementos de la política de deuda de las entidades del Sector Público: el Gobierno Federal, las empresas públicas del Estado, la banca de desarrollo y otros emisores que acceden a los mercados de deuda. Para 2025, las finanzas públicas se manejarán con prudencia fiscal, bajo el compromiso de mantener el equilibrio entre deuda y PIB, enmarcado en los 100 Compromisos para el Segundo Piso de la Cuarta Transformación. Así, la política de financiamiento estará cimentada en cinco ejes principales: </w:t>
      </w:r>
    </w:p>
    <w:p w14:paraId="134FA93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Cubrir las necesidades financiamiento del Gobierno Federal con un nivel de riesgo y costo adecuados; </w:t>
      </w:r>
    </w:p>
    <w:p w14:paraId="721B6E6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Mantener la sostenibilidad de la deuda pública; </w:t>
      </w:r>
    </w:p>
    <w:p w14:paraId="3E6F2CE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Realizar un manejo integral de los riesgos; </w:t>
      </w:r>
    </w:p>
    <w:p w14:paraId="6F29011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iv) Mejorar el perfil de vencimientos de la deuda y sus características; y </w:t>
      </w:r>
    </w:p>
    <w:p w14:paraId="14B869D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v) Propiciar el desarrollo del mercado local, con énfasis en instrumentos sostenibles. </w:t>
      </w:r>
    </w:p>
    <w:p w14:paraId="66249B9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Gobierno Federal implementará operaciones de refinanciamiento y manejo de pasivos, así como una estrategia de gestión de riesgos a través de instrumentos derivados, para atenuar la exposición a variaciones en el precio del petróleo, el tipo de cambio y las tasas de interés; mantener acotado el costo del servicio de la deuda; y preservar un portafolio de pasivos diversificado, sólido y sin presiones de corto plazo. Asimismo, la principal fuente de financiamiento será el mercado interno y, de forma complementaria, se buscarán ventanas de oportunidad para acceder a los mercados externos. </w:t>
      </w:r>
    </w:p>
    <w:p w14:paraId="464BF46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Con esta estrategia, se estima que el porcentaje de la deuda neta externa respecto de la deuda neta total se ubique en 15.1% para 2025. Respecto a la deuda interna, se espera una participación de 82.1% de los valores a tasa fija y nominal y real de largo plazo, y un plazo promedio de vencimiento de 7.8 años; para la deuda externa, se espera un plazo promedio de 17.7 años. Además, con un nivel de confianza de 0.95, se estima que el costo financiero no se incrementará más de 3.1% con relación a su valor esperado.</w:t>
      </w:r>
    </w:p>
    <w:p w14:paraId="6402F49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Cabe mencionar que, el Gobierno Federal impulsará una relación estrecha con los emisores recurrentes del Sector Público para coordinar su financiamiento, mientras que estas entidades mantendrán una comunicación activa con los participantes del mercado. El mercado financiero interno será la principal fuente de financiamiento, y se priorizará su desarrollo, con énfasis en instrumentos sostenibles. La estrategia de financiamiento interno actualizará las reglas de la Figura de Formadores de Mercado de Bonos y Udibonos, para fomentar la liquidez y profundidad del mercado; se continuará con el programa de subasta de valores gubernamentales, el cual se ajustará a las condiciones y dinámicas de los mercados financieros.</w:t>
      </w:r>
    </w:p>
    <w:p w14:paraId="7B85655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Se buscará actualizar las referencias a 5, 20 y 30 años de los Bonos M, así como la referencia a 3 años de los Udibonos; respecto a los Bondes F, con el fin de aumentar liquidez en la operación de estos instrumentos, a partir de enero de 2025, sólo usará la TIIE de Fondeo para los nuevos contratos de instrumentos derivados. Finalmente, se llevarán a cabo emisiones de Bondes G y Bonos S, con prioridad en este último, para asegurar la liquidez y operatividad de la referencia vigente y emitir nuevos plazos más adelante. En línea con fomentar el desarrollo de instrumentos sostenibles, sus colocaciones buscarán garantizar que otros participantes cuenten con las referencias adecuadas para sus emisiones.</w:t>
      </w:r>
    </w:p>
    <w:p w14:paraId="4AA26387"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Los mercados financieros externos serán una fuente complementaria de financiamiento; se dará preferencia a los mercados con mayor liquidez, condiciones favorables y que muestren menor volatilidad. Asimismo, con el objetivo de mitigar el riesgo cambiario y aprovechar el acceso a financiamiento en distintos mercados, se priorizará una composición de portafolio diversificada. Además, se procurará que las emisiones de nuevos bonos de referencia cuenten con el volumen necesario para mantener eficiencia y liquidez en la curva de rendimientos. Respecto a los ejercicios de manejo de pasivos, se adoptará una postura defensiva, y se priorizarán operaciones de refinanciamiento que reduzcan los vencimientos de corto plazo y extiendan la duración del portafolio.</w:t>
      </w:r>
    </w:p>
    <w:p w14:paraId="3BE96A6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Los Pidiregas, que forman parte de la inversión física impulsada por el Sector Público, se agrupan en: i) los Pidiregas de inversión directa, que comprenden aquellos proyectos que en el tiempo constituirán inversión pública y que por tanto suponen adquirir obligaciones financieras que son registradas de conformidad con el artículo 18 de la LFDP y ii) aquellos proyectos propiedad del sector privado y que implican únicamente compromisos comerciales, salvo que se presenten causas de fuerza mayor que impliquen su adquisición por el Sector Público. </w:t>
      </w:r>
    </w:p>
    <w:p w14:paraId="47950FF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Con el objeto de ampliar y mejorar la información relativa a los pasivos asociados a los proyectos de inversión financiada de los proyectos Pidiregas que, de acuerdo con la normatividad aplicable, han sido recibidos a satisfacción por la CFE, reflejándose por lo tanto en sus registros contables. Cabe mencionar que, derivado del reconocimiento de los pasivos Pidiregas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7B795DF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A fin de instrumentar la estrategia antes planteada, al igual que en los ejercicios fiscales de 2000 a 2023, el Ejecutivo Federal solicitó la asignación, en el PEF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w:t>
      </w:r>
    </w:p>
    <w:p w14:paraId="2EF5B47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Asimismo, en el artículo 2o. de la LIF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3448774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31 de diciembre de 2024, la deuda neta del Instituto ascendió a 1 billón 16 mil 83.0 millones de pesos, registrando una disminución en términos reales de 1.88% respecto a diciembre de 2023. Esta disminución se explica principalmente por un efecto por inflación superior al crecimiento nominal del saldo de la deuda. Por otra parte, el saldo de la deuda neta del Instituto al cierre del cuarto trimestre de 2024 representó el 2.87% del PIB, dato menor en 0.11 pp respecto al presentado al cierre del cuarto trimestre de 2023. En términos reales, el decremento de 0.11 pp se explica en 0.06 pp por el decrecimiento de la deuda del Instituto en términos reales y en 0.05 pp por el crecimiento estimado de la economía en términos reales de diciembre de 2023 a diciembre de 2024.</w:t>
      </w:r>
    </w:p>
    <w:p w14:paraId="39BBB21C"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Al cierre del cuarto trimestre de 2024, el saldo de los activos totales del Instituto ascendió a 219 mil 487.0 millones de pesos, cifra que presentó un aumento de 14.12% en términos reales, respecto al cierre de diciembre de 2023. Cabe destacar que, el saldo del Fondo de Protección al Ahorro Bancario al cierre del mes de diciembre de 2024 ascendió a 106 mil 294.0 millones de pesos, lo que significó un incremento nominal de 22.01% y de 17.08% en términos reales respecto del mes de diciembre de 2023.</w:t>
      </w:r>
    </w:p>
    <w:p w14:paraId="2AA77B98"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Durante el cuarto trimestre de 2024, se recibieron recursos en el Instituto por un total de 78 mil 254.0 millones de pesos. Dichos recursos se componen de: </w:t>
      </w:r>
    </w:p>
    <w:p w14:paraId="2701BA79"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 64 mil 254.0 millones de pesos correspondientes a operaciones de refinanciamiento a través de la colocación primaria y no competitiva de BPAS; </w:t>
      </w:r>
    </w:p>
    <w:p w14:paraId="35E0DBE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 9 mil 187.0 millones de pesos por concepto de Cuotas cobradas a las Instituciones de Banca Múltiple (IBM); </w:t>
      </w:r>
    </w:p>
    <w:p w14:paraId="2C697DA3"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iii) 4 mil 811.0 millones de pesos de intereses generados por la inversión de los activos líquidos del Instituto y, </w:t>
      </w:r>
    </w:p>
    <w:p w14:paraId="7FF88084"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iv) 2.0 millones de pesos por otros ingresos (actualización de cuotas omitidas, reembolso a la Reserva de Resoluciones, traspaso de intereses por saldo en cuenta). </w:t>
      </w:r>
    </w:p>
    <w:p w14:paraId="465320BE"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Por su parte, los pagos realizados durante el mismo periodo ascendieron a 53 mil 256.0 millones de pesos, de los cuales 19 mil 511.0 millones de pesos corresponden a la amortización de Bonos; 33 mil 636.0 millones de pesos al pago de intereses de dichos Bonos; 110.0 millones de pesos a pagos relacionados con gastos de administración del Instituto y 0.2 millones de pesos relacionados a procesos de resolución.</w:t>
      </w:r>
    </w:p>
    <w:p w14:paraId="0F13330D"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Con estricto apego a la facultad de refinanciamiento del Instituto establecida en el artículo 2o. antes referido y, conforme al programa de subastas dado a conocer al público inversionista el 27 de septiembre de 2024, el Instituto colocó Bonos de Protección al Ahorro (BPAS o Bonos) a través del Banco de México como su agente financiero. Dado lo anterior, el IPAB colocó instrumentos por un monto nominal de 64 mil 18.0 millones de pesos, de los cuales 63 mil 700 millones de pesos corresponden a subastas primarias y 318.0 millones de pesos a asignaciones no competitivas a través de la plataforma de Cetesdirecto; y amortizó emisiones primarias con un valor nominal de 19 mil 511.0 millones de pesos, con lo cual se presentó una colocación neta de 44 mil 507.0 millones de pesos. </w:t>
      </w:r>
    </w:p>
    <w:p w14:paraId="2AC7DA95"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Las operaciones de refinanciamiento efectuadas durante el cuarto trimestre de 2024 contribuyeron con el objetivo estratégico del IPAB de hacer frente a sus obligaciones de pago de manera sostenible en el largo plazo.</w:t>
      </w:r>
    </w:p>
    <w:p w14:paraId="50194AB0"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 xml:space="preserve">Al cierre del cuarto trimestre de 2024, el plazo promedio de los pasivos del Instituto fue de 2.67 años, dato 0.04 años mayor al observado en el cuarto trimestre de 2023 (2.63 años), debido a que los porcentajes de la deuda con plazo menor a un año y mayor a tres años han tenido un incremento. </w:t>
      </w:r>
    </w:p>
    <w:p w14:paraId="118585A6"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Por otra parte, el 20 de diciembre de 2024, el IPAB dio a conocer al público inversionista las subastas primarias programadas a realizar durante el primer trimestre de 2025; para el cual, disminuyó en 600 millones de pesos el monto objetivo semanal a subastar respecto del cuarto trimestre de 2024, quedando en 4 mil 600.0 millones de pesos, distribuidos de la siguiente manera: 1 mil 500 millones de pesos de BPAG28 a plazo de hasta 3 años; 1 mil 500 millones de pesos de BPAG91 a plazo de hasta 5 años y 1 mil 300 millones de pesos de BPA182 a plazo de hasta 7 años.</w:t>
      </w:r>
    </w:p>
    <w:p w14:paraId="1B3C633F" w14:textId="77777777" w:rsidR="00A11793" w:rsidRPr="00A11793" w:rsidRDefault="00A11793" w:rsidP="007058F3">
      <w:pPr>
        <w:tabs>
          <w:tab w:val="left" w:pos="284"/>
        </w:tabs>
        <w:ind w:left="284"/>
        <w:jc w:val="both"/>
        <w:rPr>
          <w:rFonts w:ascii="Arial" w:eastAsia="Times New Roman" w:hAnsi="Arial" w:cs="Arial"/>
          <w:sz w:val="18"/>
          <w:szCs w:val="18"/>
          <w:lang w:eastAsia="es-ES"/>
        </w:rPr>
      </w:pPr>
      <w:r w:rsidRPr="00A11793">
        <w:rPr>
          <w:rFonts w:ascii="Arial" w:eastAsia="Times New Roman" w:hAnsi="Arial" w:cs="Arial"/>
          <w:sz w:val="18"/>
          <w:szCs w:val="18"/>
          <w:lang w:eastAsia="es-ES"/>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2024 de $0.00, y al primer trimestre del ejercicio 2025 se continúa con un saldo de $0.00 de endeudamiento, manteniendo las finanzas del Gobierno del Estado sanas.</w:t>
      </w:r>
    </w:p>
    <w:p w14:paraId="6719BFE1" w14:textId="77777777" w:rsidR="008C10B0" w:rsidRPr="00B97B9A" w:rsidRDefault="008C10B0" w:rsidP="008C10B0">
      <w:pPr>
        <w:tabs>
          <w:tab w:val="left" w:pos="284"/>
        </w:tabs>
        <w:jc w:val="both"/>
        <w:rPr>
          <w:rFonts w:ascii="Arial" w:hAnsi="Arial" w:cs="Arial"/>
          <w:b/>
          <w:sz w:val="18"/>
          <w:szCs w:val="18"/>
        </w:rPr>
      </w:pPr>
      <w:r w:rsidRPr="00B97B9A">
        <w:rPr>
          <w:rFonts w:ascii="Arial" w:hAnsi="Arial" w:cs="Arial"/>
          <w:sz w:val="18"/>
          <w:szCs w:val="18"/>
        </w:rPr>
        <w:tab/>
      </w:r>
      <w:r w:rsidRPr="003E4FE7">
        <w:rPr>
          <w:rFonts w:ascii="Arial" w:hAnsi="Arial" w:cs="Arial"/>
          <w:b/>
          <w:sz w:val="18"/>
          <w:szCs w:val="18"/>
        </w:rPr>
        <w:t>11. Calificaciones otorgadas</w:t>
      </w:r>
    </w:p>
    <w:p w14:paraId="61E30715" w14:textId="31D434E5" w:rsidR="008C10B0" w:rsidRPr="00045E28" w:rsidRDefault="008C10B0" w:rsidP="008C10B0">
      <w:pPr>
        <w:rPr>
          <w:rFonts w:ascii="Arial" w:eastAsia="Times New Roman" w:hAnsi="Arial" w:cs="Arial"/>
          <w:sz w:val="18"/>
          <w:szCs w:val="18"/>
          <w:lang w:eastAsia="es-ES"/>
        </w:rPr>
      </w:pPr>
      <w:r w:rsidRPr="00045E28">
        <w:rPr>
          <w:rFonts w:ascii="Arial" w:eastAsia="Times New Roman" w:hAnsi="Arial" w:cs="Arial"/>
          <w:sz w:val="18"/>
          <w:szCs w:val="18"/>
          <w:lang w:eastAsia="es-ES"/>
        </w:rPr>
        <w:t xml:space="preserve">      No aplica, toda vez que no se tiene contrato con empresas calificadoras al </w:t>
      </w:r>
      <w:r w:rsidR="003A3004" w:rsidRPr="00045E28">
        <w:rPr>
          <w:rFonts w:ascii="Arial" w:eastAsia="Times New Roman" w:hAnsi="Arial" w:cs="Arial"/>
          <w:sz w:val="18"/>
          <w:szCs w:val="18"/>
          <w:lang w:eastAsia="es-ES"/>
        </w:rPr>
        <w:t xml:space="preserve">31 de </w:t>
      </w:r>
      <w:r w:rsidR="00045E28" w:rsidRPr="00045E28">
        <w:rPr>
          <w:rFonts w:ascii="Arial" w:eastAsia="Times New Roman" w:hAnsi="Arial" w:cs="Arial"/>
          <w:sz w:val="18"/>
          <w:szCs w:val="18"/>
          <w:lang w:eastAsia="es-ES"/>
        </w:rPr>
        <w:t>diciembre</w:t>
      </w:r>
      <w:r w:rsidRPr="00045E28">
        <w:rPr>
          <w:rFonts w:ascii="Arial" w:eastAsia="Times New Roman" w:hAnsi="Arial" w:cs="Arial"/>
          <w:sz w:val="18"/>
          <w:szCs w:val="18"/>
          <w:lang w:eastAsia="es-ES"/>
        </w:rPr>
        <w:t xml:space="preserve"> del ejercicio 202</w:t>
      </w:r>
      <w:r w:rsidR="003A3004" w:rsidRPr="00045E28">
        <w:rPr>
          <w:rFonts w:ascii="Arial" w:eastAsia="Times New Roman" w:hAnsi="Arial" w:cs="Arial"/>
          <w:sz w:val="18"/>
          <w:szCs w:val="18"/>
          <w:lang w:eastAsia="es-ES"/>
        </w:rPr>
        <w:t>5</w:t>
      </w:r>
      <w:r w:rsidRPr="00045E28">
        <w:rPr>
          <w:rFonts w:ascii="Arial" w:eastAsia="Times New Roman" w:hAnsi="Arial" w:cs="Arial"/>
          <w:sz w:val="18"/>
          <w:szCs w:val="18"/>
          <w:lang w:eastAsia="es-ES"/>
        </w:rPr>
        <w:t>.</w:t>
      </w:r>
    </w:p>
    <w:p w14:paraId="5D93A37E" w14:textId="77777777" w:rsidR="008C10B0" w:rsidRDefault="008C10B0" w:rsidP="008C10B0">
      <w:pPr>
        <w:rPr>
          <w:rFonts w:ascii="Arial" w:hAnsi="Arial" w:cs="Arial"/>
          <w:b/>
          <w:sz w:val="18"/>
          <w:szCs w:val="18"/>
        </w:rPr>
      </w:pPr>
      <w:r>
        <w:t xml:space="preserve">     </w:t>
      </w:r>
      <w:r w:rsidRPr="003A3004">
        <w:rPr>
          <w:rFonts w:ascii="Arial" w:hAnsi="Arial" w:cs="Arial"/>
          <w:b/>
          <w:sz w:val="18"/>
          <w:szCs w:val="18"/>
        </w:rPr>
        <w:t>12. Proceso de Mejora</w:t>
      </w:r>
    </w:p>
    <w:p w14:paraId="03F40413" w14:textId="77777777" w:rsidR="008C10B0" w:rsidRPr="00045E28" w:rsidRDefault="008C10B0" w:rsidP="008C10B0">
      <w:pPr>
        <w:rPr>
          <w:rFonts w:ascii="Arial" w:hAnsi="Arial" w:cs="Arial"/>
          <w:sz w:val="18"/>
          <w:szCs w:val="18"/>
        </w:rPr>
      </w:pPr>
      <w:r w:rsidRPr="00045E28">
        <w:rPr>
          <w:rFonts w:ascii="Arial" w:hAnsi="Arial" w:cs="Arial"/>
          <w:sz w:val="18"/>
          <w:szCs w:val="18"/>
        </w:rPr>
        <w:t xml:space="preserve">     a) Principales políticas de control interno:</w:t>
      </w:r>
    </w:p>
    <w:p w14:paraId="434D0493" w14:textId="77777777" w:rsidR="008C10B0" w:rsidRPr="00045E28" w:rsidRDefault="008C10B0" w:rsidP="008C10B0">
      <w:pPr>
        <w:ind w:left="708"/>
        <w:jc w:val="both"/>
        <w:rPr>
          <w:rFonts w:ascii="Arial" w:hAnsi="Arial" w:cs="Arial"/>
          <w:sz w:val="18"/>
          <w:szCs w:val="18"/>
        </w:rPr>
      </w:pPr>
      <w:r w:rsidRPr="00045E28">
        <w:rPr>
          <w:rFonts w:ascii="Arial" w:hAnsi="Arial" w:cs="Arial"/>
          <w:sz w:val="18"/>
          <w:szCs w:val="18"/>
        </w:rPr>
        <w:t xml:space="preserve"> Se cuenta con manuales de procedimientos, Lineamientos de Racionalidad, Austeridad y Disciplina Presupuestal, Lineamientos de Adquisiciones, Arrendamientos, Servicios y Obra Pública del Estado de Tlaxcala, así como la normatividad vigente para los registros contables emitidos por la Consejo Nacional de Armonización Contable.</w:t>
      </w:r>
    </w:p>
    <w:p w14:paraId="639E90EC" w14:textId="77777777" w:rsidR="008C10B0" w:rsidRPr="00045E28" w:rsidRDefault="008C10B0" w:rsidP="008C10B0">
      <w:pPr>
        <w:jc w:val="both"/>
        <w:rPr>
          <w:rFonts w:ascii="Arial" w:hAnsi="Arial" w:cs="Arial"/>
          <w:sz w:val="18"/>
          <w:szCs w:val="18"/>
        </w:rPr>
      </w:pPr>
      <w:r w:rsidRPr="00045E28">
        <w:rPr>
          <w:rFonts w:ascii="Arial" w:hAnsi="Arial" w:cs="Arial"/>
          <w:sz w:val="18"/>
          <w:szCs w:val="18"/>
        </w:rPr>
        <w:t xml:space="preserve">   b) Medidas de desempeño financiero, metas y alcance:</w:t>
      </w:r>
    </w:p>
    <w:p w14:paraId="552AA16C" w14:textId="431468FF" w:rsidR="008C10B0" w:rsidRDefault="008C10B0" w:rsidP="008C10B0">
      <w:pPr>
        <w:ind w:left="708"/>
        <w:jc w:val="both"/>
      </w:pPr>
      <w:r w:rsidRPr="00045E28">
        <w:rPr>
          <w:rFonts w:ascii="Arial" w:hAnsi="Arial" w:cs="Arial"/>
          <w:sz w:val="18"/>
          <w:szCs w:val="18"/>
        </w:rPr>
        <w:t>Se lleva un control estadístico de actividades por área administrativa a fin de evaluar el desempeño de</w:t>
      </w:r>
      <w:r w:rsidRPr="00045E28">
        <w:rPr>
          <w:rFonts w:ascii="Arial" w:eastAsia="Times New Roman" w:hAnsi="Arial" w:cs="Arial"/>
          <w:sz w:val="18"/>
          <w:szCs w:val="18"/>
        </w:rPr>
        <w:t xml:space="preserve"> </w:t>
      </w:r>
      <w:r w:rsidRPr="00045E28">
        <w:rPr>
          <w:rFonts w:ascii="Arial" w:hAnsi="Arial" w:cs="Arial"/>
          <w:sz w:val="18"/>
          <w:szCs w:val="18"/>
        </w:rPr>
        <w:t>acuerdo con lo programado y presupuestado (PBR) del ejercicio 202</w:t>
      </w:r>
      <w:r w:rsidR="003A3004" w:rsidRPr="00045E28">
        <w:rPr>
          <w:rFonts w:ascii="Arial" w:hAnsi="Arial" w:cs="Arial"/>
          <w:sz w:val="18"/>
          <w:szCs w:val="18"/>
        </w:rPr>
        <w:t>5</w:t>
      </w:r>
      <w:r w:rsidRPr="00045E28">
        <w:rPr>
          <w:rFonts w:ascii="Arial" w:hAnsi="Arial" w:cs="Arial"/>
          <w:sz w:val="18"/>
          <w:szCs w:val="18"/>
        </w:rPr>
        <w:t>.</w:t>
      </w:r>
    </w:p>
    <w:p w14:paraId="5F7F9775" w14:textId="77777777" w:rsidR="008C10B0" w:rsidRPr="00B97B9A" w:rsidRDefault="008C10B0" w:rsidP="008C10B0">
      <w:pPr>
        <w:jc w:val="both"/>
        <w:rPr>
          <w:b/>
        </w:rPr>
      </w:pPr>
      <w:r w:rsidRPr="003A3004">
        <w:rPr>
          <w:b/>
        </w:rPr>
        <w:t>13. Información por Segmentos</w:t>
      </w:r>
    </w:p>
    <w:p w14:paraId="3CE23A92" w14:textId="1D07673C" w:rsidR="008C10B0" w:rsidRPr="00045E28" w:rsidRDefault="008C10B0" w:rsidP="008C10B0">
      <w:pPr>
        <w:jc w:val="both"/>
        <w:rPr>
          <w:rFonts w:ascii="Arial" w:eastAsia="Times New Roman" w:hAnsi="Arial" w:cs="Arial"/>
          <w:sz w:val="18"/>
          <w:szCs w:val="18"/>
          <w:lang w:eastAsia="es-ES"/>
        </w:rPr>
      </w:pPr>
      <w:r w:rsidRPr="00045E28">
        <w:rPr>
          <w:rFonts w:ascii="Arial" w:eastAsia="Times New Roman" w:hAnsi="Arial" w:cs="Arial"/>
          <w:sz w:val="18"/>
          <w:szCs w:val="18"/>
          <w:lang w:eastAsia="es-ES"/>
        </w:rPr>
        <w:t xml:space="preserve">No aplica, toda vez que el Poder Ejecutivo informa de manera pormenorizada de acuerdo a la estructura relativa a la Cuenta </w:t>
      </w:r>
      <w:r w:rsidR="002640DB" w:rsidRPr="00045E28">
        <w:rPr>
          <w:rFonts w:ascii="Arial" w:eastAsia="Times New Roman" w:hAnsi="Arial" w:cs="Arial"/>
          <w:sz w:val="18"/>
          <w:szCs w:val="18"/>
          <w:lang w:eastAsia="es-ES"/>
        </w:rPr>
        <w:t>Pública</w:t>
      </w:r>
      <w:r w:rsidRPr="00045E28">
        <w:rPr>
          <w:rFonts w:ascii="Arial" w:eastAsia="Times New Roman" w:hAnsi="Arial" w:cs="Arial"/>
          <w:sz w:val="18"/>
          <w:szCs w:val="18"/>
          <w:lang w:eastAsia="es-ES"/>
        </w:rPr>
        <w:t xml:space="preserve"> emitida por el Consejo Nacional Armonización Contable.</w:t>
      </w:r>
    </w:p>
    <w:p w14:paraId="4DEDCF6D" w14:textId="77777777" w:rsidR="008C10B0" w:rsidRDefault="008C10B0" w:rsidP="008C10B0">
      <w:pPr>
        <w:jc w:val="both"/>
      </w:pPr>
      <w:r w:rsidRPr="00AD1464">
        <w:rPr>
          <w:b/>
        </w:rPr>
        <w:t>14. Eventos Posteriores al Cierre</w:t>
      </w:r>
    </w:p>
    <w:p w14:paraId="373B6104" w14:textId="41998B91" w:rsidR="008C10B0" w:rsidRPr="00045E28" w:rsidRDefault="008C10B0" w:rsidP="008C10B0">
      <w:pPr>
        <w:jc w:val="both"/>
        <w:rPr>
          <w:rFonts w:ascii="Arial" w:eastAsia="Times New Roman" w:hAnsi="Arial" w:cs="Arial"/>
          <w:sz w:val="18"/>
          <w:szCs w:val="18"/>
          <w:lang w:eastAsia="es-ES"/>
        </w:rPr>
      </w:pPr>
      <w:r w:rsidRPr="00045E28">
        <w:rPr>
          <w:rFonts w:ascii="Arial" w:eastAsia="Times New Roman" w:hAnsi="Arial" w:cs="Arial"/>
          <w:sz w:val="18"/>
          <w:szCs w:val="18"/>
          <w:lang w:eastAsia="es-ES"/>
        </w:rPr>
        <w:t xml:space="preserve">No aplica, toda vez que no se registraron eventos posteriores al cierre del </w:t>
      </w:r>
      <w:r w:rsidR="00AD1464" w:rsidRPr="00045E28">
        <w:rPr>
          <w:rFonts w:ascii="Arial" w:eastAsia="Times New Roman" w:hAnsi="Arial" w:cs="Arial"/>
          <w:sz w:val="18"/>
          <w:szCs w:val="18"/>
          <w:lang w:eastAsia="es-ES"/>
        </w:rPr>
        <w:t>del ejercicio fiscal 2025</w:t>
      </w:r>
      <w:r w:rsidRPr="00045E28">
        <w:rPr>
          <w:rFonts w:ascii="Arial" w:eastAsia="Times New Roman" w:hAnsi="Arial" w:cs="Arial"/>
          <w:sz w:val="18"/>
          <w:szCs w:val="18"/>
          <w:lang w:eastAsia="es-ES"/>
        </w:rPr>
        <w:t>.</w:t>
      </w:r>
    </w:p>
    <w:p w14:paraId="7C0596D0" w14:textId="77777777" w:rsidR="008C10B0" w:rsidRDefault="008C10B0" w:rsidP="008C10B0">
      <w:pPr>
        <w:jc w:val="both"/>
        <w:rPr>
          <w:b/>
        </w:rPr>
      </w:pPr>
      <w:r w:rsidRPr="00AD1464">
        <w:rPr>
          <w:b/>
        </w:rPr>
        <w:t>15. Partes Relacionadas</w:t>
      </w:r>
    </w:p>
    <w:p w14:paraId="7D77AAE3" w14:textId="1B8F958D" w:rsidR="008C10B0" w:rsidRPr="00045E28" w:rsidRDefault="008C10B0" w:rsidP="008C10B0">
      <w:pPr>
        <w:jc w:val="both"/>
        <w:rPr>
          <w:rFonts w:ascii="Arial" w:eastAsia="Times New Roman" w:hAnsi="Arial" w:cs="Arial"/>
          <w:sz w:val="18"/>
          <w:szCs w:val="18"/>
          <w:lang w:eastAsia="es-ES"/>
        </w:rPr>
      </w:pPr>
      <w:r w:rsidRPr="00045E28">
        <w:rPr>
          <w:rFonts w:ascii="Arial" w:eastAsia="Times New Roman" w:hAnsi="Arial" w:cs="Arial"/>
          <w:sz w:val="18"/>
          <w:szCs w:val="18"/>
          <w:lang w:eastAsia="es-ES"/>
        </w:rPr>
        <w:t>No aplica, toda vez que el Poder Ejecutivo no cuenta con partes relacionadas al cierre del ejer</w:t>
      </w:r>
      <w:r w:rsidR="00AD1464" w:rsidRPr="00045E28">
        <w:rPr>
          <w:rFonts w:ascii="Arial" w:eastAsia="Times New Roman" w:hAnsi="Arial" w:cs="Arial"/>
          <w:sz w:val="18"/>
          <w:szCs w:val="18"/>
          <w:lang w:eastAsia="es-ES"/>
        </w:rPr>
        <w:t>cicio 2025</w:t>
      </w:r>
      <w:r w:rsidRPr="00045E28">
        <w:rPr>
          <w:rFonts w:ascii="Arial" w:eastAsia="Times New Roman" w:hAnsi="Arial" w:cs="Arial"/>
          <w:sz w:val="18"/>
          <w:szCs w:val="18"/>
          <w:lang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8C10B0" w14:paraId="5C525CF8" w14:textId="77777777" w:rsidTr="008C10B0">
        <w:trPr>
          <w:trHeight w:val="1671"/>
        </w:trPr>
        <w:tc>
          <w:tcPr>
            <w:tcW w:w="9350" w:type="dxa"/>
            <w:gridSpan w:val="3"/>
          </w:tcPr>
          <w:p w14:paraId="72E3B415" w14:textId="77777777" w:rsidR="008C10B0" w:rsidRDefault="008C10B0" w:rsidP="008C10B0">
            <w:pPr>
              <w:pStyle w:val="Texto"/>
              <w:spacing w:after="0" w:line="240" w:lineRule="exact"/>
              <w:ind w:firstLine="0"/>
              <w:rPr>
                <w:b/>
              </w:rPr>
            </w:pPr>
            <w:r w:rsidRPr="00931020">
              <w:rPr>
                <w:b/>
              </w:rPr>
              <w:t>16. Responsabilidad Sobre la Presentación Razonable de la Información Contable</w:t>
            </w:r>
          </w:p>
          <w:p w14:paraId="24807FF1" w14:textId="77777777" w:rsidR="008C10B0" w:rsidRDefault="008C10B0" w:rsidP="008C10B0">
            <w:pPr>
              <w:pStyle w:val="Texto"/>
              <w:spacing w:after="0" w:line="240" w:lineRule="exact"/>
              <w:ind w:firstLine="0"/>
              <w:rPr>
                <w:color w:val="000000"/>
                <w:szCs w:val="18"/>
              </w:rPr>
            </w:pPr>
          </w:p>
          <w:p w14:paraId="70B91332" w14:textId="77777777" w:rsidR="008C10B0" w:rsidRDefault="008C10B0" w:rsidP="008C10B0">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07224C6B" w14:textId="77777777" w:rsidR="008C10B0" w:rsidRDefault="008C10B0" w:rsidP="008C10B0">
            <w:pPr>
              <w:pStyle w:val="Texto"/>
              <w:spacing w:after="0" w:line="240" w:lineRule="exact"/>
              <w:ind w:firstLine="0"/>
              <w:rPr>
                <w:szCs w:val="18"/>
              </w:rPr>
            </w:pPr>
          </w:p>
          <w:p w14:paraId="49DA6409" w14:textId="77777777" w:rsidR="008C10B0" w:rsidRDefault="008C10B0" w:rsidP="008C10B0">
            <w:pPr>
              <w:pStyle w:val="Texto"/>
              <w:spacing w:after="0" w:line="240" w:lineRule="exact"/>
              <w:ind w:firstLine="0"/>
              <w:rPr>
                <w:szCs w:val="18"/>
              </w:rPr>
            </w:pPr>
          </w:p>
          <w:p w14:paraId="5A3C8BD4" w14:textId="77777777" w:rsidR="008C10B0" w:rsidRDefault="008C10B0" w:rsidP="008C10B0">
            <w:pPr>
              <w:pStyle w:val="Texto"/>
              <w:spacing w:after="0" w:line="240" w:lineRule="exact"/>
              <w:ind w:firstLine="0"/>
              <w:rPr>
                <w:szCs w:val="18"/>
              </w:rPr>
            </w:pPr>
          </w:p>
          <w:p w14:paraId="5FCD26B2" w14:textId="77777777" w:rsidR="008C10B0" w:rsidRDefault="008C10B0" w:rsidP="008C10B0">
            <w:pPr>
              <w:pStyle w:val="Texto"/>
              <w:spacing w:after="0" w:line="240" w:lineRule="exact"/>
              <w:ind w:firstLine="0"/>
              <w:rPr>
                <w:szCs w:val="18"/>
              </w:rPr>
            </w:pPr>
          </w:p>
        </w:tc>
      </w:tr>
      <w:tr w:rsidR="008C10B0" w14:paraId="134717B8" w14:textId="77777777" w:rsidTr="008C10B0">
        <w:tc>
          <w:tcPr>
            <w:tcW w:w="4106" w:type="dxa"/>
          </w:tcPr>
          <w:p w14:paraId="5EC57BEB" w14:textId="77777777" w:rsidR="008C10B0" w:rsidRDefault="008C10B0" w:rsidP="008C10B0">
            <w:pPr>
              <w:jc w:val="center"/>
              <w:rPr>
                <w:rFonts w:ascii="Arial" w:hAnsi="Arial" w:cs="Arial"/>
                <w:color w:val="000000"/>
                <w:sz w:val="18"/>
                <w:szCs w:val="18"/>
              </w:rPr>
            </w:pPr>
          </w:p>
          <w:p w14:paraId="592FE0CD" w14:textId="77777777" w:rsidR="008C10B0" w:rsidRDefault="008C10B0" w:rsidP="008C10B0">
            <w:pPr>
              <w:jc w:val="center"/>
              <w:rPr>
                <w:rFonts w:ascii="Arial" w:hAnsi="Arial" w:cs="Arial"/>
                <w:color w:val="000000"/>
                <w:sz w:val="18"/>
                <w:szCs w:val="18"/>
              </w:rPr>
            </w:pPr>
          </w:p>
          <w:p w14:paraId="1CD01109" w14:textId="77777777" w:rsidR="008C10B0" w:rsidRDefault="008C10B0" w:rsidP="008C10B0">
            <w:pPr>
              <w:jc w:val="center"/>
              <w:rPr>
                <w:rFonts w:ascii="Arial" w:hAnsi="Arial" w:cs="Arial"/>
                <w:color w:val="000000"/>
                <w:sz w:val="18"/>
                <w:szCs w:val="18"/>
              </w:rPr>
            </w:pPr>
            <w:r>
              <w:rPr>
                <w:rFonts w:ascii="Arial" w:hAnsi="Arial" w:cs="Arial"/>
                <w:color w:val="000000"/>
                <w:sz w:val="18"/>
                <w:szCs w:val="18"/>
              </w:rPr>
              <w:t>_____________________________________</w:t>
            </w:r>
          </w:p>
          <w:p w14:paraId="752A43B5" w14:textId="77777777" w:rsidR="008C10B0" w:rsidRDefault="008C10B0" w:rsidP="008C10B0">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717474DB" w14:textId="77777777" w:rsidR="008C10B0" w:rsidRDefault="008C10B0" w:rsidP="008C10B0">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1BB3EA60" w14:textId="77777777" w:rsidR="008C10B0" w:rsidRDefault="008C10B0" w:rsidP="008C10B0">
            <w:pPr>
              <w:pStyle w:val="Texto"/>
              <w:spacing w:after="0" w:line="240" w:lineRule="exact"/>
              <w:ind w:firstLine="0"/>
              <w:jc w:val="center"/>
              <w:rPr>
                <w:szCs w:val="18"/>
              </w:rPr>
            </w:pPr>
          </w:p>
        </w:tc>
        <w:tc>
          <w:tcPr>
            <w:tcW w:w="1134" w:type="dxa"/>
          </w:tcPr>
          <w:p w14:paraId="60331F3E" w14:textId="77777777" w:rsidR="008C10B0" w:rsidRDefault="008C10B0" w:rsidP="008C10B0">
            <w:pPr>
              <w:pStyle w:val="Texto"/>
              <w:spacing w:after="0" w:line="240" w:lineRule="exact"/>
              <w:ind w:firstLine="0"/>
              <w:rPr>
                <w:szCs w:val="18"/>
              </w:rPr>
            </w:pPr>
          </w:p>
        </w:tc>
        <w:tc>
          <w:tcPr>
            <w:tcW w:w="4110" w:type="dxa"/>
          </w:tcPr>
          <w:p w14:paraId="24427A79" w14:textId="77777777" w:rsidR="008C10B0" w:rsidRPr="00F3142D" w:rsidRDefault="008C10B0" w:rsidP="008C10B0">
            <w:pPr>
              <w:pStyle w:val="Texto"/>
              <w:spacing w:after="0" w:line="240" w:lineRule="exact"/>
              <w:ind w:firstLine="0"/>
              <w:jc w:val="center"/>
              <w:rPr>
                <w:color w:val="000000"/>
                <w:szCs w:val="18"/>
              </w:rPr>
            </w:pPr>
          </w:p>
          <w:p w14:paraId="25612B7B" w14:textId="77777777" w:rsidR="008C10B0" w:rsidRPr="00F3142D" w:rsidRDefault="008C10B0" w:rsidP="008C10B0">
            <w:pPr>
              <w:pStyle w:val="Texto"/>
              <w:spacing w:after="0" w:line="240" w:lineRule="exact"/>
              <w:ind w:firstLine="0"/>
              <w:jc w:val="center"/>
              <w:rPr>
                <w:color w:val="000000"/>
                <w:szCs w:val="18"/>
              </w:rPr>
            </w:pPr>
          </w:p>
          <w:p w14:paraId="1BCDD804"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____________________________________</w:t>
            </w:r>
          </w:p>
          <w:p w14:paraId="42E4CC1F" w14:textId="77777777" w:rsidR="008C10B0" w:rsidRPr="00F3142D" w:rsidRDefault="008C10B0" w:rsidP="008C10B0">
            <w:pPr>
              <w:pStyle w:val="Texto"/>
              <w:spacing w:after="0" w:line="240" w:lineRule="exact"/>
              <w:ind w:firstLine="0"/>
              <w:jc w:val="center"/>
              <w:rPr>
                <w:color w:val="000000"/>
                <w:szCs w:val="18"/>
              </w:rPr>
            </w:pPr>
            <w:r w:rsidRPr="00F3142D">
              <w:rPr>
                <w:color w:val="000000"/>
                <w:szCs w:val="18"/>
              </w:rPr>
              <w:t>C.P. Román Muñoz Calva</w:t>
            </w:r>
          </w:p>
          <w:p w14:paraId="5E77A3B7" w14:textId="77777777" w:rsidR="008C10B0" w:rsidRDefault="008C10B0" w:rsidP="008C10B0">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2ED0973F" w14:textId="77777777" w:rsidR="008C10B0" w:rsidRDefault="008C10B0" w:rsidP="008C10B0">
            <w:pPr>
              <w:pStyle w:val="Texto"/>
              <w:spacing w:after="0" w:line="240" w:lineRule="exact"/>
              <w:ind w:firstLine="0"/>
              <w:jc w:val="center"/>
              <w:rPr>
                <w:szCs w:val="18"/>
              </w:rPr>
            </w:pPr>
          </w:p>
        </w:tc>
      </w:tr>
    </w:tbl>
    <w:p w14:paraId="542FF279" w14:textId="77777777" w:rsidR="002D48B0" w:rsidRDefault="002D48B0" w:rsidP="008C10B0">
      <w:pPr>
        <w:pStyle w:val="Texto"/>
        <w:spacing w:after="0" w:line="276" w:lineRule="auto"/>
        <w:jc w:val="center"/>
        <w:rPr>
          <w:b/>
          <w:szCs w:val="18"/>
        </w:rPr>
      </w:pPr>
    </w:p>
    <w:p w14:paraId="025C0092" w14:textId="77777777" w:rsidR="008C10B0" w:rsidRPr="0073056A" w:rsidRDefault="008C10B0" w:rsidP="008C10B0">
      <w:pPr>
        <w:pStyle w:val="Texto"/>
        <w:spacing w:after="0" w:line="276" w:lineRule="auto"/>
        <w:jc w:val="center"/>
        <w:rPr>
          <w:b/>
          <w:szCs w:val="18"/>
        </w:rPr>
      </w:pPr>
      <w:r w:rsidRPr="0073056A">
        <w:rPr>
          <w:b/>
          <w:szCs w:val="18"/>
        </w:rPr>
        <w:t>NOTAS A LOS ESTADOS FINANCIEROS</w:t>
      </w:r>
    </w:p>
    <w:p w14:paraId="1E8EA227" w14:textId="77777777" w:rsidR="008C10B0" w:rsidRDefault="008C10B0" w:rsidP="008C10B0">
      <w:pPr>
        <w:pStyle w:val="Texto"/>
        <w:spacing w:after="0" w:line="276" w:lineRule="auto"/>
        <w:jc w:val="center"/>
        <w:rPr>
          <w:b/>
          <w:szCs w:val="18"/>
        </w:rPr>
      </w:pPr>
    </w:p>
    <w:p w14:paraId="60EF8617" w14:textId="77777777" w:rsidR="008C10B0" w:rsidRPr="0073056A" w:rsidRDefault="008C10B0" w:rsidP="008C10B0">
      <w:pPr>
        <w:pStyle w:val="Texto"/>
        <w:spacing w:after="0" w:line="276" w:lineRule="auto"/>
        <w:jc w:val="center"/>
        <w:rPr>
          <w:szCs w:val="18"/>
        </w:rPr>
      </w:pPr>
      <w:r w:rsidRPr="0073056A">
        <w:rPr>
          <w:b/>
          <w:szCs w:val="18"/>
        </w:rPr>
        <w:t>a) NOTAS DE DESGLOSE</w:t>
      </w:r>
    </w:p>
    <w:p w14:paraId="5FF7FB9E" w14:textId="77777777" w:rsidR="008C10B0" w:rsidRDefault="008C10B0" w:rsidP="008C10B0">
      <w:pPr>
        <w:pStyle w:val="Texto"/>
        <w:spacing w:after="0" w:line="276" w:lineRule="auto"/>
        <w:rPr>
          <w:szCs w:val="18"/>
          <w:lang w:val="es-MX"/>
        </w:rPr>
      </w:pPr>
    </w:p>
    <w:p w14:paraId="477CBF61"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17C6C40F" w14:textId="77777777" w:rsidR="008C10B0" w:rsidRPr="0073056A" w:rsidRDefault="008C10B0" w:rsidP="008C10B0">
      <w:pPr>
        <w:pStyle w:val="INCISO"/>
        <w:tabs>
          <w:tab w:val="left" w:pos="284"/>
        </w:tabs>
        <w:spacing w:after="0" w:line="276" w:lineRule="auto"/>
        <w:ind w:left="284" w:firstLine="0"/>
        <w:rPr>
          <w:b/>
          <w:smallCaps/>
        </w:rPr>
      </w:pPr>
    </w:p>
    <w:p w14:paraId="3F5C226E" w14:textId="5B5824BE" w:rsidR="008C10B0" w:rsidRDefault="008C10B0" w:rsidP="008C10B0">
      <w:pPr>
        <w:tabs>
          <w:tab w:val="left" w:pos="284"/>
        </w:tabs>
        <w:ind w:left="284"/>
        <w:jc w:val="both"/>
        <w:rPr>
          <w:rFonts w:ascii="Arial" w:hAnsi="Arial" w:cs="Arial"/>
          <w:sz w:val="18"/>
          <w:szCs w:val="18"/>
        </w:rPr>
      </w:pPr>
      <w:r>
        <w:rPr>
          <w:rFonts w:ascii="Arial" w:hAnsi="Arial" w:cs="Arial"/>
          <w:sz w:val="18"/>
          <w:szCs w:val="18"/>
          <w:lang w:val="es-ES"/>
        </w:rPr>
        <w:t xml:space="preserve">Al </w:t>
      </w:r>
      <w:r w:rsidR="003661FF">
        <w:rPr>
          <w:rFonts w:ascii="Arial" w:hAnsi="Arial" w:cs="Arial"/>
          <w:sz w:val="18"/>
          <w:szCs w:val="18"/>
          <w:lang w:val="es-ES"/>
        </w:rPr>
        <w:t>cierre</w:t>
      </w:r>
      <w:r>
        <w:rPr>
          <w:rFonts w:ascii="Arial" w:hAnsi="Arial" w:cs="Arial"/>
          <w:sz w:val="18"/>
          <w:szCs w:val="18"/>
          <w:lang w:val="es-ES"/>
        </w:rPr>
        <w:t xml:space="preserve"> </w:t>
      </w:r>
      <w:r>
        <w:rPr>
          <w:rFonts w:ascii="Arial" w:hAnsi="Arial" w:cs="Arial"/>
          <w:sz w:val="18"/>
          <w:szCs w:val="18"/>
        </w:rPr>
        <w:t>del ejercicio 202</w:t>
      </w:r>
      <w:r w:rsidR="007058F3">
        <w:rPr>
          <w:rFonts w:ascii="Arial" w:hAnsi="Arial" w:cs="Arial"/>
          <w:sz w:val="18"/>
          <w:szCs w:val="18"/>
        </w:rPr>
        <w:t>5</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FE2BB3">
        <w:rPr>
          <w:rFonts w:ascii="Arial" w:hAnsi="Arial" w:cs="Arial"/>
          <w:sz w:val="18"/>
          <w:szCs w:val="18"/>
        </w:rPr>
        <w:t>32</w:t>
      </w:r>
      <w:r>
        <w:rPr>
          <w:rFonts w:ascii="Arial" w:hAnsi="Arial" w:cs="Arial"/>
          <w:sz w:val="18"/>
          <w:szCs w:val="18"/>
        </w:rPr>
        <w:t>,</w:t>
      </w:r>
      <w:r w:rsidR="00FE2BB3">
        <w:rPr>
          <w:rFonts w:ascii="Arial" w:hAnsi="Arial" w:cs="Arial"/>
          <w:sz w:val="18"/>
          <w:szCs w:val="18"/>
        </w:rPr>
        <w:t>259</w:t>
      </w:r>
      <w:r>
        <w:rPr>
          <w:rFonts w:ascii="Arial" w:hAnsi="Arial" w:cs="Arial"/>
          <w:sz w:val="18"/>
          <w:szCs w:val="18"/>
        </w:rPr>
        <w:t>,</w:t>
      </w:r>
      <w:r w:rsidR="00FE2BB3">
        <w:rPr>
          <w:rFonts w:ascii="Arial" w:hAnsi="Arial" w:cs="Arial"/>
          <w:sz w:val="18"/>
          <w:szCs w:val="18"/>
        </w:rPr>
        <w:t>725</w:t>
      </w:r>
      <w:r>
        <w:rPr>
          <w:rFonts w:ascii="Arial" w:hAnsi="Arial" w:cs="Arial"/>
          <w:sz w:val="18"/>
          <w:szCs w:val="18"/>
        </w:rPr>
        <w:t>,</w:t>
      </w:r>
      <w:r w:rsidR="00FE2BB3">
        <w:rPr>
          <w:rFonts w:ascii="Arial" w:hAnsi="Arial" w:cs="Arial"/>
          <w:sz w:val="18"/>
          <w:szCs w:val="18"/>
        </w:rPr>
        <w:t>048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FE2BB3">
        <w:rPr>
          <w:rFonts w:ascii="Arial" w:hAnsi="Arial" w:cs="Arial"/>
          <w:sz w:val="18"/>
          <w:szCs w:val="18"/>
        </w:rPr>
        <w:t>29</w:t>
      </w:r>
      <w:r>
        <w:rPr>
          <w:rFonts w:ascii="Arial" w:hAnsi="Arial" w:cs="Arial"/>
          <w:sz w:val="18"/>
          <w:szCs w:val="18"/>
        </w:rPr>
        <w:t>,</w:t>
      </w:r>
      <w:r w:rsidR="00FE2BB3">
        <w:rPr>
          <w:rFonts w:ascii="Arial" w:hAnsi="Arial" w:cs="Arial"/>
          <w:sz w:val="18"/>
          <w:szCs w:val="18"/>
        </w:rPr>
        <w:t>904</w:t>
      </w:r>
      <w:r>
        <w:rPr>
          <w:rFonts w:ascii="Arial" w:hAnsi="Arial" w:cs="Arial"/>
          <w:sz w:val="18"/>
          <w:szCs w:val="18"/>
        </w:rPr>
        <w:t>,</w:t>
      </w:r>
      <w:r w:rsidR="00FE2BB3">
        <w:rPr>
          <w:rFonts w:ascii="Arial" w:hAnsi="Arial" w:cs="Arial"/>
          <w:sz w:val="18"/>
          <w:szCs w:val="18"/>
        </w:rPr>
        <w:t>263</w:t>
      </w:r>
      <w:r>
        <w:rPr>
          <w:rFonts w:ascii="Arial" w:hAnsi="Arial" w:cs="Arial"/>
          <w:sz w:val="18"/>
          <w:szCs w:val="18"/>
        </w:rPr>
        <w:t>,</w:t>
      </w:r>
      <w:r w:rsidR="00FE2BB3">
        <w:rPr>
          <w:rFonts w:ascii="Arial" w:hAnsi="Arial" w:cs="Arial"/>
          <w:sz w:val="18"/>
          <w:szCs w:val="18"/>
        </w:rPr>
        <w:t>940</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FE2BB3">
        <w:rPr>
          <w:rFonts w:ascii="Arial" w:hAnsi="Arial" w:cs="Arial"/>
          <w:sz w:val="18"/>
          <w:szCs w:val="18"/>
        </w:rPr>
        <w:t>2</w:t>
      </w:r>
      <w:r>
        <w:rPr>
          <w:rFonts w:ascii="Arial" w:hAnsi="Arial" w:cs="Arial"/>
          <w:sz w:val="18"/>
          <w:szCs w:val="18"/>
        </w:rPr>
        <w:t>,</w:t>
      </w:r>
      <w:r w:rsidR="00FE2BB3">
        <w:rPr>
          <w:rFonts w:ascii="Arial" w:hAnsi="Arial" w:cs="Arial"/>
          <w:sz w:val="18"/>
          <w:szCs w:val="18"/>
        </w:rPr>
        <w:t>355</w:t>
      </w:r>
      <w:r>
        <w:rPr>
          <w:rFonts w:ascii="Arial" w:hAnsi="Arial" w:cs="Arial"/>
          <w:sz w:val="18"/>
          <w:szCs w:val="18"/>
        </w:rPr>
        <w:t>,</w:t>
      </w:r>
      <w:r w:rsidR="00FE2BB3">
        <w:rPr>
          <w:rFonts w:ascii="Arial" w:hAnsi="Arial" w:cs="Arial"/>
          <w:sz w:val="18"/>
          <w:szCs w:val="18"/>
        </w:rPr>
        <w:t>461</w:t>
      </w:r>
      <w:r>
        <w:rPr>
          <w:rFonts w:ascii="Arial" w:hAnsi="Arial" w:cs="Arial"/>
          <w:sz w:val="18"/>
          <w:szCs w:val="18"/>
        </w:rPr>
        <w:t>,</w:t>
      </w:r>
      <w:r w:rsidR="00FE2BB3">
        <w:rPr>
          <w:rFonts w:ascii="Arial" w:hAnsi="Arial" w:cs="Arial"/>
          <w:sz w:val="18"/>
          <w:szCs w:val="18"/>
        </w:rPr>
        <w:t>108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14:paraId="4CA1AB87" w14:textId="77777777" w:rsidR="008C10B0" w:rsidRPr="0073056A" w:rsidRDefault="008C10B0" w:rsidP="008C10B0">
      <w:pPr>
        <w:tabs>
          <w:tab w:val="left" w:pos="284"/>
        </w:tabs>
        <w:ind w:left="284"/>
        <w:jc w:val="both"/>
        <w:rPr>
          <w:b/>
        </w:rPr>
      </w:pPr>
      <w:r w:rsidRPr="0073056A">
        <w:rPr>
          <w:b/>
        </w:rPr>
        <w:t>Ingresos de Gestión</w:t>
      </w:r>
    </w:p>
    <w:p w14:paraId="713E448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7CD75A0F" w14:textId="47DFEB9B"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7058F3">
        <w:rPr>
          <w:rFonts w:ascii="Arial" w:hAnsi="Arial" w:cs="Arial"/>
          <w:sz w:val="18"/>
          <w:szCs w:val="18"/>
        </w:rPr>
        <w:t>marzo</w:t>
      </w:r>
      <w:r>
        <w:rPr>
          <w:rFonts w:ascii="Arial" w:hAnsi="Arial" w:cs="Arial"/>
          <w:sz w:val="18"/>
          <w:szCs w:val="18"/>
        </w:rPr>
        <w:t xml:space="preserve"> de 202</w:t>
      </w:r>
      <w:r w:rsidR="007058F3">
        <w:rPr>
          <w:rFonts w:ascii="Arial" w:hAnsi="Arial" w:cs="Arial"/>
          <w:sz w:val="18"/>
          <w:szCs w:val="18"/>
        </w:rPr>
        <w:t>5</w:t>
      </w:r>
      <w:r w:rsidRPr="0073056A">
        <w:rPr>
          <w:rFonts w:ascii="Arial" w:hAnsi="Arial" w:cs="Arial"/>
          <w:sz w:val="18"/>
          <w:szCs w:val="18"/>
        </w:rPr>
        <w:t xml:space="preserve"> se recaudó la cantidad de $</w:t>
      </w:r>
      <w:r w:rsidR="00766062">
        <w:rPr>
          <w:rFonts w:ascii="Arial" w:hAnsi="Arial" w:cs="Arial"/>
          <w:sz w:val="18"/>
          <w:szCs w:val="18"/>
        </w:rPr>
        <w:t>1,128,333,459</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766062">
        <w:rPr>
          <w:rFonts w:ascii="Arial" w:hAnsi="Arial" w:cs="Arial"/>
          <w:sz w:val="18"/>
          <w:szCs w:val="18"/>
        </w:rPr>
        <w:t>1,055,974,803</w:t>
      </w:r>
      <w:r>
        <w:rPr>
          <w:rFonts w:ascii="Arial" w:hAnsi="Arial" w:cs="Arial"/>
          <w:sz w:val="18"/>
          <w:szCs w:val="18"/>
        </w:rPr>
        <w:t>; sobre la Producción, el Consumo y las transacciones por un importe de $</w:t>
      </w:r>
      <w:r w:rsidR="00766062">
        <w:rPr>
          <w:rFonts w:ascii="Arial" w:hAnsi="Arial" w:cs="Arial"/>
          <w:sz w:val="18"/>
          <w:szCs w:val="18"/>
        </w:rPr>
        <w:t>36,832,360</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CE24E8">
        <w:rPr>
          <w:rFonts w:ascii="Arial" w:hAnsi="Arial" w:cs="Arial"/>
          <w:sz w:val="18"/>
          <w:szCs w:val="18"/>
        </w:rPr>
        <w:t>12,354,746</w:t>
      </w:r>
      <w:r>
        <w:rPr>
          <w:rFonts w:ascii="Arial" w:hAnsi="Arial" w:cs="Arial"/>
          <w:sz w:val="18"/>
          <w:szCs w:val="18"/>
        </w:rPr>
        <w:t xml:space="preserve">. </w:t>
      </w:r>
    </w:p>
    <w:p w14:paraId="6CA6F70B" w14:textId="77777777" w:rsidR="008C10B0" w:rsidRDefault="008C10B0" w:rsidP="008C10B0">
      <w:pPr>
        <w:tabs>
          <w:tab w:val="left" w:pos="284"/>
        </w:tabs>
        <w:spacing w:after="0"/>
        <w:ind w:left="284"/>
        <w:jc w:val="both"/>
        <w:rPr>
          <w:rFonts w:ascii="Arial" w:hAnsi="Arial" w:cs="Arial"/>
          <w:b/>
          <w:sz w:val="18"/>
          <w:szCs w:val="18"/>
        </w:rPr>
      </w:pPr>
    </w:p>
    <w:p w14:paraId="5C605C1A"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77BA3C11" w14:textId="785FB072"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w:t>
      </w:r>
      <w:r w:rsidR="00EF43E6">
        <w:rPr>
          <w:rFonts w:ascii="Arial" w:hAnsi="Arial" w:cs="Arial"/>
          <w:sz w:val="18"/>
          <w:szCs w:val="18"/>
        </w:rPr>
        <w:t>31 de diciembre</w:t>
      </w:r>
      <w:r>
        <w:rPr>
          <w:rFonts w:ascii="Arial" w:hAnsi="Arial" w:cs="Arial"/>
          <w:sz w:val="18"/>
          <w:szCs w:val="18"/>
        </w:rPr>
        <w:t xml:space="preserve"> es por</w:t>
      </w:r>
      <w:r w:rsidRPr="0073056A">
        <w:rPr>
          <w:rFonts w:ascii="Arial" w:hAnsi="Arial" w:cs="Arial"/>
          <w:sz w:val="18"/>
          <w:szCs w:val="18"/>
        </w:rPr>
        <w:t xml:space="preserve"> un monto de $</w:t>
      </w:r>
      <w:r w:rsidR="00EF43E6">
        <w:rPr>
          <w:rFonts w:ascii="Arial" w:hAnsi="Arial" w:cs="Arial"/>
          <w:sz w:val="18"/>
          <w:szCs w:val="18"/>
        </w:rPr>
        <w:t>708,280,459</w:t>
      </w:r>
      <w:r w:rsidRPr="0073056A">
        <w:rPr>
          <w:rFonts w:ascii="Arial" w:hAnsi="Arial" w:cs="Arial"/>
          <w:sz w:val="18"/>
          <w:szCs w:val="18"/>
        </w:rPr>
        <w:t>.</w:t>
      </w:r>
      <w:r>
        <w:rPr>
          <w:rFonts w:ascii="Arial" w:hAnsi="Arial" w:cs="Arial"/>
          <w:sz w:val="18"/>
          <w:szCs w:val="18"/>
        </w:rPr>
        <w:t xml:space="preserve"> Mostrando un </w:t>
      </w:r>
      <w:r w:rsidR="00EF43E6">
        <w:rPr>
          <w:rFonts w:ascii="Arial" w:hAnsi="Arial" w:cs="Arial"/>
          <w:sz w:val="18"/>
          <w:szCs w:val="18"/>
        </w:rPr>
        <w:t>incremento</w:t>
      </w:r>
      <w:r>
        <w:rPr>
          <w:rFonts w:ascii="Arial" w:hAnsi="Arial" w:cs="Arial"/>
          <w:sz w:val="18"/>
          <w:szCs w:val="18"/>
        </w:rPr>
        <w:t xml:space="preserve"> del </w:t>
      </w:r>
      <w:r w:rsidR="00EF43E6">
        <w:rPr>
          <w:rFonts w:ascii="Arial" w:hAnsi="Arial" w:cs="Arial"/>
          <w:sz w:val="18"/>
          <w:szCs w:val="18"/>
        </w:rPr>
        <w:t>3.8</w:t>
      </w:r>
      <w:r>
        <w:rPr>
          <w:rFonts w:ascii="Arial" w:hAnsi="Arial" w:cs="Arial"/>
          <w:sz w:val="18"/>
          <w:szCs w:val="18"/>
        </w:rPr>
        <w:t>% respecto al ejercicio de 202</w:t>
      </w:r>
      <w:r w:rsidR="00513508">
        <w:rPr>
          <w:rFonts w:ascii="Arial" w:hAnsi="Arial" w:cs="Arial"/>
          <w:sz w:val="18"/>
          <w:szCs w:val="18"/>
        </w:rPr>
        <w:t>4</w:t>
      </w:r>
      <w:r>
        <w:rPr>
          <w:rFonts w:ascii="Arial" w:hAnsi="Arial" w:cs="Arial"/>
          <w:sz w:val="18"/>
          <w:szCs w:val="18"/>
        </w:rPr>
        <w:t>.</w:t>
      </w:r>
    </w:p>
    <w:p w14:paraId="3E9F4439" w14:textId="77777777" w:rsidR="008C10B0" w:rsidRDefault="008C10B0" w:rsidP="008C10B0">
      <w:pPr>
        <w:tabs>
          <w:tab w:val="left" w:pos="284"/>
        </w:tabs>
        <w:spacing w:after="0"/>
        <w:ind w:left="284"/>
        <w:jc w:val="both"/>
        <w:rPr>
          <w:rFonts w:ascii="Arial" w:hAnsi="Arial" w:cs="Arial"/>
          <w:b/>
          <w:sz w:val="18"/>
          <w:szCs w:val="18"/>
        </w:rPr>
      </w:pPr>
    </w:p>
    <w:p w14:paraId="7F0915D8"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1A980931" w14:textId="7D292246"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w:t>
      </w:r>
      <w:r w:rsidR="00DB0C55">
        <w:rPr>
          <w:rFonts w:ascii="Arial" w:hAnsi="Arial" w:cs="Arial"/>
          <w:sz w:val="18"/>
          <w:szCs w:val="18"/>
        </w:rPr>
        <w:t>cierre del ejercicio</w:t>
      </w:r>
      <w:r>
        <w:rPr>
          <w:rFonts w:ascii="Arial" w:hAnsi="Arial" w:cs="Arial"/>
          <w:sz w:val="18"/>
          <w:szCs w:val="18"/>
        </w:rPr>
        <w:t xml:space="preserve"> es</w:t>
      </w:r>
      <w:r w:rsidRPr="0073056A">
        <w:rPr>
          <w:rFonts w:ascii="Arial" w:hAnsi="Arial" w:cs="Arial"/>
          <w:sz w:val="18"/>
          <w:szCs w:val="18"/>
        </w:rPr>
        <w:t xml:space="preserve"> de $</w:t>
      </w:r>
      <w:r w:rsidR="00DB0C55">
        <w:rPr>
          <w:rFonts w:ascii="Arial" w:hAnsi="Arial" w:cs="Arial"/>
          <w:sz w:val="18"/>
          <w:szCs w:val="18"/>
        </w:rPr>
        <w:t>334,897,942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Municipios, presentando un </w:t>
      </w:r>
      <w:r w:rsidR="00513508">
        <w:rPr>
          <w:rFonts w:ascii="Arial" w:hAnsi="Arial" w:cs="Arial"/>
          <w:sz w:val="18"/>
          <w:szCs w:val="18"/>
        </w:rPr>
        <w:t>de</w:t>
      </w:r>
      <w:r>
        <w:rPr>
          <w:rFonts w:ascii="Arial" w:hAnsi="Arial" w:cs="Arial"/>
          <w:sz w:val="18"/>
          <w:szCs w:val="18"/>
        </w:rPr>
        <w:t xml:space="preserve">cremento del </w:t>
      </w:r>
      <w:r w:rsidR="00DB0C55">
        <w:rPr>
          <w:rFonts w:ascii="Arial" w:hAnsi="Arial" w:cs="Arial"/>
          <w:sz w:val="18"/>
          <w:szCs w:val="18"/>
        </w:rPr>
        <w:t>18.5</w:t>
      </w:r>
      <w:r>
        <w:rPr>
          <w:rFonts w:ascii="Arial" w:hAnsi="Arial" w:cs="Arial"/>
          <w:sz w:val="18"/>
          <w:szCs w:val="18"/>
        </w:rPr>
        <w:t>% respecto del ejercicio 202</w:t>
      </w:r>
      <w:r w:rsidR="00513508">
        <w:rPr>
          <w:rFonts w:ascii="Arial" w:hAnsi="Arial" w:cs="Arial"/>
          <w:sz w:val="18"/>
          <w:szCs w:val="18"/>
        </w:rPr>
        <w:t>4</w:t>
      </w:r>
      <w:r>
        <w:rPr>
          <w:rFonts w:ascii="Arial" w:hAnsi="Arial" w:cs="Arial"/>
          <w:sz w:val="18"/>
          <w:szCs w:val="18"/>
        </w:rPr>
        <w:t>.</w:t>
      </w:r>
    </w:p>
    <w:p w14:paraId="55A54AE1" w14:textId="77777777" w:rsidR="008C10B0" w:rsidRDefault="008C10B0" w:rsidP="008C10B0">
      <w:pPr>
        <w:tabs>
          <w:tab w:val="left" w:pos="284"/>
        </w:tabs>
        <w:spacing w:after="0"/>
        <w:ind w:left="284"/>
        <w:jc w:val="both"/>
        <w:rPr>
          <w:rFonts w:ascii="Arial" w:hAnsi="Arial" w:cs="Arial"/>
          <w:b/>
          <w:sz w:val="18"/>
          <w:szCs w:val="18"/>
        </w:rPr>
      </w:pPr>
    </w:p>
    <w:p w14:paraId="41368EC7"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6510377E" w14:textId="5272411B" w:rsidR="008C10B0" w:rsidRPr="0073056A"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154B5">
        <w:rPr>
          <w:rFonts w:ascii="Arial" w:hAnsi="Arial" w:cs="Arial"/>
          <w:sz w:val="18"/>
          <w:szCs w:val="18"/>
        </w:rPr>
        <w:t>diciembre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202</w:t>
      </w:r>
      <w:r w:rsidR="00513508">
        <w:rPr>
          <w:rFonts w:ascii="Arial" w:hAnsi="Arial" w:cs="Arial"/>
          <w:sz w:val="18"/>
          <w:szCs w:val="18"/>
        </w:rPr>
        <w:t>5</w:t>
      </w:r>
      <w:r w:rsidRPr="0073056A">
        <w:rPr>
          <w:rFonts w:ascii="Arial" w:hAnsi="Arial" w:cs="Arial"/>
          <w:sz w:val="18"/>
          <w:szCs w:val="18"/>
        </w:rPr>
        <w:t>, el Estado obtuvo ingresos por concepto de Aprovechamientos por un monto de $</w:t>
      </w:r>
      <w:r w:rsidR="006154B5">
        <w:rPr>
          <w:rFonts w:ascii="Arial" w:hAnsi="Arial" w:cs="Arial"/>
          <w:sz w:val="18"/>
          <w:szCs w:val="18"/>
        </w:rPr>
        <w:t>1,562,883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Pr>
          <w:rFonts w:ascii="Arial" w:hAnsi="Arial" w:cs="Arial"/>
          <w:sz w:val="18"/>
          <w:szCs w:val="18"/>
        </w:rPr>
        <w:t xml:space="preserve"> Representando un </w:t>
      </w:r>
      <w:r w:rsidR="00513508">
        <w:rPr>
          <w:rFonts w:ascii="Arial" w:hAnsi="Arial" w:cs="Arial"/>
          <w:sz w:val="18"/>
          <w:szCs w:val="18"/>
        </w:rPr>
        <w:t xml:space="preserve">significativo </w:t>
      </w:r>
      <w:r>
        <w:rPr>
          <w:rFonts w:ascii="Arial" w:hAnsi="Arial" w:cs="Arial"/>
          <w:sz w:val="18"/>
          <w:szCs w:val="18"/>
        </w:rPr>
        <w:t>decremento en relación al ejercicio de 202</w:t>
      </w:r>
      <w:r w:rsidR="00513508">
        <w:rPr>
          <w:rFonts w:ascii="Arial" w:hAnsi="Arial" w:cs="Arial"/>
          <w:sz w:val="18"/>
          <w:szCs w:val="18"/>
        </w:rPr>
        <w:t>4</w:t>
      </w:r>
      <w:r>
        <w:rPr>
          <w:rFonts w:ascii="Arial" w:hAnsi="Arial" w:cs="Arial"/>
          <w:sz w:val="18"/>
          <w:szCs w:val="18"/>
        </w:rPr>
        <w:t>.</w:t>
      </w:r>
    </w:p>
    <w:p w14:paraId="3A2DB663" w14:textId="77777777" w:rsidR="008C10B0" w:rsidRPr="00E442EC" w:rsidRDefault="008C10B0" w:rsidP="008C10B0">
      <w:pPr>
        <w:tabs>
          <w:tab w:val="left" w:pos="284"/>
        </w:tabs>
        <w:spacing w:after="0"/>
        <w:ind w:left="284"/>
        <w:jc w:val="both"/>
        <w:rPr>
          <w:rFonts w:ascii="Arial" w:hAnsi="Arial" w:cs="Arial"/>
          <w:b/>
          <w:sz w:val="18"/>
          <w:szCs w:val="18"/>
        </w:rPr>
      </w:pPr>
    </w:p>
    <w:p w14:paraId="06BAD719" w14:textId="77777777" w:rsidR="008C10B0" w:rsidRPr="004C1616" w:rsidRDefault="008C10B0" w:rsidP="008C10B0">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48DA9979" w14:textId="5A6DA7EC" w:rsidR="008C10B0" w:rsidRDefault="008C10B0" w:rsidP="008C10B0">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6154B5">
        <w:rPr>
          <w:rFonts w:ascii="Arial" w:hAnsi="Arial" w:cs="Arial"/>
          <w:sz w:val="18"/>
          <w:szCs w:val="18"/>
        </w:rPr>
        <w:t>137,793,500</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 xml:space="preserve">servicios otorgados por los mismos, principalmente en materia de salud y educación, observándose un </w:t>
      </w:r>
      <w:r w:rsidR="006154B5">
        <w:rPr>
          <w:rFonts w:ascii="Arial" w:hAnsi="Arial" w:cs="Arial"/>
          <w:sz w:val="18"/>
          <w:szCs w:val="18"/>
        </w:rPr>
        <w:t>incremento</w:t>
      </w:r>
      <w:r>
        <w:rPr>
          <w:rFonts w:ascii="Arial" w:hAnsi="Arial" w:cs="Arial"/>
          <w:sz w:val="18"/>
          <w:szCs w:val="18"/>
        </w:rPr>
        <w:t xml:space="preserve"> del </w:t>
      </w:r>
      <w:r w:rsidR="006154B5">
        <w:rPr>
          <w:rFonts w:ascii="Arial" w:hAnsi="Arial" w:cs="Arial"/>
          <w:sz w:val="18"/>
          <w:szCs w:val="18"/>
        </w:rPr>
        <w:t>1</w:t>
      </w:r>
      <w:r>
        <w:rPr>
          <w:rFonts w:ascii="Arial" w:hAnsi="Arial" w:cs="Arial"/>
          <w:sz w:val="18"/>
          <w:szCs w:val="18"/>
        </w:rPr>
        <w:t>% en este rubro, respecto del ejercicio 202</w:t>
      </w:r>
      <w:r w:rsidR="00513508">
        <w:rPr>
          <w:rFonts w:ascii="Arial" w:hAnsi="Arial" w:cs="Arial"/>
          <w:sz w:val="18"/>
          <w:szCs w:val="18"/>
        </w:rPr>
        <w:t>4</w:t>
      </w:r>
      <w:r>
        <w:rPr>
          <w:rFonts w:ascii="Arial" w:hAnsi="Arial" w:cs="Arial"/>
          <w:sz w:val="18"/>
          <w:szCs w:val="18"/>
        </w:rPr>
        <w:t>.</w:t>
      </w:r>
    </w:p>
    <w:p w14:paraId="053E8410" w14:textId="77777777" w:rsidR="008C10B0" w:rsidRPr="0073056A" w:rsidRDefault="008C10B0" w:rsidP="008C10B0">
      <w:pPr>
        <w:tabs>
          <w:tab w:val="left" w:pos="284"/>
        </w:tabs>
        <w:spacing w:after="0"/>
        <w:ind w:left="284"/>
        <w:jc w:val="both"/>
        <w:rPr>
          <w:rFonts w:ascii="Arial" w:hAnsi="Arial" w:cs="Arial"/>
          <w:sz w:val="18"/>
          <w:szCs w:val="18"/>
        </w:rPr>
      </w:pPr>
    </w:p>
    <w:p w14:paraId="4A5D09C4" w14:textId="77777777" w:rsidR="008C10B0" w:rsidRPr="0073056A" w:rsidRDefault="008C10B0" w:rsidP="008C10B0">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6E4C87A1" w14:textId="2C430C6B" w:rsidR="008C10B0" w:rsidRPr="009C379E" w:rsidRDefault="008C10B0" w:rsidP="008C10B0">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11087">
        <w:rPr>
          <w:rFonts w:ascii="Arial" w:hAnsi="Arial" w:cs="Arial"/>
          <w:sz w:val="18"/>
          <w:szCs w:val="18"/>
        </w:rPr>
        <w:t>29,948,856,804</w:t>
      </w:r>
      <w:r>
        <w:rPr>
          <w:rFonts w:ascii="Arial" w:hAnsi="Arial" w:cs="Arial"/>
          <w:sz w:val="18"/>
          <w:szCs w:val="18"/>
        </w:rPr>
        <w:t xml:space="preserve"> al mes de </w:t>
      </w:r>
      <w:r w:rsidR="00B11087">
        <w:rPr>
          <w:rFonts w:ascii="Arial" w:hAnsi="Arial" w:cs="Arial"/>
          <w:sz w:val="18"/>
          <w:szCs w:val="18"/>
        </w:rPr>
        <w:t>diciembre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202</w:t>
      </w:r>
      <w:r w:rsidR="009B7AB2">
        <w:rPr>
          <w:rFonts w:ascii="Arial" w:hAnsi="Arial" w:cs="Arial"/>
          <w:sz w:val="18"/>
          <w:szCs w:val="18"/>
        </w:rPr>
        <w:t>5</w:t>
      </w:r>
      <w:r>
        <w:rPr>
          <w:rFonts w:ascii="Arial" w:hAnsi="Arial" w:cs="Arial"/>
          <w:sz w:val="18"/>
          <w:szCs w:val="18"/>
        </w:rPr>
        <w:t>, incluyendo los intereses y rendimientos generados por los fondos de aportación federal</w:t>
      </w:r>
      <w:r w:rsidRPr="009C379E">
        <w:rPr>
          <w:rFonts w:ascii="Arial" w:hAnsi="Arial" w:cs="Arial"/>
          <w:sz w:val="18"/>
          <w:szCs w:val="18"/>
        </w:rPr>
        <w:t>.</w:t>
      </w:r>
      <w:r>
        <w:rPr>
          <w:rFonts w:ascii="Arial" w:hAnsi="Arial" w:cs="Arial"/>
          <w:sz w:val="18"/>
          <w:szCs w:val="18"/>
        </w:rPr>
        <w:t xml:space="preserve"> Este rubro, respecto al ejercicio de 202</w:t>
      </w:r>
      <w:r w:rsidR="009B7AB2">
        <w:rPr>
          <w:rFonts w:ascii="Arial" w:hAnsi="Arial" w:cs="Arial"/>
          <w:sz w:val="18"/>
          <w:szCs w:val="18"/>
        </w:rPr>
        <w:t>4</w:t>
      </w:r>
      <w:r>
        <w:rPr>
          <w:rFonts w:ascii="Arial" w:hAnsi="Arial" w:cs="Arial"/>
          <w:sz w:val="18"/>
          <w:szCs w:val="18"/>
        </w:rPr>
        <w:t xml:space="preserve">, presenta un </w:t>
      </w:r>
      <w:r w:rsidR="00B11087">
        <w:rPr>
          <w:rFonts w:ascii="Arial" w:hAnsi="Arial" w:cs="Arial"/>
          <w:sz w:val="18"/>
          <w:szCs w:val="18"/>
        </w:rPr>
        <w:t>incremento</w:t>
      </w:r>
      <w:r>
        <w:rPr>
          <w:rFonts w:ascii="Arial" w:hAnsi="Arial" w:cs="Arial"/>
          <w:sz w:val="18"/>
          <w:szCs w:val="18"/>
        </w:rPr>
        <w:t xml:space="preserve"> del </w:t>
      </w:r>
      <w:r w:rsidR="009B7AB2">
        <w:rPr>
          <w:rFonts w:ascii="Arial" w:hAnsi="Arial" w:cs="Arial"/>
          <w:sz w:val="18"/>
          <w:szCs w:val="18"/>
        </w:rPr>
        <w:t>6</w:t>
      </w:r>
      <w:r>
        <w:rPr>
          <w:rFonts w:ascii="Arial" w:hAnsi="Arial" w:cs="Arial"/>
          <w:sz w:val="18"/>
          <w:szCs w:val="18"/>
        </w:rPr>
        <w:t>%.</w:t>
      </w:r>
    </w:p>
    <w:p w14:paraId="08FC2D1E" w14:textId="77777777" w:rsidR="008C10B0" w:rsidRDefault="008C10B0" w:rsidP="008C10B0">
      <w:pPr>
        <w:tabs>
          <w:tab w:val="left" w:pos="284"/>
        </w:tabs>
        <w:spacing w:after="0"/>
        <w:ind w:left="284"/>
        <w:jc w:val="both"/>
        <w:rPr>
          <w:rFonts w:ascii="Arial" w:hAnsi="Arial" w:cs="Arial"/>
          <w:sz w:val="18"/>
          <w:szCs w:val="18"/>
        </w:rPr>
      </w:pPr>
    </w:p>
    <w:p w14:paraId="39C103E9" w14:textId="77777777" w:rsidR="00B11087" w:rsidRDefault="00B11087" w:rsidP="008C10B0">
      <w:pPr>
        <w:tabs>
          <w:tab w:val="left" w:pos="284"/>
        </w:tabs>
        <w:spacing w:after="0"/>
        <w:ind w:left="284"/>
        <w:jc w:val="both"/>
        <w:rPr>
          <w:rFonts w:ascii="Arial" w:hAnsi="Arial" w:cs="Arial"/>
          <w:sz w:val="18"/>
          <w:szCs w:val="18"/>
        </w:rPr>
      </w:pPr>
    </w:p>
    <w:p w14:paraId="24433907" w14:textId="77777777" w:rsidR="00B11087" w:rsidRPr="0073056A" w:rsidRDefault="00B11087" w:rsidP="008C10B0">
      <w:pPr>
        <w:tabs>
          <w:tab w:val="left" w:pos="284"/>
        </w:tabs>
        <w:spacing w:after="0"/>
        <w:ind w:left="284"/>
        <w:jc w:val="both"/>
        <w:rPr>
          <w:rFonts w:ascii="Arial" w:hAnsi="Arial" w:cs="Arial"/>
          <w:sz w:val="18"/>
          <w:szCs w:val="18"/>
        </w:rPr>
      </w:pPr>
    </w:p>
    <w:p w14:paraId="4D5B94AA" w14:textId="77777777" w:rsidR="008C10B0" w:rsidRDefault="008C10B0" w:rsidP="008C10B0">
      <w:pPr>
        <w:tabs>
          <w:tab w:val="left" w:pos="284"/>
        </w:tabs>
        <w:spacing w:after="0"/>
        <w:ind w:left="284"/>
        <w:jc w:val="both"/>
        <w:rPr>
          <w:rFonts w:ascii="Arial" w:hAnsi="Arial" w:cs="Arial"/>
          <w:b/>
          <w:sz w:val="18"/>
          <w:szCs w:val="18"/>
        </w:rPr>
      </w:pPr>
    </w:p>
    <w:p w14:paraId="0C00F8D8" w14:textId="77777777" w:rsidR="009C5253" w:rsidRDefault="009C5253" w:rsidP="008C10B0">
      <w:pPr>
        <w:tabs>
          <w:tab w:val="left" w:pos="284"/>
        </w:tabs>
        <w:spacing w:after="0"/>
        <w:ind w:left="284"/>
        <w:jc w:val="both"/>
        <w:rPr>
          <w:rFonts w:ascii="Arial" w:hAnsi="Arial" w:cs="Arial"/>
          <w:b/>
          <w:sz w:val="18"/>
          <w:szCs w:val="18"/>
        </w:rPr>
      </w:pPr>
    </w:p>
    <w:p w14:paraId="1C572C45" w14:textId="77777777" w:rsidR="009C5253" w:rsidRDefault="009C5253" w:rsidP="008C10B0">
      <w:pPr>
        <w:tabs>
          <w:tab w:val="left" w:pos="284"/>
        </w:tabs>
        <w:spacing w:after="0"/>
        <w:ind w:left="284"/>
        <w:jc w:val="both"/>
        <w:rPr>
          <w:rFonts w:ascii="Arial" w:hAnsi="Arial" w:cs="Arial"/>
          <w:b/>
          <w:sz w:val="18"/>
          <w:szCs w:val="18"/>
        </w:rPr>
      </w:pPr>
    </w:p>
    <w:p w14:paraId="4D632383" w14:textId="77777777" w:rsidR="008C10B0"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6F5625B0" w14:textId="6EF10EB3"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e incentivos económicos asciende a un monto de $</w:t>
      </w:r>
      <w:r w:rsidR="00C20A63">
        <w:rPr>
          <w:rFonts w:ascii="Arial" w:hAnsi="Arial" w:cs="Arial"/>
          <w:sz w:val="18"/>
          <w:szCs w:val="18"/>
        </w:rPr>
        <w:t>13,310,301,008</w:t>
      </w:r>
      <w:r>
        <w:rPr>
          <w:rFonts w:ascii="Arial" w:hAnsi="Arial" w:cs="Arial"/>
          <w:sz w:val="18"/>
          <w:szCs w:val="18"/>
        </w:rPr>
        <w:t>, siendo el rubro más importante el Fondo General de Participaciones ya que representa el 7</w:t>
      </w:r>
      <w:r w:rsidR="00C20A63">
        <w:rPr>
          <w:rFonts w:ascii="Arial" w:hAnsi="Arial" w:cs="Arial"/>
          <w:sz w:val="18"/>
          <w:szCs w:val="18"/>
        </w:rPr>
        <w:t>6</w:t>
      </w:r>
      <w:r>
        <w:rPr>
          <w:rFonts w:ascii="Arial" w:hAnsi="Arial" w:cs="Arial"/>
          <w:sz w:val="18"/>
          <w:szCs w:val="18"/>
        </w:rPr>
        <w:t>%, del total de ingresos.</w:t>
      </w:r>
    </w:p>
    <w:p w14:paraId="56F0CD9E" w14:textId="77777777" w:rsidR="008C10B0" w:rsidRDefault="008C10B0" w:rsidP="008C10B0">
      <w:pPr>
        <w:tabs>
          <w:tab w:val="left" w:pos="284"/>
        </w:tabs>
        <w:spacing w:after="0"/>
        <w:ind w:left="284"/>
        <w:jc w:val="both"/>
        <w:rPr>
          <w:rFonts w:ascii="Arial" w:hAnsi="Arial" w:cs="Arial"/>
          <w:b/>
          <w:sz w:val="18"/>
          <w:szCs w:val="18"/>
        </w:rPr>
      </w:pPr>
    </w:p>
    <w:p w14:paraId="6F0D09D3" w14:textId="77777777" w:rsidR="008C10B0" w:rsidRPr="0040746E" w:rsidRDefault="008C10B0" w:rsidP="008C10B0">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14:paraId="623EE547" w14:textId="54A44D88"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C20A63">
        <w:rPr>
          <w:rFonts w:ascii="Arial" w:hAnsi="Arial" w:cs="Arial"/>
          <w:sz w:val="18"/>
          <w:szCs w:val="18"/>
        </w:rPr>
        <w:t>diciembre</w:t>
      </w:r>
      <w:r>
        <w:rPr>
          <w:rFonts w:ascii="Arial" w:hAnsi="Arial" w:cs="Arial"/>
          <w:sz w:val="18"/>
          <w:szCs w:val="18"/>
        </w:rPr>
        <w:t xml:space="preserve"> de 202</w:t>
      </w:r>
      <w:r w:rsidR="009B7AB2">
        <w:rPr>
          <w:rFonts w:ascii="Arial" w:hAnsi="Arial" w:cs="Arial"/>
          <w:sz w:val="18"/>
          <w:szCs w:val="18"/>
        </w:rPr>
        <w:t>5</w:t>
      </w:r>
      <w:r>
        <w:rPr>
          <w:rFonts w:ascii="Arial" w:hAnsi="Arial" w:cs="Arial"/>
          <w:sz w:val="18"/>
          <w:szCs w:val="18"/>
        </w:rPr>
        <w:t xml:space="preserve"> sin incluir intereses reflejan los siguientes saldos:</w:t>
      </w:r>
    </w:p>
    <w:p w14:paraId="21EEB7ED" w14:textId="77777777" w:rsidR="008C10B0" w:rsidRDefault="008C10B0" w:rsidP="008C10B0">
      <w:pPr>
        <w:tabs>
          <w:tab w:val="left" w:pos="284"/>
        </w:tabs>
        <w:spacing w:after="0"/>
        <w:ind w:left="284"/>
        <w:jc w:val="both"/>
        <w:rPr>
          <w:rFonts w:ascii="Arial" w:hAnsi="Arial" w:cs="Arial"/>
          <w:sz w:val="18"/>
          <w:szCs w:val="18"/>
        </w:rPr>
      </w:pPr>
    </w:p>
    <w:tbl>
      <w:tblPr>
        <w:tblW w:w="9050" w:type="dxa"/>
        <w:jc w:val="center"/>
        <w:tblCellMar>
          <w:left w:w="70" w:type="dxa"/>
          <w:right w:w="70" w:type="dxa"/>
        </w:tblCellMar>
        <w:tblLook w:val="04A0" w:firstRow="1" w:lastRow="0" w:firstColumn="1" w:lastColumn="0" w:noHBand="0" w:noVBand="1"/>
      </w:tblPr>
      <w:tblGrid>
        <w:gridCol w:w="6102"/>
        <w:gridCol w:w="1577"/>
        <w:gridCol w:w="1371"/>
      </w:tblGrid>
      <w:tr w:rsidR="008C10B0" w:rsidRPr="000534C6" w14:paraId="679C60B6" w14:textId="77777777" w:rsidTr="000534C6">
        <w:trPr>
          <w:trHeight w:val="307"/>
          <w:jc w:val="center"/>
        </w:trPr>
        <w:tc>
          <w:tcPr>
            <w:tcW w:w="6102" w:type="dxa"/>
            <w:tcBorders>
              <w:top w:val="single" w:sz="8" w:space="0" w:color="auto"/>
              <w:left w:val="single" w:sz="8" w:space="0" w:color="auto"/>
              <w:bottom w:val="single" w:sz="8" w:space="0" w:color="auto"/>
              <w:right w:val="single" w:sz="8" w:space="0" w:color="auto"/>
            </w:tcBorders>
            <w:noWrap/>
            <w:vAlign w:val="center"/>
            <w:hideMark/>
          </w:tcPr>
          <w:p w14:paraId="5E12BE7C"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CONCEPTO</w:t>
            </w:r>
          </w:p>
        </w:tc>
        <w:tc>
          <w:tcPr>
            <w:tcW w:w="1577" w:type="dxa"/>
            <w:tcBorders>
              <w:top w:val="single" w:sz="8" w:space="0" w:color="auto"/>
              <w:left w:val="nil"/>
              <w:bottom w:val="single" w:sz="8" w:space="0" w:color="auto"/>
              <w:right w:val="single" w:sz="8" w:space="0" w:color="auto"/>
            </w:tcBorders>
            <w:noWrap/>
            <w:vAlign w:val="center"/>
            <w:hideMark/>
          </w:tcPr>
          <w:p w14:paraId="10228E84"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noWrap/>
            <w:vAlign w:val="center"/>
            <w:hideMark/>
          </w:tcPr>
          <w:p w14:paraId="18C20DE9"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PORCENTAJE</w:t>
            </w:r>
          </w:p>
        </w:tc>
      </w:tr>
      <w:tr w:rsidR="000534C6" w:rsidRPr="000534C6" w14:paraId="49D3771C"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537016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DE APORTACIONES PARA LA NOMINA EDUCATIVA</w:t>
            </w:r>
          </w:p>
        </w:tc>
        <w:tc>
          <w:tcPr>
            <w:tcW w:w="1577" w:type="dxa"/>
            <w:tcBorders>
              <w:top w:val="nil"/>
              <w:left w:val="nil"/>
              <w:bottom w:val="single" w:sz="8" w:space="0" w:color="auto"/>
              <w:right w:val="single" w:sz="8" w:space="0" w:color="auto"/>
            </w:tcBorders>
            <w:noWrap/>
            <w:vAlign w:val="center"/>
          </w:tcPr>
          <w:p w14:paraId="5A3CC938" w14:textId="65D8C084"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C20A63">
              <w:rPr>
                <w:rFonts w:ascii="Arial" w:hAnsi="Arial" w:cs="Arial"/>
                <w:color w:val="000000"/>
                <w:sz w:val="18"/>
                <w:szCs w:val="18"/>
              </w:rPr>
              <w:t>7,650,092,558</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6900413C" w14:textId="0F5B5024" w:rsidR="000534C6" w:rsidRPr="000534C6" w:rsidRDefault="00C20A63" w:rsidP="000534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w:t>
            </w:r>
          </w:p>
        </w:tc>
      </w:tr>
      <w:tr w:rsidR="000534C6" w:rsidRPr="000534C6" w14:paraId="027FDFF4"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508D3E9E"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LOS SERVICIOS DE SALUD</w:t>
            </w:r>
          </w:p>
        </w:tc>
        <w:tc>
          <w:tcPr>
            <w:tcW w:w="1577" w:type="dxa"/>
            <w:tcBorders>
              <w:top w:val="nil"/>
              <w:left w:val="nil"/>
              <w:bottom w:val="single" w:sz="8" w:space="0" w:color="auto"/>
              <w:right w:val="single" w:sz="8" w:space="0" w:color="auto"/>
            </w:tcBorders>
            <w:noWrap/>
            <w:vAlign w:val="center"/>
          </w:tcPr>
          <w:p w14:paraId="55A81E3F" w14:textId="16F7515B" w:rsidR="000534C6" w:rsidRPr="000534C6" w:rsidRDefault="00C20A63" w:rsidP="000534C6">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1,372,050,924</w:t>
            </w:r>
          </w:p>
        </w:tc>
        <w:tc>
          <w:tcPr>
            <w:tcW w:w="1371" w:type="dxa"/>
            <w:tcBorders>
              <w:top w:val="nil"/>
              <w:left w:val="nil"/>
              <w:bottom w:val="single" w:sz="8" w:space="0" w:color="auto"/>
              <w:right w:val="single" w:sz="8" w:space="0" w:color="auto"/>
            </w:tcBorders>
            <w:noWrap/>
            <w:vAlign w:val="center"/>
          </w:tcPr>
          <w:p w14:paraId="2D9D317A" w14:textId="58DC4564" w:rsidR="000534C6" w:rsidRPr="000534C6" w:rsidRDefault="000534C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r w:rsidR="00C20A63">
              <w:rPr>
                <w:rFonts w:ascii="Arial" w:hAnsi="Arial" w:cs="Arial"/>
                <w:color w:val="000000"/>
                <w:sz w:val="18"/>
                <w:szCs w:val="18"/>
              </w:rPr>
              <w:t>0</w:t>
            </w:r>
          </w:p>
        </w:tc>
      </w:tr>
      <w:tr w:rsidR="000534C6" w:rsidRPr="000534C6" w14:paraId="378A9E6F"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7EBF43D1" w14:textId="2A53E745"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FAIS FONDO DE APORTACIONES PARA LA INFRAESTRUCTURA SOCIAL</w:t>
            </w:r>
          </w:p>
        </w:tc>
        <w:tc>
          <w:tcPr>
            <w:tcW w:w="1577" w:type="dxa"/>
            <w:tcBorders>
              <w:top w:val="nil"/>
              <w:left w:val="nil"/>
              <w:bottom w:val="single" w:sz="8" w:space="0" w:color="auto"/>
              <w:right w:val="single" w:sz="8" w:space="0" w:color="auto"/>
            </w:tcBorders>
            <w:noWrap/>
            <w:vAlign w:val="center"/>
          </w:tcPr>
          <w:p w14:paraId="0A99A144" w14:textId="790918A6"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D11C96">
              <w:rPr>
                <w:rFonts w:ascii="Arial" w:hAnsi="Arial" w:cs="Arial"/>
                <w:color w:val="000000"/>
                <w:sz w:val="18"/>
                <w:szCs w:val="18"/>
              </w:rPr>
              <w:t>1,314,276,592</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42CC6D51" w14:textId="3C077B88" w:rsidR="000534C6" w:rsidRPr="000534C6" w:rsidRDefault="00D11C9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w:t>
            </w:r>
          </w:p>
        </w:tc>
      </w:tr>
      <w:tr w:rsidR="000534C6" w:rsidRPr="000534C6" w14:paraId="242E7D28"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8C57EC2"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FORTAMUN</w:t>
            </w:r>
          </w:p>
        </w:tc>
        <w:tc>
          <w:tcPr>
            <w:tcW w:w="1577" w:type="dxa"/>
            <w:tcBorders>
              <w:top w:val="nil"/>
              <w:left w:val="nil"/>
              <w:bottom w:val="single" w:sz="8" w:space="0" w:color="auto"/>
              <w:right w:val="single" w:sz="8" w:space="0" w:color="auto"/>
            </w:tcBorders>
            <w:noWrap/>
            <w:vAlign w:val="center"/>
          </w:tcPr>
          <w:p w14:paraId="5B9CC5B8" w14:textId="2B9B1564"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D11C96">
              <w:rPr>
                <w:rFonts w:ascii="Arial" w:hAnsi="Arial" w:cs="Arial"/>
                <w:color w:val="000000"/>
                <w:sz w:val="18"/>
                <w:szCs w:val="18"/>
              </w:rPr>
              <w:t>1,391,999,694</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285A1D9B" w14:textId="73623D57" w:rsidR="000534C6" w:rsidRPr="000534C6" w:rsidRDefault="00D11C9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10</w:t>
            </w:r>
          </w:p>
        </w:tc>
      </w:tr>
      <w:tr w:rsidR="000534C6" w:rsidRPr="000534C6" w14:paraId="2515AA29"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268423B3" w14:textId="1A16B074"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 xml:space="preserve">FAETA </w:t>
            </w:r>
          </w:p>
        </w:tc>
        <w:tc>
          <w:tcPr>
            <w:tcW w:w="1577" w:type="dxa"/>
            <w:tcBorders>
              <w:top w:val="nil"/>
              <w:left w:val="nil"/>
              <w:bottom w:val="single" w:sz="8" w:space="0" w:color="auto"/>
              <w:right w:val="single" w:sz="8" w:space="0" w:color="auto"/>
            </w:tcBorders>
            <w:noWrap/>
            <w:vAlign w:val="center"/>
          </w:tcPr>
          <w:p w14:paraId="365A5E66" w14:textId="3BF24AB1"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D11C96">
              <w:rPr>
                <w:rFonts w:ascii="Arial" w:hAnsi="Arial" w:cs="Arial"/>
                <w:color w:val="000000"/>
                <w:sz w:val="18"/>
                <w:szCs w:val="18"/>
              </w:rPr>
              <w:t>132,859,482</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43E436C3" w14:textId="78BD6DE7" w:rsidR="000534C6" w:rsidRPr="000534C6" w:rsidRDefault="00D11C9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1</w:t>
            </w:r>
          </w:p>
        </w:tc>
      </w:tr>
      <w:tr w:rsidR="000534C6" w:rsidRPr="000534C6" w14:paraId="1D365DA7"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B2DC022" w14:textId="74A3B53F"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LA SEGURIDAD PUBLICA</w:t>
            </w:r>
          </w:p>
        </w:tc>
        <w:tc>
          <w:tcPr>
            <w:tcW w:w="1577" w:type="dxa"/>
            <w:tcBorders>
              <w:top w:val="nil"/>
              <w:left w:val="nil"/>
              <w:bottom w:val="single" w:sz="8" w:space="0" w:color="auto"/>
              <w:right w:val="single" w:sz="8" w:space="0" w:color="auto"/>
            </w:tcBorders>
            <w:noWrap/>
            <w:vAlign w:val="center"/>
          </w:tcPr>
          <w:p w14:paraId="3530BF01" w14:textId="6D6283EB" w:rsidR="000534C6" w:rsidRPr="000534C6" w:rsidRDefault="000534C6" w:rsidP="000534C6">
            <w:pPr>
              <w:spacing w:after="0" w:line="240" w:lineRule="auto"/>
              <w:jc w:val="right"/>
              <w:rPr>
                <w:rFonts w:ascii="Arial" w:eastAsia="Times New Roman" w:hAnsi="Arial" w:cs="Arial"/>
                <w:color w:val="000000"/>
                <w:sz w:val="18"/>
                <w:szCs w:val="18"/>
                <w:lang w:eastAsia="es-MX"/>
              </w:rPr>
            </w:pPr>
            <w:r w:rsidRPr="000534C6">
              <w:rPr>
                <w:rFonts w:ascii="Arial" w:hAnsi="Arial" w:cs="Arial"/>
                <w:color w:val="000000"/>
                <w:sz w:val="18"/>
                <w:szCs w:val="18"/>
              </w:rPr>
              <w:t xml:space="preserve">                </w:t>
            </w:r>
            <w:r w:rsidR="00D11C96">
              <w:rPr>
                <w:rFonts w:ascii="Arial" w:hAnsi="Arial" w:cs="Arial"/>
                <w:color w:val="000000"/>
                <w:sz w:val="18"/>
                <w:szCs w:val="18"/>
              </w:rPr>
              <w:t>210,256,862</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2A1C5D5C" w14:textId="7DB870F5" w:rsidR="000534C6" w:rsidRPr="000534C6" w:rsidRDefault="00D11C9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2</w:t>
            </w:r>
          </w:p>
        </w:tc>
      </w:tr>
      <w:tr w:rsidR="000534C6" w:rsidRPr="000534C6" w14:paraId="6A2557FB"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52E46C46" w14:textId="737BFFEB"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FAM</w:t>
            </w:r>
          </w:p>
        </w:tc>
        <w:tc>
          <w:tcPr>
            <w:tcW w:w="1577" w:type="dxa"/>
            <w:tcBorders>
              <w:top w:val="nil"/>
              <w:left w:val="nil"/>
              <w:bottom w:val="single" w:sz="8" w:space="0" w:color="auto"/>
              <w:right w:val="single" w:sz="8" w:space="0" w:color="auto"/>
            </w:tcBorders>
            <w:noWrap/>
            <w:vAlign w:val="center"/>
          </w:tcPr>
          <w:p w14:paraId="201AACAC" w14:textId="0CE6C013" w:rsidR="00D11C96" w:rsidRPr="00D11C96" w:rsidRDefault="000534C6" w:rsidP="00D11C96">
            <w:pPr>
              <w:spacing w:after="0" w:line="240" w:lineRule="auto"/>
              <w:jc w:val="right"/>
              <w:rPr>
                <w:rFonts w:ascii="Arial" w:hAnsi="Arial" w:cs="Arial"/>
                <w:color w:val="000000"/>
                <w:sz w:val="18"/>
                <w:szCs w:val="18"/>
              </w:rPr>
            </w:pPr>
            <w:r w:rsidRPr="000534C6">
              <w:rPr>
                <w:rFonts w:ascii="Arial" w:hAnsi="Arial" w:cs="Arial"/>
                <w:color w:val="000000"/>
                <w:sz w:val="18"/>
                <w:szCs w:val="18"/>
              </w:rPr>
              <w:t xml:space="preserve">              </w:t>
            </w:r>
            <w:r w:rsidR="00D11C96">
              <w:rPr>
                <w:rFonts w:ascii="Arial" w:hAnsi="Arial" w:cs="Arial"/>
                <w:color w:val="000000"/>
                <w:sz w:val="18"/>
                <w:szCs w:val="18"/>
              </w:rPr>
              <w:t>784,048,478</w:t>
            </w:r>
            <w:r w:rsidRPr="000534C6">
              <w:rPr>
                <w:rFonts w:ascii="Arial" w:hAnsi="Arial" w:cs="Arial"/>
                <w:color w:val="000000"/>
                <w:sz w:val="18"/>
                <w:szCs w:val="18"/>
              </w:rPr>
              <w:t xml:space="preserve"> </w:t>
            </w:r>
          </w:p>
        </w:tc>
        <w:tc>
          <w:tcPr>
            <w:tcW w:w="1371" w:type="dxa"/>
            <w:tcBorders>
              <w:top w:val="nil"/>
              <w:left w:val="nil"/>
              <w:bottom w:val="single" w:sz="8" w:space="0" w:color="auto"/>
              <w:right w:val="single" w:sz="8" w:space="0" w:color="auto"/>
            </w:tcBorders>
            <w:noWrap/>
            <w:vAlign w:val="center"/>
          </w:tcPr>
          <w:p w14:paraId="3A5F03E6" w14:textId="7A4A6BB2" w:rsidR="000534C6" w:rsidRPr="000534C6" w:rsidRDefault="00D11C96" w:rsidP="000534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p>
        </w:tc>
      </w:tr>
      <w:tr w:rsidR="000534C6" w:rsidRPr="000534C6" w14:paraId="6166EE58"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35AD38B0" w14:textId="77777777" w:rsidR="000534C6" w:rsidRPr="000534C6" w:rsidRDefault="000534C6" w:rsidP="000534C6">
            <w:pPr>
              <w:spacing w:after="0" w:line="240" w:lineRule="auto"/>
              <w:rPr>
                <w:rFonts w:ascii="Arial" w:eastAsia="Times New Roman" w:hAnsi="Arial" w:cs="Arial"/>
                <w:sz w:val="18"/>
                <w:szCs w:val="18"/>
                <w:lang w:eastAsia="es-MX"/>
              </w:rPr>
            </w:pPr>
            <w:r w:rsidRPr="000534C6">
              <w:rPr>
                <w:rFonts w:ascii="Arial" w:eastAsia="Times New Roman" w:hAnsi="Arial" w:cs="Arial"/>
                <w:sz w:val="18"/>
                <w:szCs w:val="18"/>
                <w:lang w:eastAsia="es-MX"/>
              </w:rPr>
              <w:t>FONDO PARA EL FORTALECIMIENTO DE ENTIDADES FEDERATIVAS</w:t>
            </w:r>
          </w:p>
        </w:tc>
        <w:tc>
          <w:tcPr>
            <w:tcW w:w="1577" w:type="dxa"/>
            <w:tcBorders>
              <w:top w:val="nil"/>
              <w:left w:val="nil"/>
              <w:bottom w:val="single" w:sz="8" w:space="0" w:color="auto"/>
              <w:right w:val="single" w:sz="8" w:space="0" w:color="auto"/>
            </w:tcBorders>
            <w:noWrap/>
            <w:vAlign w:val="center"/>
          </w:tcPr>
          <w:p w14:paraId="51647F1E" w14:textId="5B17C0B9" w:rsidR="000534C6" w:rsidRPr="000534C6" w:rsidRDefault="00D11C96" w:rsidP="000534C6">
            <w:pPr>
              <w:spacing w:after="0" w:line="240" w:lineRule="auto"/>
              <w:jc w:val="right"/>
              <w:rPr>
                <w:rFonts w:ascii="Arial" w:eastAsia="Times New Roman" w:hAnsi="Arial" w:cs="Arial"/>
                <w:color w:val="000000"/>
                <w:sz w:val="18"/>
                <w:szCs w:val="18"/>
                <w:lang w:eastAsia="es-MX"/>
              </w:rPr>
            </w:pPr>
            <w:r>
              <w:rPr>
                <w:rFonts w:ascii="Arial" w:hAnsi="Arial" w:cs="Arial"/>
                <w:color w:val="000000"/>
                <w:sz w:val="18"/>
                <w:szCs w:val="18"/>
              </w:rPr>
              <w:t>1,032,676,333</w:t>
            </w:r>
          </w:p>
        </w:tc>
        <w:tc>
          <w:tcPr>
            <w:tcW w:w="1371" w:type="dxa"/>
            <w:tcBorders>
              <w:top w:val="nil"/>
              <w:left w:val="nil"/>
              <w:bottom w:val="single" w:sz="8" w:space="0" w:color="auto"/>
              <w:right w:val="single" w:sz="8" w:space="0" w:color="auto"/>
            </w:tcBorders>
            <w:noWrap/>
            <w:vAlign w:val="center"/>
          </w:tcPr>
          <w:p w14:paraId="176D912B" w14:textId="4DC73C3D" w:rsidR="000534C6" w:rsidRPr="000534C6" w:rsidRDefault="00D11C96" w:rsidP="000534C6">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7</w:t>
            </w:r>
          </w:p>
        </w:tc>
      </w:tr>
      <w:tr w:rsidR="008C10B0" w:rsidRPr="000534C6" w14:paraId="6E4B0E38" w14:textId="77777777" w:rsidTr="000534C6">
        <w:trPr>
          <w:trHeight w:val="307"/>
          <w:jc w:val="center"/>
        </w:trPr>
        <w:tc>
          <w:tcPr>
            <w:tcW w:w="6102" w:type="dxa"/>
            <w:tcBorders>
              <w:top w:val="nil"/>
              <w:left w:val="single" w:sz="8" w:space="0" w:color="auto"/>
              <w:bottom w:val="single" w:sz="8" w:space="0" w:color="auto"/>
              <w:right w:val="single" w:sz="8" w:space="0" w:color="auto"/>
            </w:tcBorders>
            <w:noWrap/>
            <w:vAlign w:val="center"/>
            <w:hideMark/>
          </w:tcPr>
          <w:p w14:paraId="44D28A00"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TOTAL</w:t>
            </w:r>
          </w:p>
        </w:tc>
        <w:tc>
          <w:tcPr>
            <w:tcW w:w="1577" w:type="dxa"/>
            <w:tcBorders>
              <w:top w:val="nil"/>
              <w:left w:val="nil"/>
              <w:bottom w:val="single" w:sz="8" w:space="0" w:color="auto"/>
              <w:right w:val="single" w:sz="8" w:space="0" w:color="auto"/>
            </w:tcBorders>
            <w:noWrap/>
            <w:vAlign w:val="bottom"/>
            <w:hideMark/>
          </w:tcPr>
          <w:p w14:paraId="5C04E848" w14:textId="2B9A8D54" w:rsidR="008C10B0" w:rsidRPr="000534C6" w:rsidRDefault="000534C6" w:rsidP="008C10B0">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2,531,910,550</w:t>
            </w:r>
          </w:p>
        </w:tc>
        <w:tc>
          <w:tcPr>
            <w:tcW w:w="1371" w:type="dxa"/>
            <w:tcBorders>
              <w:top w:val="nil"/>
              <w:left w:val="nil"/>
              <w:bottom w:val="single" w:sz="8" w:space="0" w:color="auto"/>
              <w:right w:val="single" w:sz="8" w:space="0" w:color="auto"/>
            </w:tcBorders>
            <w:noWrap/>
            <w:vAlign w:val="center"/>
            <w:hideMark/>
          </w:tcPr>
          <w:p w14:paraId="434FFA88" w14:textId="77777777" w:rsidR="008C10B0" w:rsidRPr="000534C6" w:rsidRDefault="008C10B0" w:rsidP="008C10B0">
            <w:pPr>
              <w:spacing w:after="0" w:line="240" w:lineRule="auto"/>
              <w:jc w:val="center"/>
              <w:rPr>
                <w:rFonts w:ascii="Arial" w:eastAsia="Times New Roman" w:hAnsi="Arial" w:cs="Arial"/>
                <w:b/>
                <w:bCs/>
                <w:color w:val="000000"/>
                <w:sz w:val="18"/>
                <w:szCs w:val="18"/>
                <w:lang w:eastAsia="es-MX"/>
              </w:rPr>
            </w:pPr>
            <w:r w:rsidRPr="000534C6">
              <w:rPr>
                <w:rFonts w:ascii="Arial" w:eastAsia="Times New Roman" w:hAnsi="Arial" w:cs="Arial"/>
                <w:b/>
                <w:bCs/>
                <w:color w:val="000000"/>
                <w:sz w:val="18"/>
                <w:szCs w:val="18"/>
                <w:lang w:eastAsia="es-MX"/>
              </w:rPr>
              <w:t>100.00</w:t>
            </w:r>
          </w:p>
        </w:tc>
      </w:tr>
    </w:tbl>
    <w:p w14:paraId="506D59E0" w14:textId="77777777" w:rsidR="008C10B0" w:rsidRDefault="008C10B0" w:rsidP="008C10B0">
      <w:pPr>
        <w:tabs>
          <w:tab w:val="left" w:pos="284"/>
        </w:tabs>
        <w:spacing w:after="0"/>
        <w:ind w:left="284"/>
        <w:jc w:val="both"/>
        <w:rPr>
          <w:rFonts w:ascii="Arial" w:hAnsi="Arial" w:cs="Arial"/>
          <w:sz w:val="18"/>
          <w:szCs w:val="18"/>
        </w:rPr>
      </w:pPr>
    </w:p>
    <w:p w14:paraId="0E1DD6FF"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29CDA857" w14:textId="59BE0949" w:rsidR="008C10B0" w:rsidRDefault="008C10B0" w:rsidP="008C10B0">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D11C96">
        <w:rPr>
          <w:rFonts w:ascii="Arial" w:hAnsi="Arial" w:cs="Arial"/>
          <w:sz w:val="18"/>
          <w:szCs w:val="18"/>
        </w:rPr>
        <w:t>diciembre</w:t>
      </w:r>
      <w:r>
        <w:rPr>
          <w:rFonts w:ascii="Arial" w:hAnsi="Arial" w:cs="Arial"/>
          <w:sz w:val="18"/>
          <w:szCs w:val="18"/>
        </w:rPr>
        <w:t xml:space="preserve"> del ejercicio 202</w:t>
      </w:r>
      <w:r w:rsidR="000534C6">
        <w:rPr>
          <w:rFonts w:ascii="Arial" w:hAnsi="Arial" w:cs="Arial"/>
          <w:sz w:val="18"/>
          <w:szCs w:val="18"/>
        </w:rPr>
        <w:t>5</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D11C96">
        <w:rPr>
          <w:rFonts w:ascii="Arial" w:hAnsi="Arial" w:cs="Arial"/>
          <w:sz w:val="18"/>
          <w:szCs w:val="18"/>
        </w:rPr>
        <w:t>2,750,294,874</w:t>
      </w:r>
      <w:r>
        <w:rPr>
          <w:rFonts w:ascii="Arial" w:hAnsi="Arial" w:cs="Arial"/>
          <w:sz w:val="18"/>
          <w:szCs w:val="18"/>
        </w:rPr>
        <w:t>, incluyendo los intereses y rendimientos generados por los Convenios suscritos</w:t>
      </w:r>
      <w:r>
        <w:rPr>
          <w:rFonts w:ascii="Arial" w:hAnsi="Arial" w:cs="Arial"/>
          <w:sz w:val="18"/>
          <w:szCs w:val="20"/>
        </w:rPr>
        <w:t>.</w:t>
      </w:r>
    </w:p>
    <w:p w14:paraId="51BFD1D1" w14:textId="77777777" w:rsidR="008C10B0" w:rsidRDefault="008C10B0" w:rsidP="008C10B0">
      <w:pPr>
        <w:pStyle w:val="ROMANOS"/>
        <w:tabs>
          <w:tab w:val="clear" w:pos="720"/>
          <w:tab w:val="left" w:pos="284"/>
        </w:tabs>
        <w:spacing w:after="0" w:line="276" w:lineRule="auto"/>
        <w:ind w:left="284" w:firstLine="0"/>
        <w:rPr>
          <w:b/>
          <w:lang w:val="es-MX"/>
        </w:rPr>
      </w:pPr>
    </w:p>
    <w:p w14:paraId="46E13251" w14:textId="77777777" w:rsidR="008C10B0" w:rsidRDefault="008C10B0" w:rsidP="008C10B0">
      <w:pPr>
        <w:pStyle w:val="ROMANOS"/>
        <w:tabs>
          <w:tab w:val="clear" w:pos="720"/>
          <w:tab w:val="left" w:pos="284"/>
        </w:tabs>
        <w:spacing w:after="0" w:line="276" w:lineRule="auto"/>
        <w:ind w:left="284" w:firstLine="0"/>
        <w:rPr>
          <w:b/>
          <w:lang w:val="es-MX"/>
        </w:rPr>
      </w:pPr>
      <w:r w:rsidRPr="0073056A">
        <w:rPr>
          <w:b/>
          <w:lang w:val="es-MX"/>
        </w:rPr>
        <w:t>Gastos y Otras Pérdidas:</w:t>
      </w:r>
    </w:p>
    <w:p w14:paraId="48541CC6" w14:textId="77777777" w:rsidR="008C10B0" w:rsidRDefault="008C10B0" w:rsidP="008C10B0">
      <w:pPr>
        <w:tabs>
          <w:tab w:val="left" w:pos="284"/>
        </w:tabs>
        <w:spacing w:after="0"/>
        <w:ind w:left="284"/>
        <w:jc w:val="both"/>
        <w:rPr>
          <w:rFonts w:ascii="Arial" w:hAnsi="Arial" w:cs="Arial"/>
          <w:b/>
          <w:sz w:val="18"/>
          <w:szCs w:val="18"/>
        </w:rPr>
      </w:pPr>
    </w:p>
    <w:p w14:paraId="5DE0BF7B"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121EAC93" w14:textId="30DAD21E" w:rsidR="008C10B0" w:rsidRDefault="008C10B0" w:rsidP="008C10B0">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D11C96">
        <w:rPr>
          <w:rFonts w:ascii="Arial" w:hAnsi="Arial" w:cs="Arial"/>
          <w:sz w:val="18"/>
          <w:szCs w:val="18"/>
        </w:rPr>
        <w:t>del ejercicio</w:t>
      </w:r>
      <w:r>
        <w:rPr>
          <w:rFonts w:ascii="Arial" w:hAnsi="Arial" w:cs="Arial"/>
          <w:sz w:val="18"/>
          <w:szCs w:val="18"/>
        </w:rPr>
        <w:t xml:space="preserve"> 202</w:t>
      </w:r>
      <w:r w:rsidR="00732D19">
        <w:rPr>
          <w:rFonts w:ascii="Arial" w:hAnsi="Arial" w:cs="Arial"/>
          <w:sz w:val="18"/>
          <w:szCs w:val="18"/>
        </w:rPr>
        <w:t>5</w:t>
      </w:r>
      <w:r w:rsidRPr="0073056A">
        <w:rPr>
          <w:rFonts w:ascii="Arial" w:hAnsi="Arial" w:cs="Arial"/>
          <w:sz w:val="18"/>
          <w:szCs w:val="18"/>
        </w:rPr>
        <w:t xml:space="preserve"> se</w:t>
      </w:r>
      <w:r>
        <w:rPr>
          <w:rFonts w:ascii="Arial" w:hAnsi="Arial" w:cs="Arial"/>
          <w:sz w:val="18"/>
          <w:szCs w:val="18"/>
        </w:rPr>
        <w:t xml:space="preserve"> aplicó una</w:t>
      </w:r>
      <w:r w:rsidRPr="0073056A">
        <w:rPr>
          <w:rFonts w:ascii="Arial" w:hAnsi="Arial" w:cs="Arial"/>
          <w:sz w:val="18"/>
          <w:szCs w:val="18"/>
        </w:rPr>
        <w:t xml:space="preserve"> política de </w:t>
      </w:r>
      <w:r>
        <w:rPr>
          <w:rFonts w:ascii="Arial" w:hAnsi="Arial" w:cs="Arial"/>
          <w:sz w:val="18"/>
          <w:szCs w:val="18"/>
        </w:rPr>
        <w:t xml:space="preserve">racionalidad, </w:t>
      </w:r>
      <w:r w:rsidRPr="0073056A">
        <w:rPr>
          <w:rFonts w:ascii="Arial" w:hAnsi="Arial" w:cs="Arial"/>
          <w:sz w:val="18"/>
          <w:szCs w:val="18"/>
        </w:rPr>
        <w:t>austeridad y de disciplina presupuestal</w:t>
      </w:r>
      <w:r>
        <w:rPr>
          <w:rFonts w:ascii="Arial" w:hAnsi="Arial" w:cs="Arial"/>
          <w:sz w:val="18"/>
          <w:szCs w:val="18"/>
        </w:rPr>
        <w:t>, lo que ha redundado en ahorros significativos al disminuir la duplicidad de funciones y reducir las estructuras administrativas, teniéndose al mes de diciembre por este concepto un monto de $</w:t>
      </w:r>
      <w:r w:rsidR="00D11C96">
        <w:rPr>
          <w:rFonts w:ascii="Arial" w:hAnsi="Arial" w:cs="Arial"/>
          <w:sz w:val="18"/>
          <w:szCs w:val="18"/>
        </w:rPr>
        <w:t>3,655,877,636</w:t>
      </w:r>
      <w:r>
        <w:rPr>
          <w:rFonts w:ascii="Arial" w:hAnsi="Arial" w:cs="Arial"/>
          <w:sz w:val="18"/>
          <w:szCs w:val="18"/>
        </w:rPr>
        <w:t xml:space="preserve">; en apego a lo estipulado en la Ley de Disciplina Financiera de las Entidades Federativas y los municipios. Lo que representa un </w:t>
      </w:r>
      <w:r w:rsidR="00732D19">
        <w:rPr>
          <w:rFonts w:ascii="Arial" w:hAnsi="Arial" w:cs="Arial"/>
          <w:sz w:val="18"/>
          <w:szCs w:val="18"/>
        </w:rPr>
        <w:t>de</w:t>
      </w:r>
      <w:r>
        <w:rPr>
          <w:rFonts w:ascii="Arial" w:hAnsi="Arial" w:cs="Arial"/>
          <w:sz w:val="18"/>
          <w:szCs w:val="18"/>
        </w:rPr>
        <w:t xml:space="preserve">cremento del </w:t>
      </w:r>
      <w:r w:rsidR="00732D19">
        <w:rPr>
          <w:rFonts w:ascii="Arial" w:hAnsi="Arial" w:cs="Arial"/>
          <w:sz w:val="18"/>
          <w:szCs w:val="18"/>
        </w:rPr>
        <w:t>7</w:t>
      </w:r>
      <w:r>
        <w:rPr>
          <w:rFonts w:ascii="Arial" w:hAnsi="Arial" w:cs="Arial"/>
          <w:sz w:val="18"/>
          <w:szCs w:val="18"/>
        </w:rPr>
        <w:t>% respecto al ejercicio 202</w:t>
      </w:r>
      <w:r w:rsidR="00732D19">
        <w:rPr>
          <w:rFonts w:ascii="Arial" w:hAnsi="Arial" w:cs="Arial"/>
          <w:sz w:val="18"/>
          <w:szCs w:val="18"/>
        </w:rPr>
        <w:t>4</w:t>
      </w:r>
      <w:r>
        <w:rPr>
          <w:rFonts w:ascii="Arial" w:hAnsi="Arial" w:cs="Arial"/>
          <w:sz w:val="18"/>
          <w:szCs w:val="18"/>
        </w:rPr>
        <w:t>.</w:t>
      </w:r>
    </w:p>
    <w:p w14:paraId="3DCF438B" w14:textId="77777777" w:rsidR="008C10B0" w:rsidRDefault="008C10B0" w:rsidP="008C10B0">
      <w:pPr>
        <w:tabs>
          <w:tab w:val="left" w:pos="284"/>
        </w:tabs>
        <w:spacing w:after="0"/>
        <w:ind w:left="284"/>
        <w:jc w:val="both"/>
        <w:rPr>
          <w:rFonts w:ascii="Arial" w:hAnsi="Arial" w:cs="Arial"/>
          <w:b/>
          <w:sz w:val="18"/>
          <w:szCs w:val="18"/>
        </w:rPr>
      </w:pPr>
    </w:p>
    <w:p w14:paraId="535EF18E"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7C65A80D" w14:textId="21BF0E1C" w:rsidR="008C10B0"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D11C96">
        <w:rPr>
          <w:rFonts w:ascii="Arial" w:hAnsi="Arial" w:cs="Arial"/>
          <w:sz w:val="18"/>
          <w:szCs w:val="18"/>
        </w:rPr>
        <w:t>330,967,860</w:t>
      </w:r>
      <w:r w:rsidRPr="0073056A">
        <w:rPr>
          <w:rFonts w:ascii="Arial" w:hAnsi="Arial" w:cs="Arial"/>
          <w:sz w:val="18"/>
          <w:szCs w:val="18"/>
        </w:rPr>
        <w:t>.</w:t>
      </w:r>
    </w:p>
    <w:p w14:paraId="62ED0843" w14:textId="77777777" w:rsidR="008C10B0" w:rsidRDefault="008C10B0" w:rsidP="008C10B0">
      <w:pPr>
        <w:tabs>
          <w:tab w:val="left" w:pos="284"/>
        </w:tabs>
        <w:spacing w:after="0"/>
        <w:ind w:left="284"/>
        <w:jc w:val="both"/>
        <w:rPr>
          <w:rFonts w:ascii="Arial" w:hAnsi="Arial" w:cs="Arial"/>
          <w:b/>
          <w:sz w:val="18"/>
          <w:szCs w:val="18"/>
        </w:rPr>
      </w:pPr>
    </w:p>
    <w:p w14:paraId="3A62D0D3"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7BF20A5C" w14:textId="15E4A65B"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D11C96">
        <w:rPr>
          <w:rFonts w:ascii="Arial" w:hAnsi="Arial" w:cs="Arial"/>
          <w:sz w:val="18"/>
          <w:szCs w:val="18"/>
        </w:rPr>
        <w:t>diciembre</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xml:space="preserve"> es de $</w:t>
      </w:r>
      <w:r w:rsidR="00D11C96">
        <w:rPr>
          <w:rFonts w:ascii="Arial" w:hAnsi="Arial" w:cs="Arial"/>
          <w:sz w:val="18"/>
          <w:szCs w:val="18"/>
        </w:rPr>
        <w:t>634,879,524</w:t>
      </w:r>
      <w:r w:rsidRPr="0073056A">
        <w:rPr>
          <w:rFonts w:ascii="Arial" w:hAnsi="Arial" w:cs="Arial"/>
          <w:sz w:val="18"/>
          <w:szCs w:val="18"/>
        </w:rPr>
        <w:t>.</w:t>
      </w:r>
      <w:r>
        <w:rPr>
          <w:rFonts w:ascii="Arial" w:hAnsi="Arial" w:cs="Arial"/>
          <w:sz w:val="18"/>
          <w:szCs w:val="18"/>
        </w:rPr>
        <w:t xml:space="preserve"> </w:t>
      </w:r>
    </w:p>
    <w:p w14:paraId="0F847837" w14:textId="77777777" w:rsidR="008C10B0" w:rsidRDefault="008C10B0" w:rsidP="008C10B0">
      <w:pPr>
        <w:tabs>
          <w:tab w:val="left" w:pos="284"/>
        </w:tabs>
        <w:spacing w:after="0"/>
        <w:ind w:left="284"/>
        <w:jc w:val="both"/>
        <w:rPr>
          <w:rFonts w:ascii="Arial" w:hAnsi="Arial" w:cs="Arial"/>
          <w:b/>
          <w:sz w:val="18"/>
          <w:szCs w:val="18"/>
        </w:rPr>
      </w:pPr>
    </w:p>
    <w:p w14:paraId="68049525"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2DA8B01" w14:textId="5CA8ACBC" w:rsidR="008C10B0" w:rsidRDefault="008C10B0" w:rsidP="008C10B0">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EE5637">
        <w:rPr>
          <w:rFonts w:ascii="Arial" w:hAnsi="Arial" w:cs="Arial"/>
          <w:sz w:val="18"/>
          <w:szCs w:val="18"/>
        </w:rPr>
        <w:t>que,</w:t>
      </w:r>
      <w:r>
        <w:rPr>
          <w:rFonts w:ascii="Arial" w:hAnsi="Arial" w:cs="Arial"/>
          <w:sz w:val="18"/>
          <w:szCs w:val="18"/>
        </w:rPr>
        <w:t xml:space="preserve"> al mes de </w:t>
      </w:r>
      <w:r w:rsidR="00D11C96">
        <w:rPr>
          <w:rFonts w:ascii="Arial" w:hAnsi="Arial" w:cs="Arial"/>
          <w:sz w:val="18"/>
          <w:szCs w:val="18"/>
        </w:rPr>
        <w:t>diciembre</w:t>
      </w:r>
      <w:r>
        <w:rPr>
          <w:rFonts w:ascii="Arial" w:hAnsi="Arial" w:cs="Arial"/>
          <w:sz w:val="18"/>
          <w:szCs w:val="18"/>
        </w:rPr>
        <w:t xml:space="preserve"> de 202</w:t>
      </w:r>
      <w:r w:rsidR="00732D19">
        <w:rPr>
          <w:rFonts w:ascii="Arial" w:hAnsi="Arial" w:cs="Arial"/>
          <w:sz w:val="18"/>
          <w:szCs w:val="18"/>
        </w:rPr>
        <w:t>5</w:t>
      </w:r>
      <w:r>
        <w:rPr>
          <w:rFonts w:ascii="Arial" w:hAnsi="Arial" w:cs="Arial"/>
          <w:sz w:val="18"/>
          <w:szCs w:val="18"/>
        </w:rPr>
        <w:t>, observan un monto de $</w:t>
      </w:r>
      <w:r w:rsidR="00D11C96">
        <w:rPr>
          <w:rFonts w:ascii="Arial" w:hAnsi="Arial" w:cs="Arial"/>
          <w:sz w:val="18"/>
          <w:szCs w:val="18"/>
        </w:rPr>
        <w:t>19,468,214,985</w:t>
      </w:r>
      <w:r w:rsidR="008655F4">
        <w:rPr>
          <w:rFonts w:ascii="Arial" w:hAnsi="Arial" w:cs="Arial"/>
          <w:sz w:val="18"/>
          <w:szCs w:val="18"/>
        </w:rPr>
        <w:t>.</w:t>
      </w:r>
      <w:r>
        <w:rPr>
          <w:rFonts w:ascii="Arial" w:hAnsi="Arial" w:cs="Arial"/>
          <w:sz w:val="18"/>
          <w:szCs w:val="18"/>
        </w:rPr>
        <w:t xml:space="preserve"> </w:t>
      </w:r>
    </w:p>
    <w:p w14:paraId="651361AE" w14:textId="77777777" w:rsidR="008C10B0" w:rsidRDefault="008C10B0" w:rsidP="008C10B0">
      <w:pPr>
        <w:tabs>
          <w:tab w:val="left" w:pos="284"/>
        </w:tabs>
        <w:spacing w:after="0"/>
        <w:ind w:left="284"/>
        <w:jc w:val="both"/>
        <w:rPr>
          <w:rFonts w:ascii="Arial" w:hAnsi="Arial" w:cs="Arial"/>
          <w:sz w:val="18"/>
          <w:szCs w:val="18"/>
        </w:rPr>
      </w:pPr>
    </w:p>
    <w:p w14:paraId="5050F87E" w14:textId="77777777" w:rsidR="009C5253" w:rsidRDefault="009C5253" w:rsidP="008C10B0">
      <w:pPr>
        <w:tabs>
          <w:tab w:val="left" w:pos="284"/>
        </w:tabs>
        <w:spacing w:after="0"/>
        <w:ind w:left="284"/>
        <w:jc w:val="both"/>
        <w:rPr>
          <w:rFonts w:ascii="Arial" w:hAnsi="Arial" w:cs="Arial"/>
          <w:b/>
          <w:sz w:val="18"/>
          <w:szCs w:val="18"/>
        </w:rPr>
      </w:pPr>
    </w:p>
    <w:p w14:paraId="399B7EA0" w14:textId="77777777" w:rsidR="00D11C96" w:rsidRDefault="00D11C96" w:rsidP="008C10B0">
      <w:pPr>
        <w:tabs>
          <w:tab w:val="left" w:pos="284"/>
        </w:tabs>
        <w:spacing w:after="0"/>
        <w:ind w:left="284"/>
        <w:jc w:val="both"/>
        <w:rPr>
          <w:rFonts w:ascii="Arial" w:hAnsi="Arial" w:cs="Arial"/>
          <w:b/>
          <w:sz w:val="18"/>
          <w:szCs w:val="18"/>
        </w:rPr>
      </w:pPr>
    </w:p>
    <w:p w14:paraId="7895E3AD" w14:textId="77777777" w:rsidR="00D11C96" w:rsidRDefault="00D11C96" w:rsidP="008C10B0">
      <w:pPr>
        <w:tabs>
          <w:tab w:val="left" w:pos="284"/>
        </w:tabs>
        <w:spacing w:after="0"/>
        <w:ind w:left="284"/>
        <w:jc w:val="both"/>
        <w:rPr>
          <w:rFonts w:ascii="Arial" w:hAnsi="Arial" w:cs="Arial"/>
          <w:b/>
          <w:sz w:val="18"/>
          <w:szCs w:val="18"/>
        </w:rPr>
      </w:pPr>
    </w:p>
    <w:p w14:paraId="6F37800A" w14:textId="77777777" w:rsidR="00D11C96" w:rsidRDefault="00D11C96" w:rsidP="008C10B0">
      <w:pPr>
        <w:tabs>
          <w:tab w:val="left" w:pos="284"/>
        </w:tabs>
        <w:spacing w:after="0"/>
        <w:ind w:left="284"/>
        <w:jc w:val="both"/>
        <w:rPr>
          <w:rFonts w:ascii="Arial" w:hAnsi="Arial" w:cs="Arial"/>
          <w:b/>
          <w:sz w:val="18"/>
          <w:szCs w:val="18"/>
        </w:rPr>
      </w:pPr>
    </w:p>
    <w:p w14:paraId="4D59D39D" w14:textId="77777777" w:rsidR="009C5253" w:rsidRDefault="009C5253" w:rsidP="008C10B0">
      <w:pPr>
        <w:tabs>
          <w:tab w:val="left" w:pos="284"/>
        </w:tabs>
        <w:spacing w:after="0"/>
        <w:ind w:left="284"/>
        <w:jc w:val="both"/>
        <w:rPr>
          <w:rFonts w:ascii="Arial" w:hAnsi="Arial" w:cs="Arial"/>
          <w:b/>
          <w:sz w:val="18"/>
          <w:szCs w:val="18"/>
        </w:rPr>
      </w:pPr>
    </w:p>
    <w:p w14:paraId="33973285" w14:textId="77777777" w:rsidR="008C10B0" w:rsidRPr="00543F97" w:rsidRDefault="008C10B0" w:rsidP="008C10B0">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4A79D7C8" w14:textId="6EABD88F" w:rsidR="008C10B0" w:rsidRDefault="008C10B0" w:rsidP="008C10B0">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EE5637">
        <w:rPr>
          <w:rFonts w:ascii="Arial" w:hAnsi="Arial" w:cs="Arial"/>
          <w:sz w:val="18"/>
          <w:szCs w:val="18"/>
        </w:rPr>
        <w:t>diciembre</w:t>
      </w:r>
      <w:r>
        <w:rPr>
          <w:rFonts w:ascii="Arial" w:hAnsi="Arial" w:cs="Arial"/>
          <w:sz w:val="18"/>
          <w:szCs w:val="18"/>
        </w:rPr>
        <w:t xml:space="preserve"> de 202</w:t>
      </w:r>
      <w:r w:rsidR="008655F4">
        <w:rPr>
          <w:rFonts w:ascii="Arial" w:hAnsi="Arial" w:cs="Arial"/>
          <w:sz w:val="18"/>
          <w:szCs w:val="18"/>
        </w:rPr>
        <w:t>5</w:t>
      </w:r>
      <w:r>
        <w:rPr>
          <w:rFonts w:ascii="Arial" w:hAnsi="Arial" w:cs="Arial"/>
          <w:sz w:val="18"/>
          <w:szCs w:val="18"/>
        </w:rPr>
        <w:t xml:space="preserve"> es de $</w:t>
      </w:r>
      <w:r w:rsidR="00EE5637">
        <w:rPr>
          <w:rFonts w:ascii="Arial" w:hAnsi="Arial" w:cs="Arial"/>
          <w:sz w:val="18"/>
          <w:szCs w:val="18"/>
        </w:rPr>
        <w:t>2,355,461,108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 el Programa Estatal de Infraestructura y lo correspondiente a</w:t>
      </w:r>
      <w:r w:rsidRPr="00DE62C8">
        <w:rPr>
          <w:rFonts w:ascii="Arial" w:hAnsi="Arial" w:cs="Arial"/>
          <w:sz w:val="18"/>
          <w:szCs w:val="18"/>
        </w:rPr>
        <w:t xml:space="preserve">l </w:t>
      </w:r>
      <w:r w:rsidR="008655F4">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EE5637">
        <w:rPr>
          <w:rFonts w:ascii="Arial" w:hAnsi="Arial" w:cs="Arial"/>
          <w:sz w:val="18"/>
          <w:szCs w:val="18"/>
        </w:rPr>
        <w:t>diciembre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Pr>
          <w:rFonts w:ascii="Arial" w:hAnsi="Arial" w:cs="Arial"/>
          <w:sz w:val="18"/>
          <w:szCs w:val="18"/>
        </w:rPr>
        <w:t xml:space="preserve"> Observándose una variación marginalmente negativa respecto al ejercicio 202</w:t>
      </w:r>
      <w:r w:rsidR="008655F4">
        <w:rPr>
          <w:rFonts w:ascii="Arial" w:hAnsi="Arial" w:cs="Arial"/>
          <w:sz w:val="18"/>
          <w:szCs w:val="18"/>
        </w:rPr>
        <w:t>4</w:t>
      </w:r>
      <w:r>
        <w:rPr>
          <w:rFonts w:ascii="Arial" w:hAnsi="Arial" w:cs="Arial"/>
          <w:sz w:val="18"/>
          <w:szCs w:val="18"/>
        </w:rPr>
        <w:t>.</w:t>
      </w:r>
    </w:p>
    <w:p w14:paraId="3F57E7BA" w14:textId="77777777" w:rsidR="008C10B0" w:rsidRDefault="008C10B0" w:rsidP="008C10B0">
      <w:pPr>
        <w:tabs>
          <w:tab w:val="left" w:pos="284"/>
        </w:tabs>
        <w:spacing w:after="0"/>
        <w:ind w:left="284"/>
        <w:jc w:val="both"/>
        <w:rPr>
          <w:rFonts w:ascii="Arial" w:hAnsi="Arial" w:cs="Arial"/>
          <w:sz w:val="18"/>
          <w:szCs w:val="18"/>
        </w:rPr>
      </w:pPr>
    </w:p>
    <w:p w14:paraId="2A619CC5" w14:textId="77777777" w:rsidR="008C10B0" w:rsidRPr="0073056A" w:rsidRDefault="008C10B0" w:rsidP="008C10B0">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7DC7EF01" w14:textId="77777777" w:rsidR="008C10B0" w:rsidRPr="0073056A" w:rsidRDefault="008C10B0" w:rsidP="008C10B0">
      <w:pPr>
        <w:pStyle w:val="Texto"/>
        <w:spacing w:after="0" w:line="276" w:lineRule="auto"/>
        <w:rPr>
          <w:b/>
          <w:szCs w:val="18"/>
          <w:lang w:val="es-MX"/>
        </w:rPr>
      </w:pPr>
    </w:p>
    <w:p w14:paraId="7A28F777" w14:textId="77777777" w:rsidR="008C10B0" w:rsidRPr="0073056A" w:rsidRDefault="008C10B0" w:rsidP="008C10B0">
      <w:pPr>
        <w:pStyle w:val="Texto"/>
        <w:spacing w:after="0" w:line="276" w:lineRule="auto"/>
        <w:rPr>
          <w:b/>
          <w:szCs w:val="18"/>
          <w:lang w:val="es-MX"/>
        </w:rPr>
      </w:pPr>
      <w:r w:rsidRPr="0073056A">
        <w:rPr>
          <w:b/>
          <w:szCs w:val="18"/>
          <w:lang w:val="es-MX"/>
        </w:rPr>
        <w:t>Activo</w:t>
      </w:r>
    </w:p>
    <w:p w14:paraId="10AA850C"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78BED7BA" w14:textId="77777777" w:rsidR="008C10B0" w:rsidRPr="0073056A" w:rsidRDefault="008C10B0" w:rsidP="008C10B0">
      <w:pPr>
        <w:pStyle w:val="Texto"/>
        <w:spacing w:after="0" w:line="276" w:lineRule="auto"/>
        <w:ind w:firstLine="284"/>
        <w:rPr>
          <w:b/>
          <w:szCs w:val="18"/>
          <w:lang w:val="es-MX"/>
        </w:rPr>
      </w:pPr>
      <w:r w:rsidRPr="0073056A">
        <w:rPr>
          <w:b/>
          <w:szCs w:val="18"/>
          <w:lang w:val="es-MX"/>
        </w:rPr>
        <w:t>Efectivo y Equivalentes</w:t>
      </w:r>
    </w:p>
    <w:p w14:paraId="4C66E784" w14:textId="19989C62" w:rsidR="008C10B0" w:rsidRPr="0073056A" w:rsidRDefault="008C10B0" w:rsidP="008C10B0">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EA6F5C">
        <w:rPr>
          <w:rFonts w:ascii="Arial" w:hAnsi="Arial" w:cs="Arial"/>
          <w:sz w:val="18"/>
          <w:szCs w:val="18"/>
        </w:rPr>
        <w:t>2,914,078,193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8655F4">
        <w:rPr>
          <w:rFonts w:ascii="Arial" w:hAnsi="Arial" w:cs="Arial"/>
          <w:sz w:val="18"/>
          <w:szCs w:val="18"/>
        </w:rPr>
        <w:t>Primer</w:t>
      </w:r>
      <w:r>
        <w:rPr>
          <w:rFonts w:ascii="Arial" w:hAnsi="Arial" w:cs="Arial"/>
          <w:sz w:val="18"/>
          <w:szCs w:val="18"/>
        </w:rPr>
        <w:t xml:space="preserve"> Ajuste Trimestral 202</w:t>
      </w:r>
      <w:r w:rsidR="00EA6F5C">
        <w:rPr>
          <w:rFonts w:ascii="Arial" w:hAnsi="Arial" w:cs="Arial"/>
          <w:sz w:val="18"/>
          <w:szCs w:val="18"/>
        </w:rPr>
        <w:t>6</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EA6F5C">
        <w:rPr>
          <w:rFonts w:ascii="Arial" w:hAnsi="Arial" w:cs="Arial"/>
          <w:sz w:val="18"/>
          <w:szCs w:val="18"/>
        </w:rPr>
        <w:t>223,463,811</w:t>
      </w:r>
      <w:r>
        <w:rPr>
          <w:rFonts w:ascii="Arial" w:hAnsi="Arial" w:cs="Arial"/>
          <w:sz w:val="18"/>
          <w:szCs w:val="18"/>
        </w:rPr>
        <w:t>, respecto al ejercicio de 202</w:t>
      </w:r>
      <w:r w:rsidR="008655F4">
        <w:rPr>
          <w:rFonts w:ascii="Arial" w:hAnsi="Arial" w:cs="Arial"/>
          <w:sz w:val="18"/>
          <w:szCs w:val="18"/>
        </w:rPr>
        <w:t>4</w:t>
      </w:r>
      <w:r>
        <w:rPr>
          <w:rFonts w:ascii="Arial" w:hAnsi="Arial" w:cs="Arial"/>
          <w:sz w:val="18"/>
          <w:szCs w:val="18"/>
        </w:rPr>
        <w:t>.</w:t>
      </w:r>
    </w:p>
    <w:p w14:paraId="22CC90FE" w14:textId="77777777"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CE3122E" w14:textId="77777777" w:rsidR="008C10B0" w:rsidRPr="0073056A" w:rsidRDefault="008C10B0" w:rsidP="008C10B0">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4E3D2123" w14:textId="1F1B1D1B" w:rsidR="008C10B0" w:rsidRPr="0073056A" w:rsidRDefault="008C10B0" w:rsidP="008C10B0">
      <w:pPr>
        <w:ind w:left="284"/>
        <w:jc w:val="both"/>
        <w:rPr>
          <w:rFonts w:ascii="Arial" w:hAnsi="Arial" w:cs="Arial"/>
          <w:sz w:val="18"/>
          <w:szCs w:val="18"/>
        </w:rPr>
      </w:pPr>
      <w:r w:rsidRPr="0073056A">
        <w:rPr>
          <w:rFonts w:ascii="Arial" w:hAnsi="Arial" w:cs="Arial"/>
          <w:sz w:val="18"/>
          <w:szCs w:val="18"/>
        </w:rPr>
        <w:t>El importe de $</w:t>
      </w:r>
      <w:r w:rsidR="006837C8">
        <w:rPr>
          <w:rFonts w:ascii="Arial" w:hAnsi="Arial" w:cs="Arial"/>
          <w:sz w:val="18"/>
          <w:szCs w:val="18"/>
        </w:rPr>
        <w:t>12,304,342</w:t>
      </w:r>
      <w:r w:rsidRPr="0073056A">
        <w:rPr>
          <w:rFonts w:ascii="Arial" w:hAnsi="Arial" w:cs="Arial"/>
          <w:sz w:val="18"/>
          <w:szCs w:val="18"/>
        </w:rPr>
        <w:t xml:space="preserve"> que se tiene al cierre </w:t>
      </w:r>
      <w:r>
        <w:rPr>
          <w:rFonts w:ascii="Arial" w:hAnsi="Arial" w:cs="Arial"/>
          <w:sz w:val="18"/>
          <w:szCs w:val="18"/>
        </w:rPr>
        <w:t>del ejercicio 202</w:t>
      </w:r>
      <w:r w:rsidR="008655F4">
        <w:rPr>
          <w:rFonts w:ascii="Arial" w:hAnsi="Arial" w:cs="Arial"/>
          <w:sz w:val="18"/>
          <w:szCs w:val="18"/>
        </w:rPr>
        <w:t>5</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6837C8">
        <w:rPr>
          <w:rFonts w:ascii="Arial" w:hAnsi="Arial" w:cs="Arial"/>
          <w:sz w:val="18"/>
          <w:szCs w:val="18"/>
        </w:rPr>
        <w:t>menor</w:t>
      </w:r>
      <w:r>
        <w:rPr>
          <w:rFonts w:ascii="Arial" w:hAnsi="Arial" w:cs="Arial"/>
          <w:sz w:val="18"/>
          <w:szCs w:val="18"/>
        </w:rPr>
        <w:t xml:space="preserve"> en $</w:t>
      </w:r>
      <w:r w:rsidR="006837C8">
        <w:rPr>
          <w:rFonts w:ascii="Arial" w:hAnsi="Arial" w:cs="Arial"/>
          <w:sz w:val="18"/>
          <w:szCs w:val="18"/>
        </w:rPr>
        <w:t>23,590,046</w:t>
      </w:r>
      <w:r>
        <w:rPr>
          <w:rFonts w:ascii="Arial" w:hAnsi="Arial" w:cs="Arial"/>
          <w:sz w:val="18"/>
          <w:szCs w:val="18"/>
        </w:rPr>
        <w:t xml:space="preserve"> respecto al ejercicio de 202</w:t>
      </w:r>
      <w:r w:rsidR="008655F4">
        <w:rPr>
          <w:rFonts w:ascii="Arial" w:hAnsi="Arial" w:cs="Arial"/>
          <w:sz w:val="18"/>
          <w:szCs w:val="18"/>
        </w:rPr>
        <w:t>4</w:t>
      </w:r>
      <w:r>
        <w:rPr>
          <w:rFonts w:ascii="Arial" w:hAnsi="Arial" w:cs="Arial"/>
          <w:sz w:val="18"/>
          <w:szCs w:val="18"/>
        </w:rPr>
        <w:t>.</w:t>
      </w:r>
    </w:p>
    <w:p w14:paraId="1A2D1EEC" w14:textId="0A6452B2" w:rsidR="008C10B0" w:rsidRDefault="008C10B0" w:rsidP="008C10B0">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6837C8">
        <w:rPr>
          <w:rFonts w:ascii="Arial" w:hAnsi="Arial" w:cs="Arial"/>
          <w:sz w:val="18"/>
          <w:szCs w:val="18"/>
        </w:rPr>
        <w:t>ejercicio</w:t>
      </w:r>
      <w:r>
        <w:rPr>
          <w:rFonts w:ascii="Arial" w:hAnsi="Arial" w:cs="Arial"/>
          <w:sz w:val="18"/>
          <w:szCs w:val="18"/>
        </w:rPr>
        <w:t xml:space="preserv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$0 por derechos a recibir bienes o servicios</w:t>
      </w:r>
      <w:r w:rsidRPr="0073056A">
        <w:rPr>
          <w:rFonts w:ascii="Arial" w:hAnsi="Arial" w:cs="Arial"/>
          <w:sz w:val="18"/>
          <w:szCs w:val="18"/>
        </w:rPr>
        <w:t>.</w:t>
      </w:r>
    </w:p>
    <w:p w14:paraId="50080A17" w14:textId="77777777" w:rsidR="008C10B0" w:rsidRDefault="008C10B0" w:rsidP="008C10B0">
      <w:pPr>
        <w:pStyle w:val="ROMANOS"/>
        <w:tabs>
          <w:tab w:val="clear" w:pos="720"/>
          <w:tab w:val="left" w:pos="284"/>
        </w:tabs>
        <w:spacing w:after="0" w:line="276" w:lineRule="auto"/>
        <w:ind w:left="284" w:firstLine="0"/>
        <w:rPr>
          <w:b/>
          <w:lang w:val="es-MX"/>
        </w:rPr>
      </w:pPr>
    </w:p>
    <w:p w14:paraId="5F7803B3"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1A32C0B9" w14:textId="45C51A8E" w:rsidR="008C10B0" w:rsidRPr="0073056A" w:rsidRDefault="008C10B0" w:rsidP="008C10B0">
      <w:pPr>
        <w:ind w:left="284"/>
        <w:jc w:val="both"/>
        <w:rPr>
          <w:rFonts w:ascii="Arial" w:hAnsi="Arial" w:cs="Arial"/>
          <w:sz w:val="18"/>
          <w:szCs w:val="18"/>
        </w:rPr>
      </w:pPr>
      <w:r>
        <w:rPr>
          <w:rFonts w:ascii="Arial" w:hAnsi="Arial" w:cs="Arial"/>
          <w:sz w:val="18"/>
          <w:szCs w:val="18"/>
        </w:rPr>
        <w:t>Al cierre del ejercicio 202</w:t>
      </w:r>
      <w:r w:rsidR="008655F4">
        <w:rPr>
          <w:rFonts w:ascii="Arial" w:hAnsi="Arial" w:cs="Arial"/>
          <w:sz w:val="18"/>
          <w:szCs w:val="18"/>
        </w:rPr>
        <w:t>5</w:t>
      </w:r>
      <w:r>
        <w:rPr>
          <w:rFonts w:ascii="Arial" w:hAnsi="Arial" w:cs="Arial"/>
          <w:sz w:val="18"/>
          <w:szCs w:val="18"/>
        </w:rPr>
        <w:t xml:space="preserve"> el Poder Ejecutivo no cuenta con Bienes Disponibles para su Transformación o Consumo (inventarios).</w:t>
      </w:r>
    </w:p>
    <w:p w14:paraId="281832C1" w14:textId="77777777" w:rsidR="008C10B0" w:rsidRPr="0073056A" w:rsidRDefault="008C10B0" w:rsidP="008C10B0">
      <w:pPr>
        <w:pStyle w:val="ROMANOS"/>
        <w:tabs>
          <w:tab w:val="clear" w:pos="720"/>
          <w:tab w:val="left" w:pos="851"/>
        </w:tabs>
        <w:spacing w:after="0" w:line="276" w:lineRule="auto"/>
        <w:ind w:left="284" w:firstLine="0"/>
        <w:rPr>
          <w:b/>
          <w:lang w:val="es-MX"/>
        </w:rPr>
      </w:pPr>
      <w:r w:rsidRPr="0073056A">
        <w:rPr>
          <w:b/>
          <w:lang w:val="es-MX"/>
        </w:rPr>
        <w:t>Inversiones Financieras</w:t>
      </w:r>
    </w:p>
    <w:p w14:paraId="435FDCC5" w14:textId="07B57270" w:rsidR="008C10B0" w:rsidRPr="0073056A" w:rsidRDefault="008C10B0" w:rsidP="008C10B0">
      <w:pPr>
        <w:ind w:left="284"/>
        <w:jc w:val="both"/>
        <w:rPr>
          <w:rFonts w:ascii="Arial" w:hAnsi="Arial" w:cs="Arial"/>
          <w:sz w:val="18"/>
          <w:szCs w:val="18"/>
        </w:rPr>
      </w:pPr>
      <w:r>
        <w:rPr>
          <w:rFonts w:ascii="Arial" w:hAnsi="Arial" w:cs="Arial"/>
          <w:sz w:val="18"/>
          <w:szCs w:val="18"/>
        </w:rPr>
        <w:t>Al cierre del ejercicio 202</w:t>
      </w:r>
      <w:r w:rsidR="00E328A2">
        <w:rPr>
          <w:rFonts w:ascii="Arial" w:hAnsi="Arial" w:cs="Arial"/>
          <w:sz w:val="18"/>
          <w:szCs w:val="18"/>
        </w:rPr>
        <w:t>5</w:t>
      </w:r>
      <w:r>
        <w:rPr>
          <w:rFonts w:ascii="Arial" w:hAnsi="Arial" w:cs="Arial"/>
          <w:sz w:val="18"/>
          <w:szCs w:val="18"/>
        </w:rPr>
        <w:t xml:space="preserve"> el Poder Ejecutivo cuenta con Inversiones Financieras a Largo Plazo por un importe de $</w:t>
      </w:r>
      <w:r w:rsidR="006837C8">
        <w:rPr>
          <w:rFonts w:ascii="Arial" w:hAnsi="Arial" w:cs="Arial"/>
          <w:sz w:val="18"/>
          <w:szCs w:val="18"/>
        </w:rPr>
        <w:t>490,947,753</w:t>
      </w:r>
      <w:r>
        <w:rPr>
          <w:rFonts w:ascii="Arial" w:hAnsi="Arial" w:cs="Arial"/>
          <w:sz w:val="18"/>
          <w:szCs w:val="18"/>
        </w:rPr>
        <w:t>, que respaldan los diversos fondos de reserva del Ejecutivo del Estado.</w:t>
      </w:r>
    </w:p>
    <w:p w14:paraId="4FA5566B"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14F13372" w14:textId="185A0112"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Al cierre del ejercicio 202</w:t>
      </w:r>
      <w:r w:rsidR="00E328A2">
        <w:rPr>
          <w:rFonts w:ascii="Arial" w:hAnsi="Arial" w:cs="Arial"/>
          <w:sz w:val="18"/>
          <w:szCs w:val="18"/>
        </w:rPr>
        <w:t>5</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3,</w:t>
      </w:r>
      <w:r w:rsidR="006837C8">
        <w:rPr>
          <w:rFonts w:ascii="Arial" w:hAnsi="Arial" w:cs="Arial"/>
          <w:sz w:val="18"/>
          <w:szCs w:val="18"/>
        </w:rPr>
        <w:t>625,618,758</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 presentando un incremento de</w:t>
      </w:r>
      <w:r w:rsidR="00E328A2">
        <w:rPr>
          <w:rFonts w:ascii="Arial" w:hAnsi="Arial" w:cs="Arial"/>
          <w:sz w:val="18"/>
          <w:szCs w:val="18"/>
        </w:rPr>
        <w:t xml:space="preserve"> $</w:t>
      </w:r>
      <w:r w:rsidR="006837C8">
        <w:rPr>
          <w:rFonts w:ascii="Arial" w:hAnsi="Arial" w:cs="Arial"/>
          <w:sz w:val="18"/>
          <w:szCs w:val="18"/>
        </w:rPr>
        <w:t>88,879,591</w:t>
      </w:r>
      <w:r>
        <w:rPr>
          <w:rFonts w:ascii="Arial" w:hAnsi="Arial" w:cs="Arial"/>
          <w:sz w:val="18"/>
          <w:szCs w:val="18"/>
        </w:rPr>
        <w:t xml:space="preserve"> respecto del ejercicio de 202</w:t>
      </w:r>
      <w:r w:rsidR="00E328A2">
        <w:rPr>
          <w:rFonts w:ascii="Arial" w:hAnsi="Arial" w:cs="Arial"/>
          <w:sz w:val="18"/>
          <w:szCs w:val="18"/>
        </w:rPr>
        <w:t>4</w:t>
      </w:r>
      <w:r w:rsidRPr="0073056A">
        <w:rPr>
          <w:rFonts w:ascii="Arial" w:hAnsi="Arial" w:cs="Arial"/>
          <w:sz w:val="18"/>
          <w:szCs w:val="18"/>
        </w:rPr>
        <w:t>.</w:t>
      </w:r>
    </w:p>
    <w:p w14:paraId="461C05CC" w14:textId="3747F683" w:rsidR="00E328A2" w:rsidRDefault="008C10B0" w:rsidP="008C10B0">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6837C8">
        <w:rPr>
          <w:rFonts w:ascii="Arial" w:hAnsi="Arial" w:cs="Arial"/>
          <w:sz w:val="18"/>
          <w:szCs w:val="18"/>
        </w:rPr>
        <w:t>11,251,755,355</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w:t>
      </w:r>
      <w:r w:rsidR="006837C8">
        <w:rPr>
          <w:rFonts w:ascii="Arial" w:hAnsi="Arial" w:cs="Arial"/>
          <w:sz w:val="18"/>
          <w:szCs w:val="18"/>
        </w:rPr>
        <w:t>presentando un incremento de $129,846,007 respecto del ejercicio de 2024</w:t>
      </w:r>
      <w:r w:rsidR="00743A92">
        <w:rPr>
          <w:rFonts w:ascii="Arial" w:hAnsi="Arial" w:cs="Arial"/>
          <w:sz w:val="18"/>
          <w:szCs w:val="18"/>
        </w:rPr>
        <w:t>.</w:t>
      </w:r>
    </w:p>
    <w:p w14:paraId="72DB026F" w14:textId="1FCA8473"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6837C8">
        <w:rPr>
          <w:rFonts w:ascii="Arial" w:hAnsi="Arial" w:cs="Arial"/>
          <w:sz w:val="18"/>
          <w:szCs w:val="18"/>
        </w:rPr>
        <w:t>313,444,792</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w:t>
      </w:r>
      <w:r w:rsidR="006837C8">
        <w:rPr>
          <w:rFonts w:ascii="Arial" w:hAnsi="Arial" w:cs="Arial"/>
          <w:sz w:val="18"/>
          <w:szCs w:val="18"/>
        </w:rPr>
        <w:t>presentando un incremento de $</w:t>
      </w:r>
      <w:r w:rsidR="00743A92">
        <w:rPr>
          <w:rFonts w:ascii="Arial" w:hAnsi="Arial" w:cs="Arial"/>
          <w:sz w:val="18"/>
          <w:szCs w:val="18"/>
        </w:rPr>
        <w:t>65,916,612</w:t>
      </w:r>
      <w:r w:rsidR="006837C8">
        <w:rPr>
          <w:rFonts w:ascii="Arial" w:hAnsi="Arial" w:cs="Arial"/>
          <w:sz w:val="18"/>
          <w:szCs w:val="18"/>
        </w:rPr>
        <w:t xml:space="preserve"> respecto del ejercicio de 2024</w:t>
      </w:r>
      <w:r w:rsidRPr="00137E93">
        <w:rPr>
          <w:rFonts w:ascii="Arial" w:hAnsi="Arial" w:cs="Arial"/>
          <w:sz w:val="18"/>
          <w:szCs w:val="18"/>
        </w:rPr>
        <w:t>.</w:t>
      </w:r>
    </w:p>
    <w:p w14:paraId="382B8FAF" w14:textId="77777777" w:rsidR="008C10B0" w:rsidRDefault="008C10B0" w:rsidP="008C10B0">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14:paraId="7A33FBD8" w14:textId="77777777" w:rsidR="008C10B0" w:rsidRPr="00FB6E0E" w:rsidRDefault="008C10B0" w:rsidP="008C10B0">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3751946A"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4FB78597"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Otros Activos</w:t>
      </w:r>
    </w:p>
    <w:p w14:paraId="4E8CDEF3" w14:textId="3F37875E" w:rsidR="008C10B0" w:rsidRPr="0073056A" w:rsidRDefault="008C10B0" w:rsidP="008C10B0">
      <w:pPr>
        <w:tabs>
          <w:tab w:val="left" w:pos="284"/>
        </w:tabs>
        <w:ind w:left="284"/>
        <w:jc w:val="both"/>
        <w:rPr>
          <w:rFonts w:ascii="Arial" w:hAnsi="Arial" w:cs="Arial"/>
          <w:sz w:val="18"/>
          <w:szCs w:val="18"/>
        </w:rPr>
      </w:pPr>
      <w:r>
        <w:rPr>
          <w:rFonts w:ascii="Arial" w:hAnsi="Arial" w:cs="Arial"/>
          <w:sz w:val="18"/>
          <w:szCs w:val="18"/>
        </w:rPr>
        <w:t xml:space="preserve">Al mes de </w:t>
      </w:r>
      <w:r w:rsidR="00743A92">
        <w:rPr>
          <w:rFonts w:ascii="Arial" w:hAnsi="Arial" w:cs="Arial"/>
          <w:sz w:val="18"/>
          <w:szCs w:val="18"/>
        </w:rPr>
        <w:t>diciembre</w:t>
      </w:r>
      <w:r>
        <w:rPr>
          <w:rFonts w:ascii="Arial" w:hAnsi="Arial" w:cs="Arial"/>
          <w:sz w:val="18"/>
          <w:szCs w:val="18"/>
        </w:rPr>
        <w:t xml:space="preserve"> del ejercicio 202</w:t>
      </w:r>
      <w:r w:rsidR="0090039A">
        <w:rPr>
          <w:rFonts w:ascii="Arial" w:hAnsi="Arial" w:cs="Arial"/>
          <w:sz w:val="18"/>
          <w:szCs w:val="18"/>
        </w:rPr>
        <w:t>5</w:t>
      </w:r>
      <w:r>
        <w:rPr>
          <w:rFonts w:ascii="Arial" w:hAnsi="Arial" w:cs="Arial"/>
          <w:sz w:val="18"/>
          <w:szCs w:val="18"/>
        </w:rPr>
        <w:t>, el Poder Ejecutivo no cuenta con Otros Activos.</w:t>
      </w:r>
    </w:p>
    <w:p w14:paraId="0D51FC1A" w14:textId="77777777" w:rsidR="008C10B0" w:rsidRPr="0073056A" w:rsidRDefault="008C10B0" w:rsidP="008C10B0">
      <w:pPr>
        <w:pStyle w:val="ROMANOS"/>
        <w:tabs>
          <w:tab w:val="clear" w:pos="720"/>
          <w:tab w:val="left" w:pos="284"/>
        </w:tabs>
        <w:spacing w:after="0" w:line="276" w:lineRule="auto"/>
        <w:ind w:left="284" w:firstLine="0"/>
        <w:rPr>
          <w:b/>
          <w:lang w:val="es-MX"/>
        </w:rPr>
      </w:pPr>
      <w:r w:rsidRPr="0073056A">
        <w:rPr>
          <w:b/>
          <w:lang w:val="es-MX"/>
        </w:rPr>
        <w:t>Pasivo</w:t>
      </w:r>
    </w:p>
    <w:p w14:paraId="1D413389"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6962CA2F" w14:textId="77777777" w:rsidR="008C10B0" w:rsidRPr="0073056A" w:rsidRDefault="008C10B0" w:rsidP="008C10B0">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0DF36EDA" w14:textId="6E8A393B" w:rsidR="008C10B0" w:rsidRDefault="008C10B0" w:rsidP="008C10B0">
      <w:pPr>
        <w:tabs>
          <w:tab w:val="left" w:pos="284"/>
        </w:tabs>
        <w:ind w:left="284"/>
        <w:jc w:val="both"/>
        <w:rPr>
          <w:rFonts w:ascii="Arial" w:hAnsi="Arial" w:cs="Arial"/>
          <w:sz w:val="18"/>
          <w:szCs w:val="18"/>
        </w:rPr>
      </w:pPr>
      <w:r>
        <w:rPr>
          <w:rFonts w:ascii="Arial" w:hAnsi="Arial" w:cs="Arial"/>
          <w:sz w:val="18"/>
          <w:szCs w:val="18"/>
        </w:rPr>
        <w:t>El saldo de $</w:t>
      </w:r>
      <w:r w:rsidR="00743A92">
        <w:rPr>
          <w:rFonts w:ascii="Arial" w:hAnsi="Arial" w:cs="Arial"/>
          <w:sz w:val="18"/>
          <w:szCs w:val="18"/>
        </w:rPr>
        <w:t>2,819,748,215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90039A">
        <w:rPr>
          <w:rFonts w:ascii="Arial" w:hAnsi="Arial" w:cs="Arial"/>
          <w:sz w:val="18"/>
          <w:szCs w:val="18"/>
        </w:rPr>
        <w:t>de</w:t>
      </w:r>
      <w:r>
        <w:rPr>
          <w:rFonts w:ascii="Arial" w:hAnsi="Arial" w:cs="Arial"/>
          <w:sz w:val="18"/>
          <w:szCs w:val="18"/>
        </w:rPr>
        <w:t xml:space="preserve">cremento del </w:t>
      </w:r>
      <w:r w:rsidR="0090039A">
        <w:rPr>
          <w:rFonts w:ascii="Arial" w:hAnsi="Arial" w:cs="Arial"/>
          <w:sz w:val="18"/>
          <w:szCs w:val="18"/>
        </w:rPr>
        <w:t>6</w:t>
      </w:r>
      <w:r>
        <w:rPr>
          <w:rFonts w:ascii="Arial" w:hAnsi="Arial" w:cs="Arial"/>
          <w:sz w:val="18"/>
          <w:szCs w:val="18"/>
        </w:rPr>
        <w:t>% respecto del ejercicio 202</w:t>
      </w:r>
      <w:r w:rsidR="0090039A">
        <w:rPr>
          <w:rFonts w:ascii="Arial" w:hAnsi="Arial" w:cs="Arial"/>
          <w:sz w:val="18"/>
          <w:szCs w:val="18"/>
        </w:rPr>
        <w:t>4</w:t>
      </w:r>
      <w:r>
        <w:rPr>
          <w:rFonts w:ascii="Arial" w:hAnsi="Arial" w:cs="Arial"/>
          <w:sz w:val="18"/>
          <w:szCs w:val="18"/>
        </w:rPr>
        <w:t>.</w:t>
      </w:r>
    </w:p>
    <w:p w14:paraId="4EF06BC0" w14:textId="77777777" w:rsidR="008C10B0" w:rsidRPr="0073056A" w:rsidRDefault="008C10B0" w:rsidP="008C10B0">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78627452" w14:textId="77777777" w:rsidR="008C10B0" w:rsidRPr="0073056A" w:rsidRDefault="008C10B0" w:rsidP="008C10B0">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74156A3E" w14:textId="77777777" w:rsidR="008C10B0" w:rsidRDefault="008C10B0" w:rsidP="008C10B0">
      <w:pPr>
        <w:tabs>
          <w:tab w:val="left" w:pos="284"/>
        </w:tabs>
        <w:spacing w:after="0"/>
        <w:ind w:left="284"/>
        <w:jc w:val="both"/>
        <w:rPr>
          <w:rFonts w:ascii="Arial" w:hAnsi="Arial" w:cs="Arial"/>
          <w:b/>
          <w:sz w:val="18"/>
          <w:szCs w:val="18"/>
        </w:rPr>
      </w:pPr>
    </w:p>
    <w:p w14:paraId="7499C17C" w14:textId="77777777" w:rsidR="008C10B0" w:rsidRPr="0073056A" w:rsidRDefault="008C10B0" w:rsidP="008C10B0">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Pr>
          <w:rFonts w:ascii="Arial" w:hAnsi="Arial" w:cs="Arial"/>
          <w:b/>
          <w:sz w:val="18"/>
          <w:szCs w:val="18"/>
        </w:rPr>
        <w:t>Generado</w:t>
      </w:r>
    </w:p>
    <w:p w14:paraId="49A0A0B7" w14:textId="76DC4CDC" w:rsidR="008C10B0" w:rsidRDefault="008C10B0" w:rsidP="008C10B0">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C312AC">
        <w:rPr>
          <w:rFonts w:ascii="Arial" w:hAnsi="Arial" w:cs="Arial"/>
          <w:sz w:val="18"/>
          <w:szCs w:val="18"/>
        </w:rPr>
        <w:t>ejercicio</w:t>
      </w:r>
      <w:r>
        <w:rPr>
          <w:rFonts w:ascii="Arial" w:hAnsi="Arial" w:cs="Arial"/>
          <w:sz w:val="18"/>
          <w:szCs w:val="18"/>
        </w:rPr>
        <w:t xml:space="preserve"> de 202</w:t>
      </w:r>
      <w:r w:rsidR="00750AF2">
        <w:rPr>
          <w:rFonts w:ascii="Arial" w:hAnsi="Arial" w:cs="Arial"/>
          <w:sz w:val="18"/>
          <w:szCs w:val="18"/>
        </w:rPr>
        <w:t>5</w:t>
      </w:r>
      <w:r>
        <w:rPr>
          <w:rFonts w:ascii="Arial" w:hAnsi="Arial" w:cs="Arial"/>
          <w:sz w:val="18"/>
          <w:szCs w:val="18"/>
        </w:rPr>
        <w:t xml:space="preserve"> </w:t>
      </w:r>
      <w:r w:rsidRPr="0073056A">
        <w:rPr>
          <w:rFonts w:ascii="Arial" w:hAnsi="Arial" w:cs="Arial"/>
          <w:sz w:val="18"/>
          <w:szCs w:val="18"/>
        </w:rPr>
        <w:t>es por la cantidad de $</w:t>
      </w:r>
      <w:r w:rsidR="00D25F5C">
        <w:rPr>
          <w:rFonts w:ascii="Arial" w:hAnsi="Arial" w:cs="Arial"/>
          <w:sz w:val="18"/>
          <w:szCs w:val="18"/>
        </w:rPr>
        <w:t>14,198,560,795</w:t>
      </w:r>
      <w:r>
        <w:rPr>
          <w:rFonts w:ascii="Arial" w:eastAsia="Times New Roman" w:hAnsi="Arial" w:cs="Arial"/>
          <w:bCs/>
          <w:sz w:val="18"/>
          <w:szCs w:val="18"/>
          <w:lang w:eastAsia="es-MX"/>
        </w:rPr>
        <w:t>.</w:t>
      </w:r>
    </w:p>
    <w:p w14:paraId="32427143" w14:textId="77777777" w:rsidR="008C10B0" w:rsidRDefault="008C10B0" w:rsidP="008C10B0">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39FFD694" w14:textId="77777777" w:rsidR="008C10B0" w:rsidRDefault="008C10B0" w:rsidP="008C10B0">
      <w:pPr>
        <w:pStyle w:val="INCISO"/>
        <w:tabs>
          <w:tab w:val="left" w:pos="284"/>
        </w:tabs>
        <w:spacing w:after="0" w:line="276" w:lineRule="auto"/>
        <w:ind w:left="284" w:firstLine="0"/>
        <w:rPr>
          <w:b/>
          <w:smallCaps/>
        </w:rPr>
      </w:pPr>
    </w:p>
    <w:p w14:paraId="26D7D14C" w14:textId="77777777" w:rsidR="008C10B0" w:rsidRPr="0073056A" w:rsidRDefault="008C10B0" w:rsidP="008C10B0">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r>
        <w:rPr>
          <w:b/>
          <w:smallCaps/>
        </w:rPr>
        <w:tab/>
      </w:r>
    </w:p>
    <w:p w14:paraId="408508CE" w14:textId="73FA42E7" w:rsidR="008C10B0" w:rsidRPr="005C02A4" w:rsidRDefault="008C10B0" w:rsidP="008C10B0">
      <w:pPr>
        <w:pStyle w:val="ROMANOS"/>
        <w:tabs>
          <w:tab w:val="clear" w:pos="720"/>
          <w:tab w:val="left" w:pos="284"/>
        </w:tabs>
        <w:spacing w:after="0" w:line="276" w:lineRule="auto"/>
        <w:ind w:left="284" w:firstLine="0"/>
        <w:rPr>
          <w:lang w:val="es-MX"/>
        </w:rPr>
      </w:pPr>
      <w:r>
        <w:rPr>
          <w:lang w:val="es-MX"/>
        </w:rPr>
        <w:t>Muestra l</w:t>
      </w:r>
      <w:r w:rsidRPr="005C02A4">
        <w:rPr>
          <w:lang w:val="es-MX"/>
        </w:rPr>
        <w:t>a información sobre los cambios en el efectivo y equivalentes</w:t>
      </w:r>
      <w:r>
        <w:rPr>
          <w:lang w:val="es-MX"/>
        </w:rPr>
        <w:t>, considerando que s</w:t>
      </w:r>
      <w:r w:rsidRPr="005C02A4">
        <w:rPr>
          <w:lang w:val="es-MX"/>
        </w:rPr>
        <w:t>on inversiones a corto plazo de gran liquidez que se mantienen para cumplir los compromisos de pago a corto plazo</w:t>
      </w:r>
      <w:r>
        <w:rPr>
          <w:lang w:val="es-MX"/>
        </w:rPr>
        <w:t xml:space="preserve"> a cargo del Poder Ejecutivo</w:t>
      </w:r>
      <w:r w:rsidRPr="005C02A4">
        <w:rPr>
          <w:lang w:val="es-MX"/>
        </w:rPr>
        <w:t xml:space="preserve"> que se informa mostrando por separado los cambios según proceda</w:t>
      </w:r>
      <w:r>
        <w:rPr>
          <w:lang w:val="es-MX"/>
        </w:rPr>
        <w:t>, reflejando un importe de $</w:t>
      </w:r>
      <w:r w:rsidR="00271FE9">
        <w:rPr>
          <w:lang w:val="es-MX"/>
        </w:rPr>
        <w:t>2,191,974,179</w:t>
      </w:r>
      <w:r>
        <w:rPr>
          <w:lang w:val="es-MX"/>
        </w:rPr>
        <w:t xml:space="preserve"> mismo que se integra por:</w:t>
      </w:r>
    </w:p>
    <w:p w14:paraId="4AAFA984" w14:textId="77777777" w:rsidR="008C10B0" w:rsidRDefault="008C10B0" w:rsidP="008C10B0">
      <w:pPr>
        <w:pStyle w:val="ROMANOS"/>
        <w:tabs>
          <w:tab w:val="clear" w:pos="720"/>
          <w:tab w:val="left" w:pos="284"/>
        </w:tabs>
        <w:spacing w:after="0" w:line="276" w:lineRule="auto"/>
        <w:ind w:left="284" w:firstLine="0"/>
        <w:rPr>
          <w:b/>
          <w:lang w:val="es-MX"/>
        </w:rPr>
      </w:pPr>
    </w:p>
    <w:p w14:paraId="50070F42" w14:textId="77777777" w:rsidR="008C10B0" w:rsidRPr="005C02A4" w:rsidRDefault="008C10B0" w:rsidP="008C10B0">
      <w:pPr>
        <w:pStyle w:val="ROMANOS"/>
        <w:tabs>
          <w:tab w:val="clear" w:pos="720"/>
          <w:tab w:val="left" w:pos="284"/>
        </w:tabs>
        <w:spacing w:after="0" w:line="276" w:lineRule="auto"/>
        <w:ind w:left="284" w:firstLine="0"/>
        <w:rPr>
          <w:b/>
          <w:lang w:val="es-MX"/>
        </w:rPr>
      </w:pPr>
      <w:r w:rsidRPr="005C02A4">
        <w:rPr>
          <w:b/>
          <w:lang w:val="es-MX"/>
        </w:rPr>
        <w:t>Actividades de Operación.</w:t>
      </w:r>
    </w:p>
    <w:p w14:paraId="39E13CCE" w14:textId="0DF1B023" w:rsidR="008C10B0" w:rsidRDefault="008C10B0" w:rsidP="008C10B0">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32116E">
        <w:rPr>
          <w:lang w:val="es-MX"/>
        </w:rPr>
        <w:t>2,355,461,108</w:t>
      </w:r>
      <w:r>
        <w:rPr>
          <w:lang w:val="es-MX"/>
        </w:rPr>
        <w:t>.</w:t>
      </w:r>
    </w:p>
    <w:p w14:paraId="10E67EE9" w14:textId="77777777" w:rsidR="008C10B0" w:rsidRDefault="008C10B0" w:rsidP="008C10B0">
      <w:pPr>
        <w:pStyle w:val="ROMANOS"/>
        <w:tabs>
          <w:tab w:val="clear" w:pos="720"/>
          <w:tab w:val="left" w:pos="284"/>
        </w:tabs>
        <w:spacing w:after="0" w:line="276" w:lineRule="auto"/>
        <w:ind w:left="284" w:firstLine="0"/>
        <w:rPr>
          <w:b/>
          <w:lang w:val="es-MX"/>
        </w:rPr>
      </w:pPr>
    </w:p>
    <w:p w14:paraId="759F5C7A"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Inversión</w:t>
      </w:r>
    </w:p>
    <w:p w14:paraId="7DAB981F" w14:textId="73D0AB75" w:rsidR="008C10B0" w:rsidRDefault="008C10B0" w:rsidP="008C10B0">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del </w:t>
      </w:r>
      <w:r w:rsidR="0032116E">
        <w:rPr>
          <w:lang w:val="es-MX"/>
        </w:rPr>
        <w:t>ejercicio</w:t>
      </w:r>
      <w:r>
        <w:rPr>
          <w:lang w:val="es-MX"/>
        </w:rPr>
        <w:t xml:space="preserve"> un importe de </w:t>
      </w:r>
      <w:r w:rsidR="0032116E">
        <w:rPr>
          <w:lang w:val="es-MX"/>
        </w:rPr>
        <w:t xml:space="preserve">- </w:t>
      </w:r>
      <w:r w:rsidRPr="004466A7">
        <w:rPr>
          <w:lang w:val="es-MX"/>
        </w:rPr>
        <w:t>$</w:t>
      </w:r>
      <w:r w:rsidR="0032116E">
        <w:rPr>
          <w:lang w:val="es-MX"/>
        </w:rPr>
        <w:t>386,950,740</w:t>
      </w:r>
      <w:r>
        <w:rPr>
          <w:lang w:val="es-MX"/>
        </w:rPr>
        <w:t>.</w:t>
      </w:r>
    </w:p>
    <w:p w14:paraId="3AF7DB5E" w14:textId="77777777" w:rsidR="008C10B0" w:rsidRDefault="008C10B0" w:rsidP="008C10B0">
      <w:pPr>
        <w:pStyle w:val="ROMANOS"/>
        <w:tabs>
          <w:tab w:val="clear" w:pos="720"/>
          <w:tab w:val="left" w:pos="284"/>
        </w:tabs>
        <w:spacing w:after="0" w:line="276" w:lineRule="auto"/>
        <w:ind w:left="284" w:firstLine="0"/>
        <w:rPr>
          <w:b/>
          <w:lang w:val="es-MX"/>
        </w:rPr>
      </w:pPr>
    </w:p>
    <w:p w14:paraId="51A77399" w14:textId="77777777" w:rsidR="008C10B0" w:rsidRPr="00D71A33" w:rsidRDefault="008C10B0" w:rsidP="008C10B0">
      <w:pPr>
        <w:pStyle w:val="ROMANOS"/>
        <w:tabs>
          <w:tab w:val="clear" w:pos="720"/>
          <w:tab w:val="left" w:pos="284"/>
        </w:tabs>
        <w:spacing w:after="0" w:line="276" w:lineRule="auto"/>
        <w:ind w:left="284" w:firstLine="0"/>
        <w:rPr>
          <w:b/>
          <w:lang w:val="es-MX"/>
        </w:rPr>
      </w:pPr>
      <w:r w:rsidRPr="00D71A33">
        <w:rPr>
          <w:b/>
          <w:lang w:val="es-MX"/>
        </w:rPr>
        <w:t>Actividades de Financia</w:t>
      </w:r>
      <w:r>
        <w:rPr>
          <w:b/>
          <w:lang w:val="es-MX"/>
        </w:rPr>
        <w:t>miento</w:t>
      </w:r>
    </w:p>
    <w:p w14:paraId="0E0C0D5F" w14:textId="77777777" w:rsidR="0032116E" w:rsidRDefault="008C10B0" w:rsidP="008C10B0">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w:t>
      </w:r>
      <w:proofErr w:type="gramStart"/>
      <w:r>
        <w:rPr>
          <w:lang w:val="es-MX"/>
        </w:rPr>
        <w:t xml:space="preserve">que </w:t>
      </w:r>
      <w:r w:rsidRPr="006D5097">
        <w:rPr>
          <w:lang w:val="es-MX"/>
        </w:rPr>
        <w:t xml:space="preserve"> se</w:t>
      </w:r>
      <w:proofErr w:type="gramEnd"/>
      <w:r w:rsidRPr="006D5097">
        <w:rPr>
          <w:lang w:val="es-MX"/>
        </w:rPr>
        <w:t xml:space="preserve"> llevó a cabo el reconocimiento de</w:t>
      </w:r>
      <w:r>
        <w:rPr>
          <w:lang w:val="es-MX"/>
        </w:rPr>
        <w:t xml:space="preserve"> las obras no capitalizables las cuales se registraron en </w:t>
      </w:r>
      <w:r w:rsidRPr="006D5097">
        <w:rPr>
          <w:lang w:val="es-MX"/>
        </w:rPr>
        <w:t>la partid</w:t>
      </w:r>
    </w:p>
    <w:p w14:paraId="200A953E" w14:textId="274E9DE4" w:rsidR="008C10B0" w:rsidRDefault="008C10B0" w:rsidP="008C10B0">
      <w:pPr>
        <w:pStyle w:val="ROMANOS"/>
        <w:tabs>
          <w:tab w:val="clear" w:pos="720"/>
          <w:tab w:val="left" w:pos="284"/>
        </w:tabs>
        <w:spacing w:after="0" w:line="276" w:lineRule="auto"/>
        <w:ind w:left="284" w:firstLine="0"/>
        <w:rPr>
          <w:lang w:val="es-MX"/>
        </w:rPr>
      </w:pPr>
      <w:r w:rsidRPr="006D5097">
        <w:rPr>
          <w:lang w:val="es-MX"/>
        </w:rPr>
        <w:t>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w:t>
      </w:r>
      <w:r>
        <w:rPr>
          <w:lang w:val="es-MX"/>
        </w:rPr>
        <w:t>31</w:t>
      </w:r>
      <w:r w:rsidRPr="00DA18AC">
        <w:rPr>
          <w:lang w:val="es-MX"/>
        </w:rPr>
        <w:t xml:space="preserve"> de </w:t>
      </w:r>
      <w:r w:rsidR="0032116E">
        <w:rPr>
          <w:lang w:val="es-MX"/>
        </w:rPr>
        <w:t>diciembre</w:t>
      </w:r>
      <w:r w:rsidRPr="00DA18AC">
        <w:rPr>
          <w:lang w:val="es-MX"/>
        </w:rPr>
        <w:t xml:space="preserve"> de 20</w:t>
      </w:r>
      <w:r>
        <w:rPr>
          <w:lang w:val="es-MX"/>
        </w:rPr>
        <w:t>2</w:t>
      </w:r>
      <w:r w:rsidR="00AA526E">
        <w:rPr>
          <w:lang w:val="es-MX"/>
        </w:rPr>
        <w:t>5</w:t>
      </w:r>
      <w:r w:rsidRPr="00DA18AC">
        <w:rPr>
          <w:lang w:val="es-MX"/>
        </w:rPr>
        <w:t xml:space="preserve"> de </w:t>
      </w:r>
      <w:r w:rsidR="00AA526E">
        <w:rPr>
          <w:lang w:val="es-MX"/>
        </w:rPr>
        <w:t>-</w:t>
      </w:r>
      <w:r w:rsidRPr="00DA18AC">
        <w:rPr>
          <w:lang w:val="es-MX"/>
        </w:rPr>
        <w:t>$</w:t>
      </w:r>
      <w:r w:rsidR="0032116E">
        <w:rPr>
          <w:lang w:val="es-MX"/>
        </w:rPr>
        <w:t>2,191,974,179</w:t>
      </w:r>
      <w:r w:rsidRPr="00DA18AC">
        <w:rPr>
          <w:lang w:val="es-MX"/>
        </w:rPr>
        <w:t>.</w:t>
      </w:r>
    </w:p>
    <w:p w14:paraId="510C2B23" w14:textId="77777777" w:rsidR="008C10B0" w:rsidRDefault="008C10B0" w:rsidP="008C10B0">
      <w:pPr>
        <w:pStyle w:val="ROMANOS"/>
        <w:tabs>
          <w:tab w:val="clear" w:pos="720"/>
          <w:tab w:val="left" w:pos="284"/>
        </w:tabs>
        <w:spacing w:after="0" w:line="276" w:lineRule="auto"/>
        <w:ind w:left="284" w:firstLine="0"/>
        <w:rPr>
          <w:lang w:val="es-MX"/>
        </w:rPr>
      </w:pPr>
    </w:p>
    <w:p w14:paraId="5ADFBFB8" w14:textId="77777777" w:rsidR="008C10B0" w:rsidRPr="002640DB" w:rsidRDefault="008C10B0" w:rsidP="008C10B0">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54CAE629" w14:textId="77777777" w:rsidR="008C10B0" w:rsidRDefault="008C10B0" w:rsidP="008C10B0">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8C10B0" w:rsidRPr="00450621" w14:paraId="6D53A84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06EC9774"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3D7AE77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F0EFED9"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2F14289D"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D6B25F3"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529BAED2" w14:textId="55B99C24" w:rsidR="008C10B0" w:rsidRPr="00DA460F" w:rsidRDefault="008C10B0" w:rsidP="009C5253">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9C5253">
              <w:rPr>
                <w:rFonts w:ascii="Arial" w:eastAsia="Times New Roman" w:hAnsi="Arial" w:cs="Arial"/>
                <w:b/>
                <w:sz w:val="18"/>
                <w:szCs w:val="18"/>
                <w:lang w:eastAsia="es-ES"/>
              </w:rPr>
              <w:t>5</w:t>
            </w:r>
          </w:p>
        </w:tc>
        <w:tc>
          <w:tcPr>
            <w:tcW w:w="1708" w:type="dxa"/>
            <w:tcBorders>
              <w:top w:val="single" w:sz="6" w:space="0" w:color="auto"/>
              <w:left w:val="single" w:sz="6" w:space="0" w:color="auto"/>
              <w:bottom w:val="single" w:sz="6" w:space="0" w:color="auto"/>
              <w:right w:val="single" w:sz="6" w:space="0" w:color="auto"/>
            </w:tcBorders>
          </w:tcPr>
          <w:p w14:paraId="398E9C6F" w14:textId="186A78B1" w:rsidR="008C10B0" w:rsidRPr="00DA460F" w:rsidRDefault="00341678"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2024</w:t>
            </w:r>
          </w:p>
        </w:tc>
      </w:tr>
      <w:tr w:rsidR="008C10B0" w:rsidRPr="00450621" w14:paraId="5DF70B33"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3366E428"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0D4B9333" w14:textId="65FCCC91" w:rsidR="008C10B0" w:rsidRPr="00450621" w:rsidRDefault="007B0AA3"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641,246,639</w:t>
            </w:r>
          </w:p>
        </w:tc>
        <w:tc>
          <w:tcPr>
            <w:tcW w:w="1708" w:type="dxa"/>
            <w:tcBorders>
              <w:top w:val="single" w:sz="6" w:space="0" w:color="auto"/>
              <w:left w:val="single" w:sz="6" w:space="0" w:color="auto"/>
              <w:bottom w:val="single" w:sz="6" w:space="0" w:color="auto"/>
              <w:right w:val="single" w:sz="6" w:space="0" w:color="auto"/>
            </w:tcBorders>
          </w:tcPr>
          <w:p w14:paraId="275AB5A4" w14:textId="6D4B7F1B"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768,823,033</w:t>
            </w:r>
          </w:p>
        </w:tc>
      </w:tr>
      <w:tr w:rsidR="008C10B0" w:rsidRPr="00450621" w14:paraId="2A62D9A1"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69758D5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DBB9546"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005A7C65"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281DC3B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2D43AC0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82BC67D" w14:textId="205F60C8" w:rsidR="008C10B0" w:rsidRPr="00450621" w:rsidRDefault="007B0AA3"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2,100,015,009</w:t>
            </w:r>
          </w:p>
        </w:tc>
        <w:tc>
          <w:tcPr>
            <w:tcW w:w="1708" w:type="dxa"/>
            <w:tcBorders>
              <w:top w:val="single" w:sz="6" w:space="0" w:color="auto"/>
              <w:left w:val="single" w:sz="6" w:space="0" w:color="auto"/>
              <w:bottom w:val="single" w:sz="6" w:space="0" w:color="auto"/>
              <w:right w:val="single" w:sz="6" w:space="0" w:color="auto"/>
            </w:tcBorders>
          </w:tcPr>
          <w:p w14:paraId="626A6E7E" w14:textId="6829A38F"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2,217,011,800</w:t>
            </w:r>
          </w:p>
        </w:tc>
      </w:tr>
      <w:tr w:rsidR="008C10B0" w:rsidRPr="00450621" w14:paraId="5134122B"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EB466A"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14F903B0"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300F2CBD"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8C10B0" w:rsidRPr="00450621" w14:paraId="00FA2B64"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55A9EEB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733795F4" w14:textId="389614AB" w:rsidR="008C10B0" w:rsidRPr="00450621" w:rsidRDefault="007B0AA3"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172,703,114</w:t>
            </w:r>
          </w:p>
        </w:tc>
        <w:tc>
          <w:tcPr>
            <w:tcW w:w="1708" w:type="dxa"/>
            <w:tcBorders>
              <w:top w:val="single" w:sz="6" w:space="0" w:color="auto"/>
              <w:left w:val="single" w:sz="6" w:space="0" w:color="auto"/>
              <w:bottom w:val="single" w:sz="6" w:space="0" w:color="auto"/>
              <w:right w:val="single" w:sz="6" w:space="0" w:color="auto"/>
            </w:tcBorders>
          </w:tcPr>
          <w:p w14:paraId="3680A9AD" w14:textId="3A9651F6" w:rsidR="008C10B0" w:rsidRPr="00450621" w:rsidRDefault="00341678"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151,707,171</w:t>
            </w:r>
          </w:p>
        </w:tc>
      </w:tr>
      <w:tr w:rsidR="008C10B0" w:rsidRPr="00450621" w14:paraId="495BA80F" w14:textId="77777777" w:rsidTr="008C10B0">
        <w:trPr>
          <w:cantSplit/>
          <w:jc w:val="center"/>
        </w:trPr>
        <w:tc>
          <w:tcPr>
            <w:tcW w:w="4450" w:type="dxa"/>
            <w:tcBorders>
              <w:top w:val="single" w:sz="6" w:space="0" w:color="auto"/>
              <w:left w:val="single" w:sz="6" w:space="0" w:color="auto"/>
              <w:bottom w:val="single" w:sz="6" w:space="0" w:color="auto"/>
              <w:right w:val="single" w:sz="6" w:space="0" w:color="auto"/>
            </w:tcBorders>
          </w:tcPr>
          <w:p w14:paraId="185F5121"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1BB82281" w14:textId="5709B732" w:rsidR="008C10B0" w:rsidRPr="009B66AA" w:rsidRDefault="007B0AA3" w:rsidP="009C5253">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2,913,964,761</w:t>
            </w:r>
          </w:p>
        </w:tc>
        <w:tc>
          <w:tcPr>
            <w:tcW w:w="1708" w:type="dxa"/>
            <w:tcBorders>
              <w:top w:val="single" w:sz="6" w:space="0" w:color="auto"/>
              <w:left w:val="single" w:sz="6" w:space="0" w:color="auto"/>
              <w:bottom w:val="single" w:sz="6" w:space="0" w:color="auto"/>
              <w:right w:val="single" w:sz="6" w:space="0" w:color="auto"/>
            </w:tcBorders>
          </w:tcPr>
          <w:p w14:paraId="021060BB" w14:textId="07F9B4E4" w:rsidR="008C10B0" w:rsidRPr="009B66AA" w:rsidRDefault="00341678" w:rsidP="008C10B0">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3,137,542,0004</w:t>
            </w:r>
          </w:p>
        </w:tc>
      </w:tr>
    </w:tbl>
    <w:p w14:paraId="5C4B1989" w14:textId="77777777" w:rsidR="008C10B0" w:rsidRDefault="008C10B0" w:rsidP="008C10B0">
      <w:pPr>
        <w:pStyle w:val="INCISO"/>
        <w:tabs>
          <w:tab w:val="left" w:pos="284"/>
        </w:tabs>
        <w:spacing w:after="0" w:line="276" w:lineRule="auto"/>
        <w:ind w:left="284" w:firstLine="0"/>
        <w:rPr>
          <w:b/>
          <w:smallCaps/>
        </w:rPr>
      </w:pPr>
    </w:p>
    <w:p w14:paraId="481F79E8" w14:textId="77777777" w:rsidR="008C10B0" w:rsidRDefault="008C10B0" w:rsidP="008C10B0">
      <w:pPr>
        <w:pStyle w:val="INCISO"/>
        <w:numPr>
          <w:ilvl w:val="0"/>
          <w:numId w:val="9"/>
        </w:numPr>
        <w:tabs>
          <w:tab w:val="left" w:pos="284"/>
        </w:tabs>
        <w:spacing w:after="0" w:line="276" w:lineRule="auto"/>
        <w:rPr>
          <w:b/>
          <w:smallCaps/>
        </w:rPr>
      </w:pPr>
    </w:p>
    <w:p w14:paraId="7A948AA6" w14:textId="77777777" w:rsidR="008C10B0" w:rsidRDefault="008C10B0" w:rsidP="008C10B0">
      <w:pPr>
        <w:pStyle w:val="INCISO"/>
        <w:tabs>
          <w:tab w:val="left" w:pos="284"/>
        </w:tabs>
        <w:spacing w:after="0" w:line="276" w:lineRule="auto"/>
        <w:ind w:left="284" w:firstLine="0"/>
        <w:rPr>
          <w:b/>
          <w:smallCaps/>
        </w:rPr>
      </w:pPr>
    </w:p>
    <w:p w14:paraId="2F980C8C"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2. Adquisiciones de las Actividades de Inversión efectivamente pagadas, respecto del apartado de aplicación.</w:t>
      </w:r>
    </w:p>
    <w:p w14:paraId="772635A4" w14:textId="77777777" w:rsidR="008C10B0" w:rsidRDefault="008C10B0" w:rsidP="008C10B0">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31719C31"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FE4CC2B"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7793D33"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12DB47A"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2E909C5A"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6E81BE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0277C3ED" w14:textId="7B867DA4"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47A3FE17"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79578B86" w14:textId="3D9A913F" w:rsidR="008C10B0" w:rsidRDefault="00E7213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r>
      <w:tr w:rsidR="008C10B0" w:rsidRPr="00450621" w14:paraId="5A21C8A4"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CCAE828"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0F3940F8" w14:textId="16CCAF24" w:rsidR="008C10B0" w:rsidRPr="00450621" w:rsidRDefault="003C1FC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1,923,825,848</w:t>
            </w:r>
          </w:p>
        </w:tc>
        <w:tc>
          <w:tcPr>
            <w:tcW w:w="1267" w:type="dxa"/>
            <w:tcBorders>
              <w:top w:val="nil"/>
              <w:left w:val="nil"/>
              <w:bottom w:val="single" w:sz="4" w:space="0" w:color="000000"/>
              <w:right w:val="single" w:sz="4" w:space="0" w:color="000000"/>
            </w:tcBorders>
            <w:shd w:val="clear" w:color="000000" w:fill="FFFFFF"/>
          </w:tcPr>
          <w:p w14:paraId="227E1614" w14:textId="56D5BCC8"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1,588,400,456</w:t>
            </w:r>
          </w:p>
        </w:tc>
      </w:tr>
      <w:tr w:rsidR="008C10B0" w:rsidRPr="00450621" w14:paraId="4D1E6A9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1B3170"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77448B2C" w14:textId="0E3FC8B9" w:rsidR="008C10B0" w:rsidRPr="00450621" w:rsidRDefault="003C1F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51,889,512</w:t>
            </w:r>
          </w:p>
        </w:tc>
        <w:tc>
          <w:tcPr>
            <w:tcW w:w="1267" w:type="dxa"/>
            <w:tcBorders>
              <w:top w:val="nil"/>
              <w:left w:val="nil"/>
              <w:bottom w:val="single" w:sz="4" w:space="0" w:color="000000"/>
              <w:right w:val="single" w:sz="4" w:space="0" w:color="000000"/>
            </w:tcBorders>
            <w:shd w:val="clear" w:color="000000" w:fill="FFFFFF"/>
          </w:tcPr>
          <w:p w14:paraId="1B9C0FFF" w14:textId="7A4D3CC3"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15,624,379</w:t>
            </w:r>
          </w:p>
        </w:tc>
      </w:tr>
      <w:tr w:rsidR="008C10B0" w:rsidRPr="00450621" w14:paraId="60CC6CCB"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2EC5B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608F85F6"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D1319A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1366AF7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76801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661CABC0"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74F5C3D5"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4A6C9640"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566A0C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2D32DAB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12FE8C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21CF5AF"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CDFC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48B2B169" w14:textId="481BEC4B" w:rsidR="008C10B0" w:rsidRPr="00450621" w:rsidRDefault="003C1F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654,251,648</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A4CDF3E" w14:textId="39A881B4"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510,972,078</w:t>
            </w:r>
          </w:p>
        </w:tc>
      </w:tr>
      <w:tr w:rsidR="008C10B0" w:rsidRPr="00450621" w14:paraId="7C8FD6B8"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0A223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5BCEE062" w14:textId="665E00CD" w:rsidR="008C10B0" w:rsidRPr="00450621" w:rsidRDefault="003C1FC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1,217,684,688</w:t>
            </w:r>
            <w:r w:rsidR="008C10B0"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A82F222" w14:textId="5D9F0A1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1,061,803,999</w:t>
            </w:r>
          </w:p>
        </w:tc>
      </w:tr>
      <w:tr w:rsidR="008C10B0" w:rsidRPr="00450621" w14:paraId="7467C9A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52D3EE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23D36A6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A5D1A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01498352"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B00667"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7F270AB" w14:textId="2E3B63A2" w:rsidR="008C10B0" w:rsidRPr="00FF5A7D" w:rsidRDefault="00250AC2"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257,289,362</w:t>
            </w:r>
          </w:p>
        </w:tc>
        <w:tc>
          <w:tcPr>
            <w:tcW w:w="1267" w:type="dxa"/>
            <w:tcBorders>
              <w:top w:val="nil"/>
              <w:left w:val="nil"/>
              <w:bottom w:val="single" w:sz="4" w:space="0" w:color="000000"/>
              <w:right w:val="single" w:sz="4" w:space="0" w:color="000000"/>
            </w:tcBorders>
            <w:shd w:val="clear" w:color="000000" w:fill="FFFFFF"/>
          </w:tcPr>
          <w:p w14:paraId="4AD8FC07" w14:textId="0834A79D" w:rsidR="008C10B0" w:rsidRPr="00FF5A7D"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529,041,562</w:t>
            </w:r>
          </w:p>
        </w:tc>
      </w:tr>
      <w:tr w:rsidR="008C10B0" w:rsidRPr="00450621" w14:paraId="434BCC0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3F8E0B"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2D39311D" w14:textId="60C42BFF" w:rsidR="008C10B0" w:rsidRPr="00450621" w:rsidRDefault="00250AC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4,659,800</w:t>
            </w:r>
          </w:p>
        </w:tc>
        <w:tc>
          <w:tcPr>
            <w:tcW w:w="1267" w:type="dxa"/>
            <w:tcBorders>
              <w:top w:val="nil"/>
              <w:left w:val="nil"/>
              <w:bottom w:val="single" w:sz="4" w:space="0" w:color="000000"/>
              <w:right w:val="single" w:sz="4" w:space="0" w:color="000000"/>
            </w:tcBorders>
            <w:shd w:val="clear" w:color="000000" w:fill="FFFFFF"/>
          </w:tcPr>
          <w:p w14:paraId="061DE0F5" w14:textId="25B270B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68,843,939</w:t>
            </w:r>
          </w:p>
        </w:tc>
      </w:tr>
      <w:tr w:rsidR="008C10B0" w:rsidRPr="00450621" w14:paraId="1E3639E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DFFFA4"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255F0627" w14:textId="44B85C1A" w:rsidR="008C10B0" w:rsidRDefault="00250AC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441,841</w:t>
            </w:r>
          </w:p>
          <w:p w14:paraId="497BD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FBDC4DE" w14:textId="5C306B5E"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37,483,870</w:t>
            </w:r>
          </w:p>
        </w:tc>
      </w:tr>
      <w:tr w:rsidR="008C10B0" w:rsidRPr="00450621" w14:paraId="6DEA00B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1588181"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5B6CEDE1" w14:textId="0745AEE0" w:rsidR="008C10B0" w:rsidRPr="00450621" w:rsidRDefault="00250AC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2,259,848</w:t>
            </w:r>
          </w:p>
        </w:tc>
        <w:tc>
          <w:tcPr>
            <w:tcW w:w="1267" w:type="dxa"/>
            <w:tcBorders>
              <w:top w:val="nil"/>
              <w:left w:val="nil"/>
              <w:bottom w:val="single" w:sz="4" w:space="0" w:color="000000"/>
              <w:right w:val="single" w:sz="4" w:space="0" w:color="000000"/>
            </w:tcBorders>
            <w:shd w:val="clear" w:color="000000" w:fill="FFFFFF"/>
          </w:tcPr>
          <w:p w14:paraId="7CEEBD88" w14:textId="433D254F"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28,626,603</w:t>
            </w:r>
          </w:p>
        </w:tc>
      </w:tr>
      <w:tr w:rsidR="008C10B0" w:rsidRPr="00450621" w14:paraId="4ECF697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2A657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068453BD" w14:textId="5F7EB427" w:rsidR="008C10B0" w:rsidRPr="00450621" w:rsidRDefault="00250AC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42,505,892</w:t>
            </w:r>
          </w:p>
        </w:tc>
        <w:tc>
          <w:tcPr>
            <w:tcW w:w="1267" w:type="dxa"/>
            <w:tcBorders>
              <w:top w:val="nil"/>
              <w:left w:val="nil"/>
              <w:bottom w:val="single" w:sz="4" w:space="0" w:color="000000"/>
              <w:right w:val="single" w:sz="4" w:space="0" w:color="000000"/>
            </w:tcBorders>
            <w:shd w:val="clear" w:color="000000" w:fill="FFFFFF"/>
          </w:tcPr>
          <w:p w14:paraId="1D8D3FA5" w14:textId="36893EED"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127,242,603</w:t>
            </w:r>
          </w:p>
        </w:tc>
      </w:tr>
      <w:tr w:rsidR="008C10B0" w:rsidRPr="00450621" w14:paraId="51A9004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0CFF5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3BACD75E" w14:textId="1FDE209E" w:rsidR="008C10B0" w:rsidRPr="00450621" w:rsidRDefault="00250AC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11,108,155</w:t>
            </w:r>
          </w:p>
        </w:tc>
        <w:tc>
          <w:tcPr>
            <w:tcW w:w="1267" w:type="dxa"/>
            <w:tcBorders>
              <w:top w:val="nil"/>
              <w:left w:val="nil"/>
              <w:bottom w:val="single" w:sz="4" w:space="0" w:color="000000"/>
              <w:right w:val="single" w:sz="4" w:space="0" w:color="000000"/>
            </w:tcBorders>
            <w:shd w:val="clear" w:color="000000" w:fill="FFFFFF"/>
          </w:tcPr>
          <w:p w14:paraId="70CF0969" w14:textId="4FE4D9A6"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3,629,837</w:t>
            </w:r>
          </w:p>
        </w:tc>
      </w:tr>
      <w:tr w:rsidR="008C10B0" w:rsidRPr="00450621" w14:paraId="20F9C07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B7D46E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70156627" w14:textId="28496CF4" w:rsidR="008C10B0" w:rsidRPr="00450621" w:rsidRDefault="00250AC2"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158,383,222</w:t>
            </w:r>
          </w:p>
        </w:tc>
        <w:tc>
          <w:tcPr>
            <w:tcW w:w="1267" w:type="dxa"/>
            <w:tcBorders>
              <w:top w:val="nil"/>
              <w:left w:val="nil"/>
              <w:bottom w:val="single" w:sz="4" w:space="0" w:color="000000"/>
              <w:right w:val="single" w:sz="4" w:space="0" w:color="000000"/>
            </w:tcBorders>
            <w:shd w:val="clear" w:color="000000" w:fill="FFFFFF"/>
          </w:tcPr>
          <w:p w14:paraId="7FFCD163" w14:textId="3B69CF37" w:rsidR="008C10B0" w:rsidRPr="00450621" w:rsidRDefault="00E72137"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263,214,710</w:t>
            </w:r>
          </w:p>
        </w:tc>
      </w:tr>
      <w:tr w:rsidR="008C10B0" w:rsidRPr="00450621" w14:paraId="2150F8B9"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8599F06"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11368472"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7383C60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54BD26B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A62A68D"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759C44CA"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707E3D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7C8193E"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842D39" w14:textId="77777777" w:rsidR="008C10B0" w:rsidRPr="00F8171F" w:rsidRDefault="008C10B0" w:rsidP="008C10B0">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24C7DA9F" w14:textId="11156AD9" w:rsidR="008C10B0" w:rsidRPr="00F8171F" w:rsidRDefault="004D0562"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168,225,142</w:t>
            </w:r>
          </w:p>
        </w:tc>
        <w:tc>
          <w:tcPr>
            <w:tcW w:w="1267" w:type="dxa"/>
            <w:tcBorders>
              <w:top w:val="nil"/>
              <w:left w:val="nil"/>
              <w:bottom w:val="single" w:sz="4" w:space="0" w:color="000000"/>
              <w:right w:val="single" w:sz="4" w:space="0" w:color="000000"/>
            </w:tcBorders>
            <w:shd w:val="clear" w:color="000000" w:fill="FFFFFF"/>
          </w:tcPr>
          <w:p w14:paraId="221AC36E" w14:textId="279D92DA" w:rsidR="008C10B0" w:rsidRPr="00F8171F" w:rsidRDefault="00E72137" w:rsidP="008C10B0">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62,677,733</w:t>
            </w:r>
          </w:p>
        </w:tc>
      </w:tr>
      <w:tr w:rsidR="008C10B0" w:rsidRPr="00450621" w14:paraId="75F4146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27D47E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2B3C1D72" w14:textId="1C8F2F7D" w:rsidR="008C10B0" w:rsidRPr="00450621" w:rsidRDefault="004D0562"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2,349,340,353</w:t>
            </w:r>
          </w:p>
        </w:tc>
        <w:tc>
          <w:tcPr>
            <w:tcW w:w="1267" w:type="dxa"/>
            <w:tcBorders>
              <w:top w:val="nil"/>
              <w:left w:val="nil"/>
              <w:bottom w:val="single" w:sz="4" w:space="0" w:color="000000"/>
              <w:right w:val="single" w:sz="4" w:space="0" w:color="000000"/>
            </w:tcBorders>
            <w:shd w:val="clear" w:color="000000" w:fill="D3D3D3"/>
          </w:tcPr>
          <w:p w14:paraId="3C425E8E"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p w14:paraId="593233A5" w14:textId="00F138F9" w:rsidR="008C10B0" w:rsidRDefault="00E72137"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2,180,119,751</w:t>
            </w:r>
          </w:p>
        </w:tc>
      </w:tr>
    </w:tbl>
    <w:p w14:paraId="2FBFE752" w14:textId="77777777" w:rsidR="008C10B0" w:rsidRDefault="008C10B0" w:rsidP="008C10B0">
      <w:pPr>
        <w:pStyle w:val="INCISO"/>
        <w:tabs>
          <w:tab w:val="left" w:pos="284"/>
        </w:tabs>
        <w:spacing w:after="0" w:line="276" w:lineRule="auto"/>
        <w:ind w:left="284" w:firstLine="0"/>
        <w:rPr>
          <w:b/>
          <w:smallCaps/>
        </w:rPr>
      </w:pPr>
    </w:p>
    <w:p w14:paraId="701A1345" w14:textId="77777777" w:rsidR="008C10B0" w:rsidRDefault="008C10B0" w:rsidP="008C10B0">
      <w:pPr>
        <w:spacing w:after="0" w:line="240" w:lineRule="exact"/>
        <w:mirrorIndents/>
        <w:jc w:val="both"/>
        <w:rPr>
          <w:rFonts w:ascii="Arial" w:eastAsia="Times New Roman" w:hAnsi="Arial" w:cs="Arial"/>
          <w:sz w:val="18"/>
          <w:szCs w:val="18"/>
          <w:lang w:eastAsia="es-ES"/>
        </w:rPr>
      </w:pPr>
      <w:r w:rsidRPr="002640DB">
        <w:rPr>
          <w:rFonts w:ascii="Arial" w:eastAsia="Times New Roman" w:hAnsi="Arial" w:cs="Arial"/>
          <w:sz w:val="18"/>
          <w:szCs w:val="18"/>
          <w:lang w:eastAsia="es-ES"/>
        </w:rPr>
        <w:t>3. Conciliación de los Flujos de Efectivo Netos de las Actividades de Operación y los saldos de Resultados del Ejercicio (Ahorro/Desahorro).</w:t>
      </w:r>
    </w:p>
    <w:p w14:paraId="33624025" w14:textId="77777777" w:rsidR="008C10B0" w:rsidRDefault="008C10B0" w:rsidP="008C10B0">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8C10B0" w:rsidRPr="00450621" w14:paraId="236BF042" w14:textId="77777777" w:rsidTr="008C10B0">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5B438B81"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94BB951" w14:textId="77777777" w:rsidR="008C10B0" w:rsidRPr="00450621" w:rsidRDefault="008C10B0" w:rsidP="008C10B0">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79113004" w14:textId="77777777" w:rsidR="008C10B0" w:rsidRDefault="008C10B0" w:rsidP="008C10B0">
            <w:pPr>
              <w:spacing w:after="0" w:line="240" w:lineRule="auto"/>
              <w:jc w:val="right"/>
              <w:rPr>
                <w:rFonts w:ascii="Arial" w:eastAsia="Times New Roman" w:hAnsi="Arial" w:cs="Arial"/>
                <w:b/>
                <w:bCs/>
                <w:color w:val="000000"/>
                <w:sz w:val="16"/>
                <w:szCs w:val="16"/>
                <w:lang w:eastAsia="es-MX"/>
              </w:rPr>
            </w:pPr>
          </w:p>
        </w:tc>
      </w:tr>
      <w:tr w:rsidR="008C10B0" w:rsidRPr="00450621" w14:paraId="34CA8009" w14:textId="77777777" w:rsidTr="008C10B0">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7EECCF8B"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5DE2F0D8" w14:textId="4C247B72" w:rsidR="008C10B0" w:rsidRDefault="005B3AB4"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2025</w:t>
            </w:r>
          </w:p>
        </w:tc>
        <w:tc>
          <w:tcPr>
            <w:tcW w:w="1267" w:type="dxa"/>
            <w:tcBorders>
              <w:top w:val="single" w:sz="4" w:space="0" w:color="000000"/>
              <w:left w:val="nil"/>
              <w:bottom w:val="single" w:sz="4" w:space="0" w:color="000000"/>
              <w:right w:val="single" w:sz="4" w:space="0" w:color="000000"/>
            </w:tcBorders>
            <w:shd w:val="clear" w:color="000000" w:fill="D3D3D3"/>
          </w:tcPr>
          <w:p w14:paraId="663E774B" w14:textId="77777777" w:rsidR="008C10B0" w:rsidRDefault="008C10B0" w:rsidP="008C10B0">
            <w:pPr>
              <w:spacing w:after="0" w:line="240" w:lineRule="auto"/>
              <w:jc w:val="center"/>
              <w:rPr>
                <w:rFonts w:ascii="Arial" w:eastAsia="Times New Roman" w:hAnsi="Arial" w:cs="Arial"/>
                <w:b/>
                <w:bCs/>
                <w:color w:val="000000"/>
                <w:sz w:val="16"/>
                <w:szCs w:val="16"/>
                <w:lang w:eastAsia="es-MX"/>
              </w:rPr>
            </w:pPr>
          </w:p>
          <w:p w14:paraId="05735683" w14:textId="645104DC" w:rsidR="008C10B0" w:rsidRDefault="00903CC7" w:rsidP="008C10B0">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w:t>
            </w:r>
            <w:r w:rsidR="005B3AB4">
              <w:rPr>
                <w:rFonts w:ascii="Arial" w:eastAsia="Times New Roman" w:hAnsi="Arial" w:cs="Arial"/>
                <w:b/>
                <w:bCs/>
                <w:color w:val="000000"/>
                <w:sz w:val="16"/>
                <w:szCs w:val="16"/>
                <w:lang w:eastAsia="es-MX"/>
              </w:rPr>
              <w:t>4</w:t>
            </w:r>
          </w:p>
        </w:tc>
      </w:tr>
      <w:tr w:rsidR="008C10B0" w:rsidRPr="00450621" w14:paraId="29EC8701"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579EA5B2" w14:textId="77777777" w:rsidR="008C10B0" w:rsidRPr="00450621" w:rsidRDefault="008C10B0" w:rsidP="008C10B0">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7C4781FD" w14:textId="06329C67" w:rsidR="008C10B0" w:rsidRPr="00450621" w:rsidRDefault="004D0562"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2,355,461,108</w:t>
            </w:r>
          </w:p>
        </w:tc>
        <w:tc>
          <w:tcPr>
            <w:tcW w:w="1267" w:type="dxa"/>
            <w:tcBorders>
              <w:top w:val="nil"/>
              <w:left w:val="nil"/>
              <w:bottom w:val="single" w:sz="4" w:space="0" w:color="000000"/>
              <w:right w:val="single" w:sz="4" w:space="0" w:color="000000"/>
            </w:tcBorders>
            <w:shd w:val="clear" w:color="000000" w:fill="FFFFFF"/>
          </w:tcPr>
          <w:p w14:paraId="5E52CF6E" w14:textId="5458EAF5" w:rsidR="008C10B0" w:rsidRDefault="008A338A"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2,202,659,488</w:t>
            </w:r>
          </w:p>
        </w:tc>
      </w:tr>
      <w:tr w:rsidR="008C10B0" w:rsidRPr="00450621" w14:paraId="1E892814"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203F53F"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1CE46175"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07B8AD1"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6067FB5C"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ED34AEE"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5AEE4C43"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02F0869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8E3C48" w14:paraId="71512835"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22F49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280DC1C9" w14:textId="77777777" w:rsidR="008C10B0" w:rsidRPr="008E3C48"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32D004B3" w14:textId="77777777" w:rsidR="008C10B0" w:rsidRPr="008E3C48" w:rsidRDefault="008C10B0" w:rsidP="008C10B0">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8C10B0" w:rsidRPr="00450621" w14:paraId="2C1BE81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8069A5"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4661CA77"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30A103CF" w14:textId="77777777" w:rsidR="008C10B0"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889B83A"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5A4075C"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40BB2D10"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7BC9414"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4F33FA51"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6D77AA"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1094927F"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EC4CE88"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7FE54D37" w14:textId="77777777" w:rsidTr="008C10B0">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16D723" w14:textId="77777777" w:rsidR="008C10B0" w:rsidRPr="00450621" w:rsidRDefault="008C10B0" w:rsidP="008C10B0">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F4807CC"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495FEBC9" w14:textId="77777777" w:rsidR="008C10B0" w:rsidRPr="00450621" w:rsidRDefault="008C10B0" w:rsidP="008C10B0">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8C10B0" w:rsidRPr="00450621" w14:paraId="2D3316E9" w14:textId="77777777" w:rsidTr="008C10B0">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1AD036F6" w14:textId="77777777" w:rsidR="008C10B0" w:rsidRPr="00450621" w:rsidRDefault="008C10B0" w:rsidP="008C10B0">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40D93822" w14:textId="6F6B07D2" w:rsidR="008C10B0" w:rsidRPr="00450621" w:rsidRDefault="00E43BB5"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2,914,078,193</w:t>
            </w:r>
          </w:p>
        </w:tc>
        <w:tc>
          <w:tcPr>
            <w:tcW w:w="1267" w:type="dxa"/>
            <w:tcBorders>
              <w:top w:val="nil"/>
              <w:left w:val="nil"/>
              <w:bottom w:val="single" w:sz="4" w:space="0" w:color="000000"/>
              <w:right w:val="single" w:sz="4" w:space="0" w:color="000000"/>
            </w:tcBorders>
            <w:shd w:val="clear" w:color="000000" w:fill="D3D3D3"/>
          </w:tcPr>
          <w:p w14:paraId="684B561A" w14:textId="54A9F076" w:rsidR="008C10B0" w:rsidRDefault="00E43BB5" w:rsidP="008C10B0">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3,137,542,004</w:t>
            </w:r>
          </w:p>
        </w:tc>
      </w:tr>
    </w:tbl>
    <w:p w14:paraId="1C02BEF7" w14:textId="77777777" w:rsidR="008C10B0" w:rsidRDefault="008C10B0" w:rsidP="008C10B0">
      <w:pPr>
        <w:pStyle w:val="INCISO"/>
        <w:tabs>
          <w:tab w:val="left" w:pos="284"/>
        </w:tabs>
        <w:spacing w:after="0" w:line="276" w:lineRule="auto"/>
        <w:ind w:left="284" w:firstLine="0"/>
        <w:rPr>
          <w:b/>
          <w:smallCaps/>
        </w:rPr>
      </w:pPr>
    </w:p>
    <w:p w14:paraId="3064C6CC" w14:textId="77777777" w:rsidR="008C10B0" w:rsidRDefault="008C10B0" w:rsidP="008C10B0">
      <w:pPr>
        <w:pStyle w:val="INCISO"/>
        <w:tabs>
          <w:tab w:val="left" w:pos="284"/>
        </w:tabs>
        <w:spacing w:after="0" w:line="276" w:lineRule="auto"/>
        <w:ind w:left="284" w:firstLine="0"/>
        <w:rPr>
          <w:b/>
          <w:smallCaps/>
        </w:rPr>
      </w:pPr>
    </w:p>
    <w:p w14:paraId="252B5B60" w14:textId="77777777" w:rsidR="008C10B0" w:rsidRPr="0073056A" w:rsidRDefault="008C10B0" w:rsidP="008C10B0">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0B5D2E7F" w14:textId="77777777" w:rsidR="008C10B0" w:rsidRPr="0073056A" w:rsidRDefault="008C10B0" w:rsidP="008C10B0">
      <w:pPr>
        <w:pStyle w:val="Texto"/>
        <w:tabs>
          <w:tab w:val="left" w:pos="284"/>
        </w:tabs>
        <w:spacing w:after="0" w:line="276" w:lineRule="auto"/>
        <w:ind w:left="284" w:firstLine="0"/>
        <w:jc w:val="center"/>
        <w:rPr>
          <w:b/>
          <w:smallCaps/>
          <w:szCs w:val="18"/>
          <w:lang w:val="es-MX"/>
        </w:rPr>
      </w:pPr>
    </w:p>
    <w:p w14:paraId="10CD6F98" w14:textId="77777777" w:rsidR="008C10B0" w:rsidRPr="0073056A" w:rsidRDefault="008C10B0" w:rsidP="008C10B0">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343EC933" w14:textId="0815BBE5" w:rsidR="008C10B0" w:rsidRDefault="00F20FBF" w:rsidP="008C10B0">
      <w:pPr>
        <w:rPr>
          <w:lang w:eastAsia="es-ES"/>
        </w:rPr>
      </w:pPr>
      <w:r>
        <w:rPr>
          <w:noProof/>
          <w:szCs w:val="18"/>
          <w:lang w:val="es-ES" w:eastAsia="es-MX"/>
        </w:rPr>
        <w:object w:dxaOrig="1440" w:dyaOrig="1440" w14:anchorId="08E2FB0E">
          <v:shape id="_x0000_s2105" type="#_x0000_t75" style="position:absolute;margin-left:-40.85pt;margin-top:35.2pt;width:548.9pt;height:375.7pt;z-index:251669504">
            <v:imagedata r:id="rId33" o:title=""/>
            <w10:wrap type="topAndBottom"/>
          </v:shape>
          <o:OLEObject Type="Embed" ProgID="Excel.Sheet.12" ShapeID="_x0000_s2105" DrawAspect="Content" ObjectID="_1830678861" r:id="rId34"/>
        </w:object>
      </w:r>
    </w:p>
    <w:p w14:paraId="67B97F18" w14:textId="4CC6F79A" w:rsidR="008C10B0" w:rsidRPr="006942ED" w:rsidRDefault="008C10B0" w:rsidP="008C10B0">
      <w:pPr>
        <w:rPr>
          <w:lang w:eastAsia="es-ES"/>
        </w:rPr>
      </w:pPr>
    </w:p>
    <w:p w14:paraId="524DA631" w14:textId="77777777" w:rsidR="008C10B0" w:rsidRDefault="008C10B0" w:rsidP="008C10B0">
      <w:pPr>
        <w:ind w:firstLine="708"/>
        <w:rPr>
          <w:lang w:eastAsia="es-ES"/>
        </w:rPr>
      </w:pPr>
    </w:p>
    <w:p w14:paraId="07ED83EA" w14:textId="77777777" w:rsidR="008C10B0" w:rsidRDefault="00F20FBF" w:rsidP="008C10B0">
      <w:pPr>
        <w:ind w:firstLine="708"/>
        <w:rPr>
          <w:lang w:eastAsia="es-ES"/>
        </w:rPr>
      </w:pPr>
      <w:r>
        <w:rPr>
          <w:b/>
          <w:smallCaps/>
          <w:noProof/>
          <w:szCs w:val="18"/>
          <w:lang w:eastAsia="es-MX"/>
        </w:rPr>
        <w:object w:dxaOrig="1440" w:dyaOrig="1440" w14:anchorId="06C5EE27">
          <v:shape id="_x0000_s2106" type="#_x0000_t75" style="position:absolute;left:0;text-align:left;margin-left:-11.7pt;margin-top:12.75pt;width:537.2pt;height:508.4pt;z-index:251670528">
            <v:imagedata r:id="rId35" o:title=""/>
            <w10:wrap type="topAndBottom"/>
          </v:shape>
          <o:OLEObject Type="Embed" ProgID="Excel.Sheet.12" ShapeID="_x0000_s2106" DrawAspect="Content" ObjectID="_1830678862" r:id="rId36"/>
        </w:object>
      </w:r>
    </w:p>
    <w:p w14:paraId="3DEA60E1" w14:textId="77777777" w:rsidR="008C10B0" w:rsidRPr="006942ED" w:rsidRDefault="008C10B0" w:rsidP="008C10B0">
      <w:pPr>
        <w:ind w:firstLine="708"/>
        <w:rPr>
          <w:lang w:eastAsia="es-ES"/>
        </w:rPr>
      </w:pPr>
    </w:p>
    <w:p w14:paraId="63936C68" w14:textId="77777777" w:rsidR="008C10B0" w:rsidRDefault="008C10B0" w:rsidP="008C10B0">
      <w:pPr>
        <w:pStyle w:val="Texto"/>
        <w:tabs>
          <w:tab w:val="left" w:pos="284"/>
        </w:tabs>
        <w:spacing w:after="0" w:line="276" w:lineRule="auto"/>
        <w:ind w:left="284" w:firstLine="0"/>
        <w:jc w:val="center"/>
        <w:rPr>
          <w:b/>
          <w:szCs w:val="18"/>
        </w:rPr>
      </w:pPr>
    </w:p>
    <w:p w14:paraId="29B2B55D" w14:textId="77777777" w:rsidR="008C10B0" w:rsidRDefault="008C10B0" w:rsidP="008C10B0">
      <w:pPr>
        <w:pStyle w:val="Texto"/>
        <w:tabs>
          <w:tab w:val="left" w:pos="284"/>
        </w:tabs>
        <w:spacing w:after="0" w:line="276" w:lineRule="auto"/>
        <w:ind w:left="284" w:firstLine="0"/>
        <w:jc w:val="center"/>
        <w:rPr>
          <w:b/>
          <w:szCs w:val="18"/>
        </w:rPr>
      </w:pPr>
    </w:p>
    <w:p w14:paraId="47E4739F" w14:textId="77777777" w:rsidR="008C10B0" w:rsidRDefault="008C10B0" w:rsidP="008C10B0">
      <w:pPr>
        <w:pStyle w:val="Texto"/>
        <w:tabs>
          <w:tab w:val="left" w:pos="284"/>
        </w:tabs>
        <w:spacing w:after="0" w:line="276" w:lineRule="auto"/>
        <w:ind w:left="284" w:firstLine="0"/>
        <w:jc w:val="center"/>
        <w:rPr>
          <w:b/>
          <w:szCs w:val="18"/>
        </w:rPr>
      </w:pPr>
    </w:p>
    <w:p w14:paraId="22347581" w14:textId="77777777" w:rsidR="008C10B0" w:rsidRDefault="008C10B0" w:rsidP="008C10B0">
      <w:pPr>
        <w:pStyle w:val="Texto"/>
        <w:tabs>
          <w:tab w:val="left" w:pos="284"/>
        </w:tabs>
        <w:spacing w:after="0" w:line="276" w:lineRule="auto"/>
        <w:ind w:left="284" w:firstLine="0"/>
        <w:jc w:val="center"/>
        <w:rPr>
          <w:b/>
          <w:szCs w:val="18"/>
        </w:rPr>
      </w:pPr>
    </w:p>
    <w:p w14:paraId="13DDDF93" w14:textId="77777777" w:rsidR="0032116E" w:rsidRDefault="0032116E" w:rsidP="008C10B0">
      <w:pPr>
        <w:pStyle w:val="Texto"/>
        <w:tabs>
          <w:tab w:val="left" w:pos="284"/>
        </w:tabs>
        <w:spacing w:after="0" w:line="276" w:lineRule="auto"/>
        <w:ind w:left="284" w:firstLine="0"/>
        <w:jc w:val="center"/>
        <w:rPr>
          <w:b/>
          <w:szCs w:val="18"/>
        </w:rPr>
      </w:pPr>
    </w:p>
    <w:p w14:paraId="6A0AC6B2" w14:textId="77777777" w:rsidR="0032116E" w:rsidRDefault="0032116E" w:rsidP="008C10B0">
      <w:pPr>
        <w:pStyle w:val="Texto"/>
        <w:tabs>
          <w:tab w:val="left" w:pos="284"/>
        </w:tabs>
        <w:spacing w:after="0" w:line="276" w:lineRule="auto"/>
        <w:ind w:left="284" w:firstLine="0"/>
        <w:jc w:val="center"/>
        <w:rPr>
          <w:b/>
          <w:szCs w:val="18"/>
        </w:rPr>
      </w:pPr>
    </w:p>
    <w:p w14:paraId="752996B3" w14:textId="77777777" w:rsidR="00A031F9" w:rsidRDefault="00A031F9" w:rsidP="008C10B0">
      <w:pPr>
        <w:pStyle w:val="Texto"/>
        <w:tabs>
          <w:tab w:val="left" w:pos="284"/>
        </w:tabs>
        <w:spacing w:after="0" w:line="276" w:lineRule="auto"/>
        <w:ind w:left="284" w:firstLine="0"/>
        <w:jc w:val="center"/>
        <w:rPr>
          <w:b/>
          <w:szCs w:val="18"/>
        </w:rPr>
      </w:pPr>
    </w:p>
    <w:p w14:paraId="518C8811" w14:textId="77777777" w:rsidR="008C10B0" w:rsidRDefault="008C10B0" w:rsidP="008C10B0">
      <w:pPr>
        <w:pStyle w:val="Texto"/>
        <w:tabs>
          <w:tab w:val="left" w:pos="284"/>
        </w:tabs>
        <w:spacing w:after="0" w:line="276" w:lineRule="auto"/>
        <w:ind w:left="284" w:firstLine="0"/>
        <w:jc w:val="center"/>
        <w:rPr>
          <w:b/>
          <w:szCs w:val="18"/>
        </w:rPr>
      </w:pPr>
    </w:p>
    <w:p w14:paraId="174CC27B" w14:textId="77777777" w:rsidR="008C10B0" w:rsidRDefault="008C10B0" w:rsidP="008C10B0">
      <w:pPr>
        <w:pStyle w:val="Texto"/>
        <w:tabs>
          <w:tab w:val="left" w:pos="284"/>
        </w:tabs>
        <w:spacing w:after="0" w:line="276" w:lineRule="auto"/>
        <w:ind w:left="284" w:firstLine="0"/>
        <w:jc w:val="center"/>
        <w:rPr>
          <w:b/>
          <w:szCs w:val="18"/>
        </w:rPr>
      </w:pPr>
    </w:p>
    <w:p w14:paraId="76CD950A" w14:textId="77777777" w:rsidR="008C10B0" w:rsidRPr="0073056A" w:rsidRDefault="008C10B0" w:rsidP="008C10B0">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14:paraId="47DB8EDA" w14:textId="77777777" w:rsidR="008C10B0" w:rsidRPr="0073056A" w:rsidRDefault="008C10B0" w:rsidP="008C10B0">
      <w:pPr>
        <w:pStyle w:val="Texto"/>
        <w:tabs>
          <w:tab w:val="left" w:pos="284"/>
        </w:tabs>
        <w:spacing w:after="0" w:line="276" w:lineRule="auto"/>
        <w:ind w:left="284" w:firstLine="0"/>
        <w:rPr>
          <w:b/>
          <w:szCs w:val="18"/>
          <w:lang w:val="es-MX"/>
        </w:rPr>
      </w:pPr>
    </w:p>
    <w:p w14:paraId="4D042287" w14:textId="77777777" w:rsidR="008C10B0" w:rsidRPr="0073056A" w:rsidRDefault="008C10B0" w:rsidP="008C10B0">
      <w:pPr>
        <w:pStyle w:val="Texto"/>
        <w:tabs>
          <w:tab w:val="left" w:pos="284"/>
        </w:tabs>
        <w:spacing w:after="0" w:line="276" w:lineRule="auto"/>
        <w:ind w:left="284" w:firstLine="0"/>
        <w:rPr>
          <w:b/>
          <w:szCs w:val="18"/>
          <w:lang w:val="es-MX"/>
        </w:rPr>
      </w:pPr>
    </w:p>
    <w:p w14:paraId="32AD6D03" w14:textId="77777777" w:rsidR="008C10B0" w:rsidRPr="0073056A" w:rsidRDefault="008C10B0" w:rsidP="008C10B0">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423BC902" w14:textId="77777777" w:rsidR="008C10B0" w:rsidRDefault="008C10B0" w:rsidP="008C10B0">
      <w:pPr>
        <w:tabs>
          <w:tab w:val="left" w:pos="284"/>
        </w:tabs>
        <w:ind w:left="284"/>
        <w:jc w:val="both"/>
        <w:rPr>
          <w:rFonts w:ascii="Arial" w:hAnsi="Arial" w:cs="Arial"/>
          <w:b/>
          <w:sz w:val="18"/>
          <w:szCs w:val="18"/>
        </w:rPr>
      </w:pPr>
    </w:p>
    <w:p w14:paraId="0A9B1F0E" w14:textId="77777777" w:rsidR="008C10B0" w:rsidRPr="0073056A" w:rsidRDefault="008C10B0" w:rsidP="008C10B0">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7C0320F1" w14:textId="0BE5E10E" w:rsidR="008C10B0" w:rsidRDefault="0078137F" w:rsidP="008C10B0">
      <w:pPr>
        <w:tabs>
          <w:tab w:val="left" w:pos="284"/>
        </w:tabs>
        <w:ind w:left="284"/>
        <w:jc w:val="both"/>
        <w:rPr>
          <w:rFonts w:ascii="Arial" w:hAnsi="Arial" w:cs="Arial"/>
          <w:sz w:val="18"/>
          <w:szCs w:val="18"/>
        </w:rPr>
      </w:pPr>
      <w:r>
        <w:rPr>
          <w:rFonts w:ascii="Arial" w:hAnsi="Arial" w:cs="Arial"/>
          <w:sz w:val="18"/>
          <w:szCs w:val="18"/>
        </w:rPr>
        <w:t xml:space="preserve">Al </w:t>
      </w:r>
      <w:r w:rsidR="00AD674F">
        <w:rPr>
          <w:rFonts w:ascii="Arial" w:hAnsi="Arial" w:cs="Arial"/>
          <w:sz w:val="18"/>
          <w:szCs w:val="18"/>
        </w:rPr>
        <w:t>cierre</w:t>
      </w:r>
      <w:r w:rsidR="008C10B0">
        <w:rPr>
          <w:rFonts w:ascii="Arial" w:hAnsi="Arial" w:cs="Arial"/>
          <w:sz w:val="18"/>
          <w:szCs w:val="18"/>
        </w:rPr>
        <w:t xml:space="preserve"> del</w:t>
      </w:r>
      <w:r w:rsidR="00AD674F">
        <w:rPr>
          <w:rFonts w:ascii="Arial" w:hAnsi="Arial" w:cs="Arial"/>
          <w:sz w:val="18"/>
          <w:szCs w:val="18"/>
        </w:rPr>
        <w:t xml:space="preserve"> ejercicio</w:t>
      </w:r>
      <w:r>
        <w:rPr>
          <w:rFonts w:ascii="Arial" w:hAnsi="Arial" w:cs="Arial"/>
          <w:sz w:val="18"/>
          <w:szCs w:val="18"/>
        </w:rPr>
        <w:t xml:space="preserve"> 2025</w:t>
      </w:r>
      <w:r w:rsidR="008C10B0">
        <w:rPr>
          <w:rFonts w:ascii="Arial" w:hAnsi="Arial" w:cs="Arial"/>
          <w:sz w:val="18"/>
          <w:szCs w:val="18"/>
        </w:rPr>
        <w:t xml:space="preserve"> el Poder Ejecutivo no cuenta con Cuentas de Orden Contables.</w:t>
      </w:r>
    </w:p>
    <w:p w14:paraId="1F13BAFC" w14:textId="77777777" w:rsidR="008C10B0" w:rsidRPr="0073056A" w:rsidRDefault="008C10B0" w:rsidP="008C10B0">
      <w:pPr>
        <w:tabs>
          <w:tab w:val="left" w:pos="284"/>
        </w:tabs>
        <w:ind w:left="284"/>
        <w:jc w:val="both"/>
        <w:rPr>
          <w:rFonts w:ascii="Arial" w:hAnsi="Arial" w:cs="Arial"/>
          <w:sz w:val="18"/>
          <w:szCs w:val="18"/>
        </w:rPr>
      </w:pPr>
    </w:p>
    <w:p w14:paraId="52F90BB8" w14:textId="77777777" w:rsidR="008C10B0" w:rsidRPr="0073056A" w:rsidRDefault="008C10B0" w:rsidP="008C10B0">
      <w:pPr>
        <w:tabs>
          <w:tab w:val="left" w:pos="284"/>
        </w:tabs>
        <w:ind w:left="284"/>
        <w:jc w:val="both"/>
        <w:rPr>
          <w:rFonts w:ascii="Arial" w:hAnsi="Arial" w:cs="Arial"/>
          <w:b/>
          <w:sz w:val="18"/>
          <w:szCs w:val="18"/>
        </w:rPr>
      </w:pPr>
      <w:r w:rsidRPr="002640DB">
        <w:rPr>
          <w:rFonts w:ascii="Arial" w:hAnsi="Arial" w:cs="Arial"/>
          <w:b/>
          <w:sz w:val="18"/>
          <w:szCs w:val="18"/>
        </w:rPr>
        <w:t>Cuentas de Orden Presupuestales</w:t>
      </w:r>
    </w:p>
    <w:p w14:paraId="37437832" w14:textId="77777777" w:rsidR="008C10B0" w:rsidRDefault="008C10B0" w:rsidP="008C10B0">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el Estado de Actividades del Gobierno del Estado presenta el Saldo del periodo de las Cuentas Presupuestales del Ingreso y del Egreso.</w:t>
      </w:r>
    </w:p>
    <w:p w14:paraId="3266F4A6" w14:textId="77777777" w:rsidR="008C10B0" w:rsidRDefault="008C10B0" w:rsidP="008C10B0">
      <w:pPr>
        <w:spacing w:after="0"/>
        <w:jc w:val="center"/>
        <w:rPr>
          <w:rFonts w:ascii="Arial" w:hAnsi="Arial" w:cs="Arial"/>
          <w:sz w:val="18"/>
          <w:szCs w:val="18"/>
        </w:rPr>
      </w:pPr>
    </w:p>
    <w:p w14:paraId="32C46005"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6482CF64"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2A45FE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66FF2030"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17BE0DB9"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95B1622"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066CD1EC" w14:textId="4BCB5BF2" w:rsidR="008C10B0" w:rsidRPr="00DA460F" w:rsidRDefault="0078137F"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2025</w:t>
            </w:r>
          </w:p>
        </w:tc>
      </w:tr>
      <w:tr w:rsidR="008C10B0" w:rsidRPr="00450621" w14:paraId="74B43CA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1213484"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21E8A2A4" w14:textId="1153E108" w:rsidR="008C10B0" w:rsidRPr="00450621" w:rsidRDefault="006D7739"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28,033,819,169</w:t>
            </w:r>
          </w:p>
        </w:tc>
      </w:tr>
      <w:tr w:rsidR="008C10B0" w:rsidRPr="00450621" w14:paraId="7BC7DB3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186B82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68540EC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BA46A1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D3258B3"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F81A504" w14:textId="03DC0709" w:rsidR="008C10B0" w:rsidRPr="00450621"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4,225,905,879</w:t>
            </w:r>
          </w:p>
        </w:tc>
      </w:tr>
      <w:tr w:rsidR="008C10B0" w:rsidRPr="00450621" w14:paraId="1A82E8AE"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D85B8F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7E158457"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62D8F95A"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25246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4AF2E21B" w14:textId="58BEDCE6" w:rsidR="008C10B0" w:rsidRPr="00450621"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32,259,725,048</w:t>
            </w:r>
          </w:p>
        </w:tc>
      </w:tr>
    </w:tbl>
    <w:p w14:paraId="38E2DFD7" w14:textId="77777777" w:rsidR="008C10B0" w:rsidRDefault="008C10B0" w:rsidP="008C10B0">
      <w:pPr>
        <w:spacing w:after="0"/>
        <w:jc w:val="center"/>
        <w:rPr>
          <w:rFonts w:ascii="Arial" w:hAnsi="Arial" w:cs="Arial"/>
          <w:sz w:val="18"/>
          <w:szCs w:val="18"/>
        </w:rPr>
      </w:pPr>
    </w:p>
    <w:p w14:paraId="72B21564" w14:textId="77777777" w:rsidR="008C10B0" w:rsidRDefault="008C10B0" w:rsidP="008C10B0">
      <w:pPr>
        <w:spacing w:after="0"/>
        <w:jc w:val="center"/>
        <w:rPr>
          <w:rFonts w:ascii="Arial" w:hAnsi="Arial" w:cs="Arial"/>
          <w:sz w:val="18"/>
          <w:szCs w:val="18"/>
        </w:rPr>
      </w:pPr>
    </w:p>
    <w:p w14:paraId="34EB98D0" w14:textId="77777777" w:rsidR="008C10B0" w:rsidRDefault="008C10B0" w:rsidP="008C10B0">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8C10B0" w:rsidRPr="00450621" w14:paraId="5929D27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D52243A"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6344958B"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p>
        </w:tc>
      </w:tr>
      <w:tr w:rsidR="008C10B0" w:rsidRPr="00450621" w14:paraId="3460A0CC"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47CA27C" w14:textId="77777777" w:rsidR="008C10B0" w:rsidRPr="00DA460F" w:rsidRDefault="008C10B0" w:rsidP="008C10B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2C7234CE" w14:textId="2759147C" w:rsidR="008C10B0" w:rsidRPr="00DA460F" w:rsidRDefault="008C10B0" w:rsidP="00F33647">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w:t>
            </w:r>
            <w:r w:rsidR="00F33647">
              <w:rPr>
                <w:rFonts w:ascii="Arial" w:eastAsia="Times New Roman" w:hAnsi="Arial" w:cs="Arial"/>
                <w:b/>
                <w:sz w:val="18"/>
                <w:szCs w:val="18"/>
                <w:lang w:eastAsia="es-ES"/>
              </w:rPr>
              <w:t>5</w:t>
            </w:r>
          </w:p>
        </w:tc>
      </w:tr>
      <w:tr w:rsidR="008C10B0" w:rsidRPr="00450621" w14:paraId="4A73AE2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A058367"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408F09B1" w14:textId="265F3E8F" w:rsidR="008C10B0" w:rsidRPr="00450621"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28,033,819,169</w:t>
            </w:r>
          </w:p>
        </w:tc>
      </w:tr>
      <w:tr w:rsidR="008C10B0" w:rsidRPr="00450621" w14:paraId="7BE52DA2"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2EC183B"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66A6D05" w14:textId="6C1D86E2" w:rsidR="008C10B0" w:rsidRPr="00450621"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6,120,756</w:t>
            </w:r>
          </w:p>
        </w:tc>
      </w:tr>
      <w:tr w:rsidR="008C10B0" w:rsidRPr="00450621" w14:paraId="14BC5B2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214915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0A19A42F" w14:textId="01738306" w:rsidR="008C10B0" w:rsidRPr="00450621"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4,225,905,879</w:t>
            </w:r>
          </w:p>
        </w:tc>
      </w:tr>
      <w:tr w:rsidR="008C10B0" w:rsidRPr="00450621" w14:paraId="7FD807AB"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9024E06"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08780803" w14:textId="198C2D5B" w:rsidR="008C10B0" w:rsidRPr="00450621"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450621" w14:paraId="3EE2B98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DAB2E3F" w14:textId="77777777" w:rsidR="008C10B0" w:rsidRPr="00450621" w:rsidRDefault="008C10B0" w:rsidP="008C10B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4B19FBEE" w14:textId="77777777" w:rsidR="008C10B0" w:rsidRPr="00450621" w:rsidRDefault="008C10B0"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8C10B0" w:rsidRPr="00AD5155" w14:paraId="22E3E4F0"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AF3F7EA" w14:textId="77777777" w:rsidR="008C10B0" w:rsidRPr="00FF3187" w:rsidRDefault="008C10B0" w:rsidP="008C10B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1C7A8242" w14:textId="1CB38B25" w:rsidR="008C10B0" w:rsidRPr="00AD5155"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1,881,220,577</w:t>
            </w:r>
          </w:p>
        </w:tc>
      </w:tr>
      <w:tr w:rsidR="008C10B0" w:rsidRPr="00450621" w14:paraId="6C606795" w14:textId="77777777" w:rsidTr="008C10B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BD27F31" w14:textId="77777777" w:rsidR="008C10B0" w:rsidRPr="00FF3187" w:rsidRDefault="008C10B0" w:rsidP="008C10B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75663085" w14:textId="22F76C23" w:rsidR="008C10B0" w:rsidRPr="00AD5155" w:rsidRDefault="00861456" w:rsidP="008C10B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30,372,383,715</w:t>
            </w:r>
          </w:p>
        </w:tc>
      </w:tr>
    </w:tbl>
    <w:p w14:paraId="4972B657" w14:textId="77777777" w:rsidR="008C10B0" w:rsidRDefault="008C10B0" w:rsidP="008C10B0">
      <w:pPr>
        <w:spacing w:after="0"/>
        <w:jc w:val="center"/>
        <w:rPr>
          <w:rFonts w:ascii="Arial" w:hAnsi="Arial" w:cs="Arial"/>
          <w:sz w:val="18"/>
          <w:szCs w:val="18"/>
        </w:rPr>
      </w:pPr>
    </w:p>
    <w:p w14:paraId="361D8C8C" w14:textId="77777777" w:rsidR="00C06ABE" w:rsidRDefault="00C06ABE" w:rsidP="008C10B0">
      <w:pPr>
        <w:spacing w:after="0"/>
        <w:jc w:val="center"/>
        <w:rPr>
          <w:rFonts w:ascii="Arial" w:hAnsi="Arial" w:cs="Arial"/>
          <w:sz w:val="18"/>
          <w:szCs w:val="18"/>
        </w:rPr>
      </w:pPr>
    </w:p>
    <w:sectPr w:rsidR="00C06ABE" w:rsidSect="000209E1">
      <w:headerReference w:type="even" r:id="rId37"/>
      <w:headerReference w:type="default" r:id="rId38"/>
      <w:footerReference w:type="even" r:id="rId39"/>
      <w:footerReference w:type="default" r:id="rId40"/>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AEBEB" w14:textId="77777777" w:rsidR="00840732" w:rsidRDefault="00840732" w:rsidP="00EA5418">
      <w:pPr>
        <w:spacing w:after="0" w:line="240" w:lineRule="auto"/>
      </w:pPr>
      <w:r>
        <w:separator/>
      </w:r>
    </w:p>
  </w:endnote>
  <w:endnote w:type="continuationSeparator" w:id="0">
    <w:p w14:paraId="6D0484A7" w14:textId="77777777" w:rsidR="00840732" w:rsidRDefault="0084073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E62F" w14:textId="6A54ED55" w:rsidR="008736CF" w:rsidRPr="004E3EA4" w:rsidRDefault="008736C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59E933"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33647" w:rsidRPr="00F33647">
          <w:rPr>
            <w:rFonts w:ascii="Arial" w:hAnsi="Arial" w:cs="Arial"/>
            <w:noProof/>
            <w:sz w:val="20"/>
            <w:lang w:val="es-ES"/>
          </w:rPr>
          <w:t>42</w:t>
        </w:r>
        <w:r w:rsidRPr="004E3EA4">
          <w:rPr>
            <w:rFonts w:ascii="Arial" w:hAnsi="Arial" w:cs="Arial"/>
            <w:sz w:val="20"/>
          </w:rPr>
          <w:fldChar w:fldCharType="end"/>
        </w:r>
      </w:sdtContent>
    </w:sdt>
  </w:p>
  <w:p w14:paraId="62447935" w14:textId="77777777" w:rsidR="008736CF" w:rsidRDefault="008736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A476C" w14:textId="6CA8CB72" w:rsidR="008736CF" w:rsidRPr="003527CD" w:rsidRDefault="008736C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85C0A1"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33647" w:rsidRPr="00F33647">
          <w:rPr>
            <w:rFonts w:ascii="Arial" w:hAnsi="Arial" w:cs="Arial"/>
            <w:noProof/>
            <w:lang w:val="es-ES"/>
          </w:rPr>
          <w:t>43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6A598" w14:textId="77777777" w:rsidR="00840732" w:rsidRDefault="00840732" w:rsidP="00EA5418">
      <w:pPr>
        <w:spacing w:after="0" w:line="240" w:lineRule="auto"/>
      </w:pPr>
      <w:r>
        <w:separator/>
      </w:r>
    </w:p>
  </w:footnote>
  <w:footnote w:type="continuationSeparator" w:id="0">
    <w:p w14:paraId="7E4B9DC3" w14:textId="77777777" w:rsidR="00840732" w:rsidRDefault="0084073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78E5" w14:textId="77777777" w:rsidR="008736CF" w:rsidRDefault="008736CF"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8736CF" w:rsidRDefault="008736C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8736CF" w:rsidRDefault="008736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7E4CFA91" w:rsidR="008736CF" w:rsidRPr="00DE4269" w:rsidRDefault="008736CF"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2025</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48242A"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1BBA" w14:textId="77777777" w:rsidR="008736CF" w:rsidRPr="003527CD" w:rsidRDefault="008736C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2BF727"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0B7A"/>
    <w:multiLevelType w:val="hybridMultilevel"/>
    <w:tmpl w:val="C15C92AA"/>
    <w:lvl w:ilvl="0" w:tplc="D03410B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486F73"/>
    <w:multiLevelType w:val="hybridMultilevel"/>
    <w:tmpl w:val="9ECA56B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1ED63995"/>
    <w:multiLevelType w:val="hybridMultilevel"/>
    <w:tmpl w:val="A0628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EB177B"/>
    <w:multiLevelType w:val="hybridMultilevel"/>
    <w:tmpl w:val="E716BD6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72E3181"/>
    <w:multiLevelType w:val="hybridMultilevel"/>
    <w:tmpl w:val="CD2A64F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15:restartNumberingAfterBreak="0">
    <w:nsid w:val="6F461939"/>
    <w:multiLevelType w:val="hybridMultilevel"/>
    <w:tmpl w:val="46E07CB6"/>
    <w:lvl w:ilvl="0" w:tplc="C96A7B3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8C6E12"/>
    <w:multiLevelType w:val="hybridMultilevel"/>
    <w:tmpl w:val="6D82A80A"/>
    <w:lvl w:ilvl="0" w:tplc="6EAE94C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486619">
    <w:abstractNumId w:val="13"/>
  </w:num>
  <w:num w:numId="2" w16cid:durableId="1710297815">
    <w:abstractNumId w:val="2"/>
  </w:num>
  <w:num w:numId="3" w16cid:durableId="1173034807">
    <w:abstractNumId w:val="6"/>
  </w:num>
  <w:num w:numId="4" w16cid:durableId="13338028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23500">
    <w:abstractNumId w:val="9"/>
  </w:num>
  <w:num w:numId="6" w16cid:durableId="1815832550">
    <w:abstractNumId w:val="5"/>
  </w:num>
  <w:num w:numId="7" w16cid:durableId="45301386">
    <w:abstractNumId w:val="12"/>
  </w:num>
  <w:num w:numId="8" w16cid:durableId="6012584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6153295">
    <w:abstractNumId w:val="11"/>
  </w:num>
  <w:num w:numId="10" w16cid:durableId="164176641">
    <w:abstractNumId w:val="3"/>
  </w:num>
  <w:num w:numId="11" w16cid:durableId="1293288286">
    <w:abstractNumId w:val="0"/>
  </w:num>
  <w:num w:numId="12" w16cid:durableId="1529295193">
    <w:abstractNumId w:val="14"/>
  </w:num>
  <w:num w:numId="13" w16cid:durableId="1607078597">
    <w:abstractNumId w:val="4"/>
  </w:num>
  <w:num w:numId="14" w16cid:durableId="176576630">
    <w:abstractNumId w:val="1"/>
  </w:num>
  <w:num w:numId="15" w16cid:durableId="2140419225">
    <w:abstractNumId w:val="8"/>
  </w:num>
  <w:num w:numId="16" w16cid:durableId="1121076654">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evenAndOddHeaders/>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5FA8"/>
    <w:rsid w:val="00006217"/>
    <w:rsid w:val="0000712A"/>
    <w:rsid w:val="0001342E"/>
    <w:rsid w:val="00013AA1"/>
    <w:rsid w:val="000155BC"/>
    <w:rsid w:val="000164D8"/>
    <w:rsid w:val="000202A5"/>
    <w:rsid w:val="000209E1"/>
    <w:rsid w:val="00021787"/>
    <w:rsid w:val="000243C9"/>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5E28"/>
    <w:rsid w:val="0004641E"/>
    <w:rsid w:val="0004695D"/>
    <w:rsid w:val="00046A62"/>
    <w:rsid w:val="00046F70"/>
    <w:rsid w:val="000534C6"/>
    <w:rsid w:val="00053994"/>
    <w:rsid w:val="00054C4D"/>
    <w:rsid w:val="00056EDF"/>
    <w:rsid w:val="000574E6"/>
    <w:rsid w:val="00057C1C"/>
    <w:rsid w:val="0006024D"/>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375"/>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A7EE5"/>
    <w:rsid w:val="000B0542"/>
    <w:rsid w:val="000B0742"/>
    <w:rsid w:val="000B3A2D"/>
    <w:rsid w:val="000B54AD"/>
    <w:rsid w:val="000B552D"/>
    <w:rsid w:val="000B5932"/>
    <w:rsid w:val="000B62E8"/>
    <w:rsid w:val="000B6DEA"/>
    <w:rsid w:val="000B6E5A"/>
    <w:rsid w:val="000C024C"/>
    <w:rsid w:val="000C11AF"/>
    <w:rsid w:val="000C3AF6"/>
    <w:rsid w:val="000C6BA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22A3"/>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082B"/>
    <w:rsid w:val="001330F9"/>
    <w:rsid w:val="001340E0"/>
    <w:rsid w:val="00134F21"/>
    <w:rsid w:val="00136E7D"/>
    <w:rsid w:val="001412D7"/>
    <w:rsid w:val="00142035"/>
    <w:rsid w:val="001435CE"/>
    <w:rsid w:val="0014373E"/>
    <w:rsid w:val="001443EA"/>
    <w:rsid w:val="00144576"/>
    <w:rsid w:val="00144A5D"/>
    <w:rsid w:val="0014540D"/>
    <w:rsid w:val="00146A7B"/>
    <w:rsid w:val="00147A3D"/>
    <w:rsid w:val="001528B7"/>
    <w:rsid w:val="001547B6"/>
    <w:rsid w:val="00155BEA"/>
    <w:rsid w:val="00155DFE"/>
    <w:rsid w:val="001562E4"/>
    <w:rsid w:val="00160E16"/>
    <w:rsid w:val="00161865"/>
    <w:rsid w:val="0016242F"/>
    <w:rsid w:val="001635E1"/>
    <w:rsid w:val="00165BB4"/>
    <w:rsid w:val="00165E86"/>
    <w:rsid w:val="001660FE"/>
    <w:rsid w:val="00167E33"/>
    <w:rsid w:val="00171788"/>
    <w:rsid w:val="00172B7D"/>
    <w:rsid w:val="00174EA9"/>
    <w:rsid w:val="00174F47"/>
    <w:rsid w:val="001769D8"/>
    <w:rsid w:val="001778B1"/>
    <w:rsid w:val="0018009C"/>
    <w:rsid w:val="0018055B"/>
    <w:rsid w:val="001837A5"/>
    <w:rsid w:val="001854C3"/>
    <w:rsid w:val="00185609"/>
    <w:rsid w:val="0018603D"/>
    <w:rsid w:val="0018652F"/>
    <w:rsid w:val="001872A3"/>
    <w:rsid w:val="00191085"/>
    <w:rsid w:val="00191FC5"/>
    <w:rsid w:val="00192770"/>
    <w:rsid w:val="00192B86"/>
    <w:rsid w:val="00193B2D"/>
    <w:rsid w:val="0019433D"/>
    <w:rsid w:val="001951AF"/>
    <w:rsid w:val="001A26CD"/>
    <w:rsid w:val="001A3F6A"/>
    <w:rsid w:val="001A4DF9"/>
    <w:rsid w:val="001A575F"/>
    <w:rsid w:val="001A78A4"/>
    <w:rsid w:val="001B011B"/>
    <w:rsid w:val="001B0197"/>
    <w:rsid w:val="001B0C81"/>
    <w:rsid w:val="001B13BF"/>
    <w:rsid w:val="001B1478"/>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33B"/>
    <w:rsid w:val="001C654F"/>
    <w:rsid w:val="001C66C1"/>
    <w:rsid w:val="001C6C21"/>
    <w:rsid w:val="001C6FD8"/>
    <w:rsid w:val="001D0747"/>
    <w:rsid w:val="001D1569"/>
    <w:rsid w:val="001D163C"/>
    <w:rsid w:val="001D3572"/>
    <w:rsid w:val="001E2A65"/>
    <w:rsid w:val="001E3216"/>
    <w:rsid w:val="001E327A"/>
    <w:rsid w:val="001E46CF"/>
    <w:rsid w:val="001E62F4"/>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0E9"/>
    <w:rsid w:val="00244989"/>
    <w:rsid w:val="00244D40"/>
    <w:rsid w:val="00245E54"/>
    <w:rsid w:val="00247A5F"/>
    <w:rsid w:val="00247AD7"/>
    <w:rsid w:val="00250AC2"/>
    <w:rsid w:val="00251F0D"/>
    <w:rsid w:val="00255476"/>
    <w:rsid w:val="0025548F"/>
    <w:rsid w:val="0025735F"/>
    <w:rsid w:val="002615F9"/>
    <w:rsid w:val="00261B45"/>
    <w:rsid w:val="0026333F"/>
    <w:rsid w:val="002640DB"/>
    <w:rsid w:val="00264426"/>
    <w:rsid w:val="002705C0"/>
    <w:rsid w:val="00270EC8"/>
    <w:rsid w:val="002714C7"/>
    <w:rsid w:val="00271FE9"/>
    <w:rsid w:val="00272E20"/>
    <w:rsid w:val="00274353"/>
    <w:rsid w:val="002748C9"/>
    <w:rsid w:val="0027627B"/>
    <w:rsid w:val="002762F9"/>
    <w:rsid w:val="00276EE2"/>
    <w:rsid w:val="00280A74"/>
    <w:rsid w:val="00280CD3"/>
    <w:rsid w:val="00280CDA"/>
    <w:rsid w:val="00282A5A"/>
    <w:rsid w:val="002858C7"/>
    <w:rsid w:val="00287C7B"/>
    <w:rsid w:val="00287D90"/>
    <w:rsid w:val="00290A24"/>
    <w:rsid w:val="00295D09"/>
    <w:rsid w:val="00295FCC"/>
    <w:rsid w:val="00297031"/>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C3C"/>
    <w:rsid w:val="002C4E19"/>
    <w:rsid w:val="002C55F6"/>
    <w:rsid w:val="002C5ACA"/>
    <w:rsid w:val="002D0278"/>
    <w:rsid w:val="002D22E8"/>
    <w:rsid w:val="002D2813"/>
    <w:rsid w:val="002D2BEE"/>
    <w:rsid w:val="002D3E68"/>
    <w:rsid w:val="002D48B0"/>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16E"/>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1678"/>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661FF"/>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3004"/>
    <w:rsid w:val="003A3013"/>
    <w:rsid w:val="003A4518"/>
    <w:rsid w:val="003A698E"/>
    <w:rsid w:val="003A6C39"/>
    <w:rsid w:val="003A731F"/>
    <w:rsid w:val="003A7ADE"/>
    <w:rsid w:val="003B1B0C"/>
    <w:rsid w:val="003B55DA"/>
    <w:rsid w:val="003B710A"/>
    <w:rsid w:val="003C0B34"/>
    <w:rsid w:val="003C1FC7"/>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4FE7"/>
    <w:rsid w:val="003E63CA"/>
    <w:rsid w:val="003E667E"/>
    <w:rsid w:val="003E6BD8"/>
    <w:rsid w:val="003E7FD0"/>
    <w:rsid w:val="003F0340"/>
    <w:rsid w:val="003F0EA4"/>
    <w:rsid w:val="003F16E6"/>
    <w:rsid w:val="003F2A03"/>
    <w:rsid w:val="003F3486"/>
    <w:rsid w:val="003F4574"/>
    <w:rsid w:val="003F5C80"/>
    <w:rsid w:val="003F6942"/>
    <w:rsid w:val="003F6B56"/>
    <w:rsid w:val="003F7393"/>
    <w:rsid w:val="0040161A"/>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2066"/>
    <w:rsid w:val="00435556"/>
    <w:rsid w:val="00435A64"/>
    <w:rsid w:val="004373B9"/>
    <w:rsid w:val="00437809"/>
    <w:rsid w:val="00441829"/>
    <w:rsid w:val="00441E7C"/>
    <w:rsid w:val="0044253C"/>
    <w:rsid w:val="00443925"/>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0953"/>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566"/>
    <w:rsid w:val="00497D8B"/>
    <w:rsid w:val="004A07A5"/>
    <w:rsid w:val="004A47F5"/>
    <w:rsid w:val="004A56B0"/>
    <w:rsid w:val="004A5D92"/>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223"/>
    <w:rsid w:val="004C5E7B"/>
    <w:rsid w:val="004D0562"/>
    <w:rsid w:val="004D30E1"/>
    <w:rsid w:val="004D3E91"/>
    <w:rsid w:val="004D41B8"/>
    <w:rsid w:val="004D47D0"/>
    <w:rsid w:val="004D5BEA"/>
    <w:rsid w:val="004D6FA0"/>
    <w:rsid w:val="004E0191"/>
    <w:rsid w:val="004E1598"/>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508"/>
    <w:rsid w:val="00513596"/>
    <w:rsid w:val="00513E7E"/>
    <w:rsid w:val="00514E3F"/>
    <w:rsid w:val="00514F2B"/>
    <w:rsid w:val="00516599"/>
    <w:rsid w:val="00516B8D"/>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6DE"/>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26C"/>
    <w:rsid w:val="005774CE"/>
    <w:rsid w:val="00577617"/>
    <w:rsid w:val="0058098D"/>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B3AB4"/>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413E"/>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6CF"/>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154B5"/>
    <w:rsid w:val="00617C78"/>
    <w:rsid w:val="00622823"/>
    <w:rsid w:val="00623ACB"/>
    <w:rsid w:val="006247D5"/>
    <w:rsid w:val="006253D1"/>
    <w:rsid w:val="006258DA"/>
    <w:rsid w:val="0063046D"/>
    <w:rsid w:val="00631AAA"/>
    <w:rsid w:val="00632109"/>
    <w:rsid w:val="00632BBE"/>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5683D"/>
    <w:rsid w:val="00660015"/>
    <w:rsid w:val="00661352"/>
    <w:rsid w:val="006619E0"/>
    <w:rsid w:val="00661A17"/>
    <w:rsid w:val="0066322D"/>
    <w:rsid w:val="00663540"/>
    <w:rsid w:val="006653EB"/>
    <w:rsid w:val="00667535"/>
    <w:rsid w:val="00672D27"/>
    <w:rsid w:val="00673C62"/>
    <w:rsid w:val="0067443A"/>
    <w:rsid w:val="0067489E"/>
    <w:rsid w:val="00675B86"/>
    <w:rsid w:val="00676142"/>
    <w:rsid w:val="00677384"/>
    <w:rsid w:val="006774BF"/>
    <w:rsid w:val="006822AA"/>
    <w:rsid w:val="006837C8"/>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D7739"/>
    <w:rsid w:val="006E02F0"/>
    <w:rsid w:val="006E2D9E"/>
    <w:rsid w:val="006E6103"/>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58F3"/>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2D19"/>
    <w:rsid w:val="00734272"/>
    <w:rsid w:val="0073556E"/>
    <w:rsid w:val="0073581C"/>
    <w:rsid w:val="00736F40"/>
    <w:rsid w:val="007375D6"/>
    <w:rsid w:val="007420CD"/>
    <w:rsid w:val="00742C34"/>
    <w:rsid w:val="007439D3"/>
    <w:rsid w:val="00743A92"/>
    <w:rsid w:val="00743BF7"/>
    <w:rsid w:val="0074488D"/>
    <w:rsid w:val="0075037E"/>
    <w:rsid w:val="00750AF2"/>
    <w:rsid w:val="00751158"/>
    <w:rsid w:val="00752AC8"/>
    <w:rsid w:val="00753BE8"/>
    <w:rsid w:val="00754388"/>
    <w:rsid w:val="00755CE2"/>
    <w:rsid w:val="00757C3E"/>
    <w:rsid w:val="00757C47"/>
    <w:rsid w:val="007615D9"/>
    <w:rsid w:val="00762268"/>
    <w:rsid w:val="00762F48"/>
    <w:rsid w:val="00764D64"/>
    <w:rsid w:val="007655CF"/>
    <w:rsid w:val="00766062"/>
    <w:rsid w:val="00770054"/>
    <w:rsid w:val="007723AF"/>
    <w:rsid w:val="00773003"/>
    <w:rsid w:val="00773067"/>
    <w:rsid w:val="00773A43"/>
    <w:rsid w:val="00773EBC"/>
    <w:rsid w:val="00774FD3"/>
    <w:rsid w:val="007769DF"/>
    <w:rsid w:val="00776BBF"/>
    <w:rsid w:val="00777069"/>
    <w:rsid w:val="00777439"/>
    <w:rsid w:val="00777526"/>
    <w:rsid w:val="0078137F"/>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0AA3"/>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38E"/>
    <w:rsid w:val="007F5F1B"/>
    <w:rsid w:val="007F6AFD"/>
    <w:rsid w:val="007F79B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794"/>
    <w:rsid w:val="00820C71"/>
    <w:rsid w:val="00820DB7"/>
    <w:rsid w:val="00822CD5"/>
    <w:rsid w:val="00823256"/>
    <w:rsid w:val="00823500"/>
    <w:rsid w:val="0082393E"/>
    <w:rsid w:val="008263C1"/>
    <w:rsid w:val="00826474"/>
    <w:rsid w:val="008276B2"/>
    <w:rsid w:val="00830523"/>
    <w:rsid w:val="0083223B"/>
    <w:rsid w:val="00832955"/>
    <w:rsid w:val="00832F7A"/>
    <w:rsid w:val="0083335C"/>
    <w:rsid w:val="00833657"/>
    <w:rsid w:val="008357E8"/>
    <w:rsid w:val="00840732"/>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1456"/>
    <w:rsid w:val="008620F6"/>
    <w:rsid w:val="008624D8"/>
    <w:rsid w:val="008630BA"/>
    <w:rsid w:val="0086433A"/>
    <w:rsid w:val="008643A9"/>
    <w:rsid w:val="00864C50"/>
    <w:rsid w:val="00864FE6"/>
    <w:rsid w:val="008655F4"/>
    <w:rsid w:val="008659FD"/>
    <w:rsid w:val="00866F4E"/>
    <w:rsid w:val="00870F4E"/>
    <w:rsid w:val="00872C30"/>
    <w:rsid w:val="008736CF"/>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4DC8"/>
    <w:rsid w:val="00895EF7"/>
    <w:rsid w:val="008963AC"/>
    <w:rsid w:val="008966AD"/>
    <w:rsid w:val="008969D8"/>
    <w:rsid w:val="00897AB8"/>
    <w:rsid w:val="00897BFB"/>
    <w:rsid w:val="008A1478"/>
    <w:rsid w:val="008A15AF"/>
    <w:rsid w:val="008A16E6"/>
    <w:rsid w:val="008A1B6F"/>
    <w:rsid w:val="008A338A"/>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0B0"/>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039A"/>
    <w:rsid w:val="00902118"/>
    <w:rsid w:val="00903CC7"/>
    <w:rsid w:val="00906016"/>
    <w:rsid w:val="00907C20"/>
    <w:rsid w:val="00910949"/>
    <w:rsid w:val="0091195E"/>
    <w:rsid w:val="00913164"/>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0872"/>
    <w:rsid w:val="0095251E"/>
    <w:rsid w:val="00952714"/>
    <w:rsid w:val="00953127"/>
    <w:rsid w:val="00954137"/>
    <w:rsid w:val="00954BB8"/>
    <w:rsid w:val="00955BF1"/>
    <w:rsid w:val="00957043"/>
    <w:rsid w:val="00957060"/>
    <w:rsid w:val="00957510"/>
    <w:rsid w:val="00960EC6"/>
    <w:rsid w:val="0096238F"/>
    <w:rsid w:val="009625B6"/>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5FE5"/>
    <w:rsid w:val="009768AE"/>
    <w:rsid w:val="00980D38"/>
    <w:rsid w:val="00982AAB"/>
    <w:rsid w:val="0098545B"/>
    <w:rsid w:val="00986365"/>
    <w:rsid w:val="009869E9"/>
    <w:rsid w:val="00986BC3"/>
    <w:rsid w:val="00987EEE"/>
    <w:rsid w:val="00991656"/>
    <w:rsid w:val="00996671"/>
    <w:rsid w:val="009A00D4"/>
    <w:rsid w:val="009A1077"/>
    <w:rsid w:val="009A191D"/>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B7AB2"/>
    <w:rsid w:val="009C1642"/>
    <w:rsid w:val="009C26AF"/>
    <w:rsid w:val="009C379E"/>
    <w:rsid w:val="009C4575"/>
    <w:rsid w:val="009C4A84"/>
    <w:rsid w:val="009C5253"/>
    <w:rsid w:val="009C5E39"/>
    <w:rsid w:val="009C6E8E"/>
    <w:rsid w:val="009C74FB"/>
    <w:rsid w:val="009D09ED"/>
    <w:rsid w:val="009D20E7"/>
    <w:rsid w:val="009D5D4C"/>
    <w:rsid w:val="009E13DF"/>
    <w:rsid w:val="009E13F9"/>
    <w:rsid w:val="009E2520"/>
    <w:rsid w:val="009E51F8"/>
    <w:rsid w:val="009E71C0"/>
    <w:rsid w:val="009F239C"/>
    <w:rsid w:val="009F23C4"/>
    <w:rsid w:val="009F270C"/>
    <w:rsid w:val="009F564C"/>
    <w:rsid w:val="009F5E29"/>
    <w:rsid w:val="009F6EB8"/>
    <w:rsid w:val="00A002D1"/>
    <w:rsid w:val="00A018A3"/>
    <w:rsid w:val="00A01B1B"/>
    <w:rsid w:val="00A02E76"/>
    <w:rsid w:val="00A031F9"/>
    <w:rsid w:val="00A045DD"/>
    <w:rsid w:val="00A06D66"/>
    <w:rsid w:val="00A073BF"/>
    <w:rsid w:val="00A07E0D"/>
    <w:rsid w:val="00A1075C"/>
    <w:rsid w:val="00A10B76"/>
    <w:rsid w:val="00A11793"/>
    <w:rsid w:val="00A144D5"/>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4BF1"/>
    <w:rsid w:val="00A65407"/>
    <w:rsid w:val="00A70107"/>
    <w:rsid w:val="00A70968"/>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0E6F"/>
    <w:rsid w:val="00A9143E"/>
    <w:rsid w:val="00A92A29"/>
    <w:rsid w:val="00A94BD0"/>
    <w:rsid w:val="00A94FC9"/>
    <w:rsid w:val="00A95577"/>
    <w:rsid w:val="00A9624B"/>
    <w:rsid w:val="00A96270"/>
    <w:rsid w:val="00A96C1F"/>
    <w:rsid w:val="00A972A3"/>
    <w:rsid w:val="00A97E66"/>
    <w:rsid w:val="00AA16F7"/>
    <w:rsid w:val="00AA1AB3"/>
    <w:rsid w:val="00AA3279"/>
    <w:rsid w:val="00AA35F1"/>
    <w:rsid w:val="00AA526E"/>
    <w:rsid w:val="00AA6498"/>
    <w:rsid w:val="00AA6892"/>
    <w:rsid w:val="00AA7AE3"/>
    <w:rsid w:val="00AB0983"/>
    <w:rsid w:val="00AB2062"/>
    <w:rsid w:val="00AB31F3"/>
    <w:rsid w:val="00AB3613"/>
    <w:rsid w:val="00AB5524"/>
    <w:rsid w:val="00AB5D6A"/>
    <w:rsid w:val="00AB7FCC"/>
    <w:rsid w:val="00AC2CB6"/>
    <w:rsid w:val="00AC4184"/>
    <w:rsid w:val="00AC4CD6"/>
    <w:rsid w:val="00AD1464"/>
    <w:rsid w:val="00AD27C1"/>
    <w:rsid w:val="00AD344C"/>
    <w:rsid w:val="00AD46DD"/>
    <w:rsid w:val="00AD4F95"/>
    <w:rsid w:val="00AD5E8D"/>
    <w:rsid w:val="00AD674F"/>
    <w:rsid w:val="00AE0E84"/>
    <w:rsid w:val="00AE2CC1"/>
    <w:rsid w:val="00AE30F7"/>
    <w:rsid w:val="00AE32DD"/>
    <w:rsid w:val="00AF18C2"/>
    <w:rsid w:val="00AF2E6E"/>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087"/>
    <w:rsid w:val="00B11CB7"/>
    <w:rsid w:val="00B134D1"/>
    <w:rsid w:val="00B143E2"/>
    <w:rsid w:val="00B146E2"/>
    <w:rsid w:val="00B14AB7"/>
    <w:rsid w:val="00B15C1F"/>
    <w:rsid w:val="00B207BD"/>
    <w:rsid w:val="00B22704"/>
    <w:rsid w:val="00B22AC4"/>
    <w:rsid w:val="00B2337A"/>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6D9"/>
    <w:rsid w:val="00B558BB"/>
    <w:rsid w:val="00B6039D"/>
    <w:rsid w:val="00B60A59"/>
    <w:rsid w:val="00B611B8"/>
    <w:rsid w:val="00B61C6A"/>
    <w:rsid w:val="00B628F8"/>
    <w:rsid w:val="00B62B88"/>
    <w:rsid w:val="00B6605D"/>
    <w:rsid w:val="00B67BC6"/>
    <w:rsid w:val="00B709C8"/>
    <w:rsid w:val="00B71C7F"/>
    <w:rsid w:val="00B73EB9"/>
    <w:rsid w:val="00B808C4"/>
    <w:rsid w:val="00B818B2"/>
    <w:rsid w:val="00B81C74"/>
    <w:rsid w:val="00B82BF9"/>
    <w:rsid w:val="00B83E59"/>
    <w:rsid w:val="00B849EE"/>
    <w:rsid w:val="00B84D02"/>
    <w:rsid w:val="00B850E5"/>
    <w:rsid w:val="00B85A60"/>
    <w:rsid w:val="00B86673"/>
    <w:rsid w:val="00B870E0"/>
    <w:rsid w:val="00B87589"/>
    <w:rsid w:val="00B90AB5"/>
    <w:rsid w:val="00B95032"/>
    <w:rsid w:val="00B95727"/>
    <w:rsid w:val="00B96B6F"/>
    <w:rsid w:val="00B97444"/>
    <w:rsid w:val="00BA0268"/>
    <w:rsid w:val="00BA1AD8"/>
    <w:rsid w:val="00BA1ADB"/>
    <w:rsid w:val="00BA26B4"/>
    <w:rsid w:val="00BA2940"/>
    <w:rsid w:val="00BA32D0"/>
    <w:rsid w:val="00BA36BE"/>
    <w:rsid w:val="00BA3B1D"/>
    <w:rsid w:val="00BA58E7"/>
    <w:rsid w:val="00BA6A54"/>
    <w:rsid w:val="00BA6E67"/>
    <w:rsid w:val="00BA7B26"/>
    <w:rsid w:val="00BB02D0"/>
    <w:rsid w:val="00BB1526"/>
    <w:rsid w:val="00BB327F"/>
    <w:rsid w:val="00BB3832"/>
    <w:rsid w:val="00BB7DA9"/>
    <w:rsid w:val="00BC003D"/>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A14"/>
    <w:rsid w:val="00C16E53"/>
    <w:rsid w:val="00C17841"/>
    <w:rsid w:val="00C20A63"/>
    <w:rsid w:val="00C22F0D"/>
    <w:rsid w:val="00C23773"/>
    <w:rsid w:val="00C255BB"/>
    <w:rsid w:val="00C26CE0"/>
    <w:rsid w:val="00C27323"/>
    <w:rsid w:val="00C30B88"/>
    <w:rsid w:val="00C312AC"/>
    <w:rsid w:val="00C3266B"/>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289F"/>
    <w:rsid w:val="00C82CD0"/>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35D"/>
    <w:rsid w:val="00CA7A99"/>
    <w:rsid w:val="00CB03F7"/>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24E8"/>
    <w:rsid w:val="00CE45FC"/>
    <w:rsid w:val="00CE5C1A"/>
    <w:rsid w:val="00CF289F"/>
    <w:rsid w:val="00CF2D36"/>
    <w:rsid w:val="00CF3420"/>
    <w:rsid w:val="00CF342E"/>
    <w:rsid w:val="00CF3770"/>
    <w:rsid w:val="00CF4F99"/>
    <w:rsid w:val="00CF6F11"/>
    <w:rsid w:val="00CF76DB"/>
    <w:rsid w:val="00D00E92"/>
    <w:rsid w:val="00D01486"/>
    <w:rsid w:val="00D055EC"/>
    <w:rsid w:val="00D05645"/>
    <w:rsid w:val="00D06FE8"/>
    <w:rsid w:val="00D10F96"/>
    <w:rsid w:val="00D11C96"/>
    <w:rsid w:val="00D11F33"/>
    <w:rsid w:val="00D12198"/>
    <w:rsid w:val="00D12816"/>
    <w:rsid w:val="00D13E7D"/>
    <w:rsid w:val="00D14208"/>
    <w:rsid w:val="00D1757C"/>
    <w:rsid w:val="00D17C5D"/>
    <w:rsid w:val="00D17DB4"/>
    <w:rsid w:val="00D234B6"/>
    <w:rsid w:val="00D254F0"/>
    <w:rsid w:val="00D25F5C"/>
    <w:rsid w:val="00D27B9B"/>
    <w:rsid w:val="00D3018F"/>
    <w:rsid w:val="00D32316"/>
    <w:rsid w:val="00D32544"/>
    <w:rsid w:val="00D339CC"/>
    <w:rsid w:val="00D34D7A"/>
    <w:rsid w:val="00D351EE"/>
    <w:rsid w:val="00D35411"/>
    <w:rsid w:val="00D35709"/>
    <w:rsid w:val="00D3669D"/>
    <w:rsid w:val="00D37294"/>
    <w:rsid w:val="00D37312"/>
    <w:rsid w:val="00D378C5"/>
    <w:rsid w:val="00D37DC9"/>
    <w:rsid w:val="00D423EF"/>
    <w:rsid w:val="00D43342"/>
    <w:rsid w:val="00D4394E"/>
    <w:rsid w:val="00D44728"/>
    <w:rsid w:val="00D45237"/>
    <w:rsid w:val="00D455AB"/>
    <w:rsid w:val="00D507DB"/>
    <w:rsid w:val="00D511CD"/>
    <w:rsid w:val="00D52FF5"/>
    <w:rsid w:val="00D550A7"/>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657E"/>
    <w:rsid w:val="00D80D5B"/>
    <w:rsid w:val="00D8146A"/>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0C55"/>
    <w:rsid w:val="00DB3AF6"/>
    <w:rsid w:val="00DB4C18"/>
    <w:rsid w:val="00DB53FB"/>
    <w:rsid w:val="00DC16A9"/>
    <w:rsid w:val="00DC1915"/>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2F6"/>
    <w:rsid w:val="00DF6AC4"/>
    <w:rsid w:val="00E004F0"/>
    <w:rsid w:val="00E007EC"/>
    <w:rsid w:val="00E01158"/>
    <w:rsid w:val="00E03CED"/>
    <w:rsid w:val="00E0449B"/>
    <w:rsid w:val="00E04E64"/>
    <w:rsid w:val="00E04EB2"/>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8A2"/>
    <w:rsid w:val="00E32B77"/>
    <w:rsid w:val="00E33BBD"/>
    <w:rsid w:val="00E37034"/>
    <w:rsid w:val="00E376CE"/>
    <w:rsid w:val="00E37782"/>
    <w:rsid w:val="00E40F44"/>
    <w:rsid w:val="00E43BB5"/>
    <w:rsid w:val="00E44022"/>
    <w:rsid w:val="00E442EC"/>
    <w:rsid w:val="00E449D6"/>
    <w:rsid w:val="00E45112"/>
    <w:rsid w:val="00E45664"/>
    <w:rsid w:val="00E505EF"/>
    <w:rsid w:val="00E514F6"/>
    <w:rsid w:val="00E545B2"/>
    <w:rsid w:val="00E549EA"/>
    <w:rsid w:val="00E57C06"/>
    <w:rsid w:val="00E651B5"/>
    <w:rsid w:val="00E65B2D"/>
    <w:rsid w:val="00E70E56"/>
    <w:rsid w:val="00E72137"/>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A6F5C"/>
    <w:rsid w:val="00EB074B"/>
    <w:rsid w:val="00EB2A4A"/>
    <w:rsid w:val="00EB3D8F"/>
    <w:rsid w:val="00EB78A0"/>
    <w:rsid w:val="00EC084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E5637"/>
    <w:rsid w:val="00EF0914"/>
    <w:rsid w:val="00EF2991"/>
    <w:rsid w:val="00EF36C9"/>
    <w:rsid w:val="00EF43E6"/>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0FBF"/>
    <w:rsid w:val="00F21F02"/>
    <w:rsid w:val="00F233E1"/>
    <w:rsid w:val="00F253AB"/>
    <w:rsid w:val="00F2612E"/>
    <w:rsid w:val="00F302C1"/>
    <w:rsid w:val="00F304B3"/>
    <w:rsid w:val="00F30A85"/>
    <w:rsid w:val="00F3142D"/>
    <w:rsid w:val="00F31DD1"/>
    <w:rsid w:val="00F32EC8"/>
    <w:rsid w:val="00F33647"/>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34ED"/>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27E"/>
    <w:rsid w:val="00FE0968"/>
    <w:rsid w:val="00FE1848"/>
    <w:rsid w:val="00FE2BB3"/>
    <w:rsid w:val="00FE3B85"/>
    <w:rsid w:val="00FE3EED"/>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C9BE57D"/>
  <w15:docId w15:val="{0E61B535-C358-454C-B2D2-8257291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88498637">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297104432">
      <w:bodyDiv w:val="1"/>
      <w:marLeft w:val="0"/>
      <w:marRight w:val="0"/>
      <w:marTop w:val="0"/>
      <w:marBottom w:val="0"/>
      <w:divBdr>
        <w:top w:val="none" w:sz="0" w:space="0" w:color="auto"/>
        <w:left w:val="none" w:sz="0" w:space="0" w:color="auto"/>
        <w:bottom w:val="none" w:sz="0" w:space="0" w:color="auto"/>
        <w:right w:val="none" w:sz="0" w:space="0" w:color="auto"/>
      </w:divBdr>
    </w:div>
    <w:div w:id="1310162600">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6875208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4064618">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chart" Target="charts/chart5.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package" Target="embeddings/Microsoft_Excel_Worksheet7.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chart" Target="charts/chart4.xml"/><Relationship Id="rId33" Type="http://schemas.openxmlformats.org/officeDocument/2006/relationships/image" Target="media/image11.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chart" Target="charts/chart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chart" Target="charts/chart3.xml"/><Relationship Id="rId32" Type="http://schemas.openxmlformats.org/officeDocument/2006/relationships/image" Target="media/image10.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package" Target="embeddings/Microsoft_Excel_Worksheet8.xlsx"/><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8.png"/><Relationship Id="rId35"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Notas%20Trabajo%202021\ITAEE\2025\1er%20trim-2025\Gr&#225;ficas_ITAEE.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Notas%20Trabajo%202021\ITAEE\2025\1er%20trim-2025\Bolet&#237;n\Gr&#225;ficas_ITAE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Notas%20Trabajo%202021\ITAEE\2025\1er%20trim-2025\Bolet&#237;n\Gr&#225;ficas_ITAE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Notas%20Trabajo%202021\ITAEE\2025\1er%20trim-2025\Gr&#225;ficas_ITAE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Notas%20Trabajo%202021\ITAEE\2025\1er%20trim-2025\Bolet&#237;n\Gr&#225;ficas_ITAE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165295815295813"/>
          <c:y val="2.2825999999999999E-2"/>
          <c:w val="0.55954329004329006"/>
          <c:h val="0.93574444444444449"/>
        </c:manualLayout>
      </c:layout>
      <c:barChart>
        <c:barDir val="bar"/>
        <c:grouping val="clustered"/>
        <c:varyColors val="0"/>
        <c:ser>
          <c:idx val="0"/>
          <c:order val="0"/>
          <c:spPr>
            <a:solidFill>
              <a:srgbClr val="08989C"/>
            </a:solidFill>
            <a:ln>
              <a:noFill/>
            </a:ln>
            <a:effectLst/>
          </c:spPr>
          <c:invertIfNegative val="0"/>
          <c:dPt>
            <c:idx val="10"/>
            <c:invertIfNegative val="0"/>
            <c:bubble3D val="0"/>
            <c:spPr>
              <a:solidFill>
                <a:srgbClr val="C0C0C0"/>
              </a:solidFill>
              <a:ln>
                <a:noFill/>
              </a:ln>
              <a:effectLst/>
              <a:sp3d/>
            </c:spPr>
            <c:extLst>
              <c:ext xmlns:c16="http://schemas.microsoft.com/office/drawing/2014/chart" uri="{C3380CC4-5D6E-409C-BE32-E72D297353CC}">
                <c16:uniqueId val="{00000001-0F12-492F-A845-BA9FCBC65B68}"/>
              </c:ext>
            </c:extLst>
          </c:dPt>
          <c:dPt>
            <c:idx val="11"/>
            <c:invertIfNegative val="0"/>
            <c:bubble3D val="0"/>
            <c:spPr>
              <a:solidFill>
                <a:srgbClr val="08989C"/>
              </a:solidFill>
              <a:ln>
                <a:noFill/>
              </a:ln>
              <a:effectLst/>
              <a:sp3d/>
            </c:spPr>
            <c:extLst>
              <c:ext xmlns:c16="http://schemas.microsoft.com/office/drawing/2014/chart" uri="{C3380CC4-5D6E-409C-BE32-E72D297353CC}">
                <c16:uniqueId val="{00000003-0F12-492F-A845-BA9FCBC65B68}"/>
              </c:ext>
            </c:extLst>
          </c:dPt>
          <c:dPt>
            <c:idx val="12"/>
            <c:invertIfNegative val="0"/>
            <c:bubble3D val="0"/>
            <c:spPr>
              <a:solidFill>
                <a:srgbClr val="08989C"/>
              </a:solidFill>
              <a:ln>
                <a:noFill/>
              </a:ln>
              <a:effectLst/>
              <a:sp3d/>
            </c:spPr>
            <c:extLst>
              <c:ext xmlns:c16="http://schemas.microsoft.com/office/drawing/2014/chart" uri="{C3380CC4-5D6E-409C-BE32-E72D297353CC}">
                <c16:uniqueId val="{00000005-0F12-492F-A845-BA9FCBC65B68}"/>
              </c:ext>
            </c:extLst>
          </c:dPt>
          <c:dPt>
            <c:idx val="13"/>
            <c:invertIfNegative val="0"/>
            <c:bubble3D val="0"/>
            <c:spPr>
              <a:solidFill>
                <a:srgbClr val="08989C"/>
              </a:solidFill>
              <a:ln>
                <a:noFill/>
              </a:ln>
              <a:effectLst/>
              <a:sp3d/>
            </c:spPr>
            <c:extLst>
              <c:ext xmlns:c16="http://schemas.microsoft.com/office/drawing/2014/chart" uri="{C3380CC4-5D6E-409C-BE32-E72D297353CC}">
                <c16:uniqueId val="{00000007-0F12-492F-A845-BA9FCBC65B68}"/>
              </c:ext>
            </c:extLst>
          </c:dPt>
          <c:dPt>
            <c:idx val="14"/>
            <c:invertIfNegative val="0"/>
            <c:bubble3D val="0"/>
            <c:spPr>
              <a:solidFill>
                <a:srgbClr val="08989C"/>
              </a:solidFill>
              <a:ln>
                <a:noFill/>
              </a:ln>
              <a:effectLst/>
              <a:sp3d/>
            </c:spPr>
            <c:extLst>
              <c:ext xmlns:c16="http://schemas.microsoft.com/office/drawing/2014/chart" uri="{C3380CC4-5D6E-409C-BE32-E72D297353CC}">
                <c16:uniqueId val="{00000009-0F12-492F-A845-BA9FCBC65B68}"/>
              </c:ext>
            </c:extLst>
          </c:dPt>
          <c:dPt>
            <c:idx val="15"/>
            <c:invertIfNegative val="0"/>
            <c:bubble3D val="0"/>
            <c:spPr>
              <a:solidFill>
                <a:srgbClr val="08989C"/>
              </a:solidFill>
              <a:ln>
                <a:noFill/>
              </a:ln>
              <a:effectLst/>
              <a:sp3d/>
            </c:spPr>
            <c:extLst>
              <c:ext xmlns:c16="http://schemas.microsoft.com/office/drawing/2014/chart" uri="{C3380CC4-5D6E-409C-BE32-E72D297353CC}">
                <c16:uniqueId val="{0000000B-0F12-492F-A845-BA9FCBC65B68}"/>
              </c:ext>
            </c:extLst>
          </c:dPt>
          <c:dPt>
            <c:idx val="16"/>
            <c:invertIfNegative val="0"/>
            <c:bubble3D val="0"/>
            <c:spPr>
              <a:solidFill>
                <a:srgbClr val="08989C"/>
              </a:solidFill>
              <a:ln>
                <a:noFill/>
              </a:ln>
              <a:effectLst>
                <a:outerShdw blurRad="50800" dist="50800" dir="5400000" algn="ctr" rotWithShape="0">
                  <a:schemeClr val="accent5">
                    <a:lumMod val="20000"/>
                    <a:lumOff val="80000"/>
                  </a:schemeClr>
                </a:outerShdw>
              </a:effectLst>
              <a:sp3d/>
            </c:spPr>
            <c:extLst>
              <c:ext xmlns:c16="http://schemas.microsoft.com/office/drawing/2014/chart" uri="{C3380CC4-5D6E-409C-BE32-E72D297353CC}">
                <c16:uniqueId val="{0000000D-0F12-492F-A845-BA9FCBC65B68}"/>
              </c:ext>
            </c:extLst>
          </c:dPt>
          <c:dPt>
            <c:idx val="17"/>
            <c:invertIfNegative val="0"/>
            <c:bubble3D val="0"/>
            <c:spPr>
              <a:solidFill>
                <a:srgbClr val="08989C"/>
              </a:solidFill>
              <a:ln>
                <a:noFill/>
              </a:ln>
              <a:effectLst/>
              <a:sp3d/>
            </c:spPr>
            <c:extLst>
              <c:ext xmlns:c16="http://schemas.microsoft.com/office/drawing/2014/chart" uri="{C3380CC4-5D6E-409C-BE32-E72D297353CC}">
                <c16:uniqueId val="{0000000F-0F12-492F-A845-BA9FCBC65B68}"/>
              </c:ext>
            </c:extLst>
          </c:dPt>
          <c:dPt>
            <c:idx val="18"/>
            <c:invertIfNegative val="0"/>
            <c:bubble3D val="0"/>
            <c:spPr>
              <a:solidFill>
                <a:srgbClr val="08989C"/>
              </a:solidFill>
              <a:ln>
                <a:noFill/>
              </a:ln>
              <a:effectLst/>
              <a:sp3d>
                <a:contourClr>
                  <a:schemeClr val="tx2">
                    <a:lumMod val="60000"/>
                    <a:lumOff val="40000"/>
                  </a:schemeClr>
                </a:contourClr>
              </a:sp3d>
            </c:spPr>
            <c:extLst>
              <c:ext xmlns:c16="http://schemas.microsoft.com/office/drawing/2014/chart" uri="{C3380CC4-5D6E-409C-BE32-E72D297353CC}">
                <c16:uniqueId val="{00000011-0F12-492F-A845-BA9FCBC65B68}"/>
              </c:ext>
            </c:extLst>
          </c:dPt>
          <c:dPt>
            <c:idx val="19"/>
            <c:invertIfNegative val="0"/>
            <c:bubble3D val="0"/>
            <c:spPr>
              <a:solidFill>
                <a:srgbClr val="08989C"/>
              </a:solidFill>
              <a:ln>
                <a:noFill/>
              </a:ln>
              <a:effectLst/>
              <a:sp3d/>
            </c:spPr>
            <c:extLst>
              <c:ext xmlns:c16="http://schemas.microsoft.com/office/drawing/2014/chart" uri="{C3380CC4-5D6E-409C-BE32-E72D297353CC}">
                <c16:uniqueId val="{00000013-0F12-492F-A845-BA9FCBC65B68}"/>
              </c:ext>
            </c:extLst>
          </c:dPt>
          <c:dPt>
            <c:idx val="20"/>
            <c:invertIfNegative val="0"/>
            <c:bubble3D val="0"/>
            <c:spPr>
              <a:solidFill>
                <a:srgbClr val="08989C"/>
              </a:solidFill>
              <a:ln>
                <a:noFill/>
              </a:ln>
              <a:effectLst/>
            </c:spPr>
            <c:extLst>
              <c:ext xmlns:c16="http://schemas.microsoft.com/office/drawing/2014/chart" uri="{C3380CC4-5D6E-409C-BE32-E72D297353CC}">
                <c16:uniqueId val="{00000015-0F12-492F-A845-BA9FCBC65B68}"/>
              </c:ext>
            </c:extLst>
          </c:dPt>
          <c:dPt>
            <c:idx val="21"/>
            <c:invertIfNegative val="0"/>
            <c:bubble3D val="0"/>
            <c:spPr>
              <a:solidFill>
                <a:srgbClr val="08989C"/>
              </a:solidFill>
              <a:ln>
                <a:noFill/>
              </a:ln>
              <a:effectLst/>
              <a:sp3d/>
            </c:spPr>
            <c:extLst>
              <c:ext xmlns:c16="http://schemas.microsoft.com/office/drawing/2014/chart" uri="{C3380CC4-5D6E-409C-BE32-E72D297353CC}">
                <c16:uniqueId val="{00000017-0F12-492F-A845-BA9FCBC65B68}"/>
              </c:ext>
            </c:extLst>
          </c:dPt>
          <c:dPt>
            <c:idx val="32"/>
            <c:invertIfNegative val="0"/>
            <c:bubble3D val="0"/>
            <c:spPr>
              <a:solidFill>
                <a:srgbClr val="08989C"/>
              </a:solidFill>
              <a:ln>
                <a:noFill/>
              </a:ln>
              <a:effectLst/>
              <a:sp3d/>
            </c:spPr>
            <c:extLst>
              <c:ext xmlns:c16="http://schemas.microsoft.com/office/drawing/2014/chart" uri="{C3380CC4-5D6E-409C-BE32-E72D297353CC}">
                <c16:uniqueId val="{00000019-0F12-492F-A845-BA9FCBC65B68}"/>
              </c:ext>
            </c:extLst>
          </c:dPt>
          <c:dLbls>
            <c:dLbl>
              <c:idx val="0"/>
              <c:layout>
                <c:manualLayout>
                  <c:x val="-2.5079120464834719E-2"/>
                  <c:y val="-2.3518518518518519E-3"/>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365392692146157"/>
                      <c:h val="2.9056111111111112E-2"/>
                    </c:manualLayout>
                  </c15:layout>
                </c:ext>
                <c:ext xmlns:c16="http://schemas.microsoft.com/office/drawing/2014/chart" uri="{C3380CC4-5D6E-409C-BE32-E72D297353CC}">
                  <c16:uniqueId val="{0000001A-0F12-492F-A845-BA9FCBC65B68}"/>
                </c:ext>
              </c:extLst>
            </c:dLbl>
            <c:dLbl>
              <c:idx val="1"/>
              <c:layout>
                <c:manualLayout>
                  <c:x val="-1.6186377059860379E-2"/>
                  <c:y val="0"/>
                </c:manualLayout>
              </c:layout>
              <c:spPr>
                <a:noFill/>
                <a:ln>
                  <a:noFill/>
                </a:ln>
                <a:effectLst/>
              </c:spPr>
              <c:txPr>
                <a:bodyPr rot="0" spcFirstLastPara="1" vertOverflow="ellipsis" vert="horz" wrap="square" anchor="ctr" anchorCtr="1"/>
                <a:lstStyle/>
                <a:p>
                  <a:pPr algn="ctr" rtl="0">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973960520789582"/>
                      <c:h val="2.6691481481481483E-2"/>
                    </c:manualLayout>
                  </c15:layout>
                </c:ext>
                <c:ext xmlns:c16="http://schemas.microsoft.com/office/drawing/2014/chart" uri="{C3380CC4-5D6E-409C-BE32-E72D297353CC}">
                  <c16:uniqueId val="{0000001B-0F12-492F-A845-BA9FCBC65B68}"/>
                </c:ext>
              </c:extLst>
            </c:dLbl>
            <c:dLbl>
              <c:idx val="2"/>
              <c:layout>
                <c:manualLayout>
                  <c:x val="-1.4046073409240399E-2"/>
                  <c:y val="-1.1757407407407407E-3"/>
                </c:manualLayout>
              </c:layout>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2393952120957578"/>
                      <c:h val="3.3740925925925924E-2"/>
                    </c:manualLayout>
                  </c15:layout>
                </c:ext>
                <c:ext xmlns:c16="http://schemas.microsoft.com/office/drawing/2014/chart" uri="{C3380CC4-5D6E-409C-BE32-E72D297353CC}">
                  <c16:uniqueId val="{0000001C-0F12-492F-A845-BA9FCBC65B68}"/>
                </c:ext>
              </c:extLst>
            </c:dLbl>
            <c:dLbl>
              <c:idx val="30"/>
              <c:layout>
                <c:manualLayout>
                  <c:x val="-4.19991600167996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F12-492F-A845-BA9FCBC65B68}"/>
                </c:ext>
              </c:extLst>
            </c:dLbl>
            <c:dLbl>
              <c:idx val="31"/>
              <c:tx>
                <c:rich>
                  <a:bodyPr/>
                  <a:lstStyle/>
                  <a:p>
                    <a:fld id="{93C8FBB5-B982-4A47-BC11-5EF908290B75}" type="VALUE">
                      <a:rPr lang="en-US">
                        <a:solidFill>
                          <a:srgbClr val="4D565E"/>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0F12-492F-A845-BA9FCBC65B68}"/>
                </c:ext>
              </c:extLst>
            </c:dLbl>
            <c:dLbl>
              <c:idx val="32"/>
              <c:layout>
                <c:manualLayout>
                  <c:x val="-7.6484769517208085E-3"/>
                  <c:y val="0"/>
                </c:manualLayout>
              </c:layout>
              <c:spPr>
                <a:noFill/>
                <a:ln>
                  <a:noFill/>
                </a:ln>
                <a:effectLst/>
              </c:spPr>
              <c:txPr>
                <a:bodyPr rot="0" spcFirstLastPara="1" vertOverflow="ellipsis" vert="horz" wrap="square" anchor="ctr" anchorCtr="1"/>
                <a:lstStyle/>
                <a:p>
                  <a:pPr algn="r">
                    <a:defRPr sz="700" b="0" i="0" u="none" strike="noStrike" kern="1200" baseline="0">
                      <a:solidFill>
                        <a:schemeClr val="tx1"/>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6175993015572762"/>
                      <c:h val="2.668537037037037E-2"/>
                    </c:manualLayout>
                  </c15:layout>
                </c:ext>
                <c:ext xmlns:c16="http://schemas.microsoft.com/office/drawing/2014/chart" uri="{C3380CC4-5D6E-409C-BE32-E72D297353CC}">
                  <c16:uniqueId val="{00000019-0F12-492F-A845-BA9FCBC65B6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EF'!$B$6:$B$38</c:f>
              <c:strCache>
                <c:ptCount val="33"/>
                <c:pt idx="0">
                  <c:v>Campeche</c:v>
                </c:pt>
                <c:pt idx="1">
                  <c:v>Tabasco</c:v>
                </c:pt>
                <c:pt idx="2">
                  <c:v>Quintana Roo</c:v>
                </c:pt>
                <c:pt idx="3">
                  <c:v>Durango</c:v>
                </c:pt>
                <c:pt idx="4">
                  <c:v>Chihuahua</c:v>
                </c:pt>
                <c:pt idx="5">
                  <c:v>Chiapas</c:v>
                </c:pt>
                <c:pt idx="6">
                  <c:v>Puebla</c:v>
                </c:pt>
                <c:pt idx="7">
                  <c:v>Sonora</c:v>
                </c:pt>
                <c:pt idx="8">
                  <c:v>Veracruz</c:v>
                </c:pt>
                <c:pt idx="9">
                  <c:v>Coahuila</c:v>
                </c:pt>
                <c:pt idx="10">
                  <c:v>Nacional</c:v>
                </c:pt>
                <c:pt idx="11">
                  <c:v>Hidalgo</c:v>
                </c:pt>
                <c:pt idx="12">
                  <c:v>Jalisco</c:v>
                </c:pt>
                <c:pt idx="13">
                  <c:v>Tlaxcala</c:v>
                </c:pt>
                <c:pt idx="14">
                  <c:v>Baja California</c:v>
                </c:pt>
                <c:pt idx="15">
                  <c:v>Michoacán</c:v>
                </c:pt>
                <c:pt idx="16">
                  <c:v>Morelos</c:v>
                </c:pt>
                <c:pt idx="17">
                  <c:v>Querétaro</c:v>
                </c:pt>
                <c:pt idx="18">
                  <c:v>Sinaloa</c:v>
                </c:pt>
                <c:pt idx="19">
                  <c:v>México</c:v>
                </c:pt>
                <c:pt idx="20">
                  <c:v>Aguascalientes</c:v>
                </c:pt>
                <c:pt idx="21">
                  <c:v>Yucatán</c:v>
                </c:pt>
                <c:pt idx="22">
                  <c:v>Nuevo León</c:v>
                </c:pt>
                <c:pt idx="23">
                  <c:v>Zacatecas</c:v>
                </c:pt>
                <c:pt idx="24">
                  <c:v>Tamaulipas</c:v>
                </c:pt>
                <c:pt idx="25">
                  <c:v>Colima</c:v>
                </c:pt>
                <c:pt idx="26">
                  <c:v>Ciudad de México</c:v>
                </c:pt>
                <c:pt idx="27">
                  <c:v>San Luis Potosí</c:v>
                </c:pt>
                <c:pt idx="28">
                  <c:v>Guanajuato</c:v>
                </c:pt>
                <c:pt idx="29">
                  <c:v>Baja California Sur</c:v>
                </c:pt>
                <c:pt idx="30">
                  <c:v>Nayarit</c:v>
                </c:pt>
                <c:pt idx="31">
                  <c:v>Oaxaca</c:v>
                </c:pt>
                <c:pt idx="32">
                  <c:v>Guerrero</c:v>
                </c:pt>
              </c:strCache>
            </c:strRef>
          </c:cat>
          <c:val>
            <c:numRef>
              <c:f>'Variaciones por EF'!$C$6:$C$38</c:f>
              <c:numCache>
                <c:formatCode>0.0</c:formatCode>
                <c:ptCount val="33"/>
                <c:pt idx="0">
                  <c:v>-16.679304384988853</c:v>
                </c:pt>
                <c:pt idx="1">
                  <c:v>-12.781620349523763</c:v>
                </c:pt>
                <c:pt idx="2">
                  <c:v>-9.4354381673375372</c:v>
                </c:pt>
                <c:pt idx="3">
                  <c:v>-0.86781932585884647</c:v>
                </c:pt>
                <c:pt idx="4">
                  <c:v>-0.54291079334790027</c:v>
                </c:pt>
                <c:pt idx="5">
                  <c:v>-0.49092488095099895</c:v>
                </c:pt>
                <c:pt idx="6">
                  <c:v>-0.14425372002824588</c:v>
                </c:pt>
                <c:pt idx="7">
                  <c:v>0.24599114616296447</c:v>
                </c:pt>
                <c:pt idx="8">
                  <c:v>0.35647325389824402</c:v>
                </c:pt>
                <c:pt idx="9">
                  <c:v>0.57004213332673714</c:v>
                </c:pt>
                <c:pt idx="10">
                  <c:v>0.79692409362999705</c:v>
                </c:pt>
                <c:pt idx="11">
                  <c:v>0.85064158737671391</c:v>
                </c:pt>
                <c:pt idx="12">
                  <c:v>0.99910333444506705</c:v>
                </c:pt>
                <c:pt idx="13">
                  <c:v>1.1477431455932532</c:v>
                </c:pt>
                <c:pt idx="14">
                  <c:v>1.2055102076039361</c:v>
                </c:pt>
                <c:pt idx="15">
                  <c:v>1.252154998979421</c:v>
                </c:pt>
                <c:pt idx="16">
                  <c:v>1.3107576828294611</c:v>
                </c:pt>
                <c:pt idx="17">
                  <c:v>1.4543259670532365</c:v>
                </c:pt>
                <c:pt idx="18">
                  <c:v>1.5180405962027237</c:v>
                </c:pt>
                <c:pt idx="19">
                  <c:v>1.5702630077030193</c:v>
                </c:pt>
                <c:pt idx="20">
                  <c:v>1.6433240915855833</c:v>
                </c:pt>
                <c:pt idx="21">
                  <c:v>1.7719801305322562</c:v>
                </c:pt>
                <c:pt idx="22">
                  <c:v>2.009794731194134</c:v>
                </c:pt>
                <c:pt idx="23">
                  <c:v>2.6684113132714913</c:v>
                </c:pt>
                <c:pt idx="24">
                  <c:v>2.6769997550805158</c:v>
                </c:pt>
                <c:pt idx="25">
                  <c:v>2.7344360724499381</c:v>
                </c:pt>
                <c:pt idx="26">
                  <c:v>2.9751025396099919</c:v>
                </c:pt>
                <c:pt idx="27">
                  <c:v>3.1173447842846542</c:v>
                </c:pt>
                <c:pt idx="28">
                  <c:v>3.1597118676708362</c:v>
                </c:pt>
                <c:pt idx="29">
                  <c:v>3.9710557133958275</c:v>
                </c:pt>
                <c:pt idx="30">
                  <c:v>4.6992978016786537</c:v>
                </c:pt>
                <c:pt idx="31">
                  <c:v>5.5898000794779108</c:v>
                </c:pt>
                <c:pt idx="32">
                  <c:v>6.8229758946258841</c:v>
                </c:pt>
              </c:numCache>
            </c:numRef>
          </c:val>
          <c:extLst>
            <c:ext xmlns:c15="http://schemas.microsoft.com/office/drawing/2012/chart" uri="{02D57815-91ED-43cb-92C2-25804820EDAC}">
              <c15:filteredSeriesTitle>
                <c15:tx>
                  <c:v>Total</c:v>
                </c15:tx>
              </c15:filteredSeriesTitle>
            </c:ext>
            <c:ext xmlns:c16="http://schemas.microsoft.com/office/drawing/2014/chart" uri="{C3380CC4-5D6E-409C-BE32-E72D297353CC}">
              <c16:uniqueId val="{0000001F-0F12-492F-A845-BA9FCBC65B68}"/>
            </c:ext>
          </c:extLst>
        </c:ser>
        <c:dLbls>
          <c:showLegendKey val="0"/>
          <c:showVal val="0"/>
          <c:showCatName val="0"/>
          <c:showSerName val="0"/>
          <c:showPercent val="0"/>
          <c:showBubbleSize val="0"/>
        </c:dLbls>
        <c:gapWidth val="20"/>
        <c:axId val="499231128"/>
        <c:axId val="499231520"/>
      </c:barChart>
      <c:catAx>
        <c:axId val="499231128"/>
        <c:scaling>
          <c:orientation val="minMax"/>
        </c:scaling>
        <c:delete val="0"/>
        <c:axPos val="l"/>
        <c:numFmt formatCode="General" sourceLinked="0"/>
        <c:majorTickMark val="cross"/>
        <c:minorTickMark val="none"/>
        <c:tickLblPos val="low"/>
        <c:spPr>
          <a:noFill/>
          <a:ln w="6350" cap="flat" cmpd="sng" algn="ctr">
            <a:solidFill>
              <a:srgbClr val="C0C0C0"/>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520"/>
        <c:crossesAt val="0"/>
        <c:auto val="1"/>
        <c:lblAlgn val="ctr"/>
        <c:lblOffset val="100"/>
        <c:noMultiLvlLbl val="0"/>
      </c:catAx>
      <c:valAx>
        <c:axId val="499231520"/>
        <c:scaling>
          <c:orientation val="minMax"/>
          <c:max val="8"/>
          <c:min val="-24"/>
        </c:scaling>
        <c:delete val="0"/>
        <c:axPos val="b"/>
        <c:numFmt formatCode="#,##0.0" sourceLinked="0"/>
        <c:majorTickMark val="out"/>
        <c:minorTickMark val="none"/>
        <c:tickLblPos val="nextTo"/>
        <c:spPr>
          <a:noFill/>
          <a:ln w="9525" cap="flat" cmpd="sng" algn="ctr">
            <a:solidFill>
              <a:srgbClr val="D8551E"/>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s-MX"/>
          </a:p>
        </c:txPr>
        <c:crossAx val="499231128"/>
        <c:crosses val="autoZero"/>
        <c:crossBetween val="between"/>
        <c:majorUnit val="8"/>
        <c:minorUnit val="1"/>
      </c:valAx>
      <c:spPr>
        <a:noFill/>
        <a:ln>
          <a:noFill/>
        </a:ln>
        <a:effectLst/>
      </c:spPr>
    </c:plotArea>
    <c:plotVisOnly val="1"/>
    <c:dispBlanksAs val="gap"/>
    <c:showDLblsOverMax val="0"/>
  </c:chart>
  <c:spPr>
    <a:noFill/>
    <a:ln w="6350" cap="flat" cmpd="sng" algn="ctr">
      <a:solidFill>
        <a:srgbClr val="C0C0C0"/>
      </a:solidFill>
      <a:prstDash val="solid"/>
      <a:round/>
    </a:ln>
    <a:effectLst/>
  </c:spPr>
  <c:txPr>
    <a:bodyPr/>
    <a:lstStyle/>
    <a:p>
      <a:pPr>
        <a:defRPr sz="700"/>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09775990876047"/>
          <c:y val="2.2274306150399905E-2"/>
          <c:w val="0.64540548013063836"/>
          <c:h val="0.93805666666666665"/>
        </c:manualLayout>
      </c:layout>
      <c:barChart>
        <c:barDir val="bar"/>
        <c:grouping val="clustered"/>
        <c:varyColors val="0"/>
        <c:ser>
          <c:idx val="0"/>
          <c:order val="0"/>
          <c:tx>
            <c:strRef>
              <c:f>Contribuciones!$A$5</c:f>
              <c:strCache>
                <c:ptCount val="1"/>
                <c:pt idx="0">
                  <c:v>Total</c:v>
                </c:pt>
              </c:strCache>
            </c:strRef>
          </c:tx>
          <c:spPr>
            <a:solidFill>
              <a:srgbClr val="08989C"/>
            </a:solidFill>
            <a:ln>
              <a:noFill/>
            </a:ln>
          </c:spPr>
          <c:invertIfNegative val="0"/>
          <c:dLbls>
            <c:dLbl>
              <c:idx val="0"/>
              <c:layout>
                <c:manualLayout>
                  <c:x val="-3.7704497878546288E-2"/>
                  <c:y val="1.1760555098200634E-3"/>
                </c:manualLayout>
              </c:layout>
              <c:numFmt formatCode="#,##0.00" sourceLinked="0"/>
              <c:spPr>
                <a:noFill/>
                <a:ln>
                  <a:noFill/>
                </a:ln>
                <a:effectLst/>
              </c:spPr>
              <c:txPr>
                <a:bodyPr rot="0"/>
                <a:lstStyle/>
                <a:p>
                  <a:pPr algn="l">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9695494225752652E-2"/>
                    </c:manualLayout>
                  </c15:layout>
                </c:ext>
                <c:ext xmlns:c16="http://schemas.microsoft.com/office/drawing/2014/chart" uri="{C3380CC4-5D6E-409C-BE32-E72D297353CC}">
                  <c16:uniqueId val="{00000000-2402-4F2E-A06F-629814C7CD2B}"/>
                </c:ext>
              </c:extLst>
            </c:dLbl>
            <c:dLbl>
              <c:idx val="1"/>
              <c:layout>
                <c:manualLayout>
                  <c:x val="-1.6405797868294603E-2"/>
                  <c:y val="-1.7248614886556546E-16"/>
                </c:manualLayout>
              </c:layout>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6997225409822516E-2"/>
                      <c:h val="3.2047605245392782E-2"/>
                    </c:manualLayout>
                  </c15:layout>
                </c:ext>
                <c:ext xmlns:c16="http://schemas.microsoft.com/office/drawing/2014/chart" uri="{C3380CC4-5D6E-409C-BE32-E72D297353CC}">
                  <c16:uniqueId val="{00000001-2402-4F2E-A06F-629814C7CD2B}"/>
                </c:ext>
              </c:extLst>
            </c:dLbl>
            <c:dLbl>
              <c:idx val="2"/>
              <c:numFmt formatCode="#,##0.00" sourceLinked="0"/>
              <c:spPr>
                <a:noFill/>
                <a:ln>
                  <a:noFill/>
                </a:ln>
                <a:effectLst/>
              </c:spPr>
              <c:txPr>
                <a:bodyPr rot="0"/>
                <a:lstStyle/>
                <a:p>
                  <a:pPr algn="l">
                    <a:defRPr sz="6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0340193196136065E-2"/>
                      <c:h val="2.9036903140253412E-2"/>
                    </c:manualLayout>
                  </c15:layout>
                </c:ext>
                <c:ext xmlns:c16="http://schemas.microsoft.com/office/drawing/2014/chart" uri="{C3380CC4-5D6E-409C-BE32-E72D297353CC}">
                  <c16:uniqueId val="{00000002-2402-4F2E-A06F-629814C7CD2B}"/>
                </c:ext>
              </c:extLst>
            </c:dLbl>
            <c:dLbl>
              <c:idx val="3"/>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02-4F2E-A06F-629814C7CD2B}"/>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02-4F2E-A06F-629814C7CD2B}"/>
                </c:ext>
              </c:extLst>
            </c:dLbl>
            <c:dLbl>
              <c:idx val="5"/>
              <c:layout>
                <c:manualLayout>
                  <c:x val="-1.3438408397186311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5-2402-4F2E-A06F-629814C7CD2B}"/>
                </c:ext>
              </c:extLst>
            </c:dLbl>
            <c:dLbl>
              <c:idx val="6"/>
              <c:layout>
                <c:manualLayout>
                  <c:x val="1.3228081895055012E-6"/>
                  <c:y val="-4.23417024653642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02-4F2E-A06F-629814C7CD2B}"/>
                </c:ext>
              </c:extLst>
            </c:dLbl>
            <c:dLbl>
              <c:idx val="7"/>
              <c:layout>
                <c:manualLayout>
                  <c:x val="9.9210614220612339E-7"/>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02-4F2E-A06F-629814C7CD2B}"/>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02-4F2E-A06F-629814C7CD2B}"/>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02-4F2E-A06F-629814C7CD2B}"/>
                </c:ext>
              </c:extLst>
            </c:dLbl>
            <c:dLbl>
              <c:idx val="29"/>
              <c:layout>
                <c:manualLayout>
                  <c:x val="-8.3965249828861694E-4"/>
                  <c:y val="-2.3521110196401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02-4F2E-A06F-629814C7CD2B}"/>
                </c:ext>
              </c:extLst>
            </c:dLbl>
            <c:dLbl>
              <c:idx val="30"/>
              <c:layout>
                <c:manualLayout>
                  <c:x val="-5.4292347223921664E-2"/>
                  <c:y val="1.1760555098200634E-3"/>
                </c:manualLayout>
              </c:layout>
              <c:numFmt formatCode="#,##0.00" sourceLinked="0"/>
              <c:spPr>
                <a:noFill/>
                <a:ln>
                  <a:noFill/>
                </a:ln>
                <a:effectLst/>
              </c:spPr>
              <c:txPr>
                <a:bodyPr rot="0"/>
                <a:lstStyle/>
                <a:p>
                  <a:pPr algn="r">
                    <a:defRPr sz="700">
                      <a:latin typeface="+mn-lt"/>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16047316848938"/>
                      <c:h val="2.8294413921533947E-2"/>
                    </c:manualLayout>
                  </c15:layout>
                </c:ext>
                <c:ext xmlns:c16="http://schemas.microsoft.com/office/drawing/2014/chart" uri="{C3380CC4-5D6E-409C-BE32-E72D297353CC}">
                  <c16:uniqueId val="{0000000B-2402-4F2E-A06F-629814C7CD2B}"/>
                </c:ext>
              </c:extLst>
            </c:dLbl>
            <c:dLbl>
              <c:idx val="31"/>
              <c:layout>
                <c:manualLayout>
                  <c:x val="-8.3998320033599333E-3"/>
                  <c:y val="0"/>
                </c:manualLayout>
              </c:layout>
              <c:tx>
                <c:rich>
                  <a:bodyPr rot="0"/>
                  <a:lstStyle/>
                  <a:p>
                    <a:pPr algn="r">
                      <a:defRPr sz="700">
                        <a:latin typeface="+mn-lt"/>
                      </a:defRPr>
                    </a:pPr>
                    <a:r>
                      <a:rPr lang="en-US" sz="700">
                        <a:latin typeface="+mn-lt"/>
                      </a:rPr>
                      <a:t>0.45</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8007189462509969E-2"/>
                      <c:h val="3.2047605245392782E-2"/>
                    </c:manualLayout>
                  </c15:layout>
                  <c15:showDataLabelsRange val="0"/>
                </c:ext>
                <c:ext xmlns:c16="http://schemas.microsoft.com/office/drawing/2014/chart" uri="{C3380CC4-5D6E-409C-BE32-E72D297353CC}">
                  <c16:uniqueId val="{0000000C-2402-4F2E-A06F-629814C7CD2B}"/>
                </c:ext>
              </c:extLst>
            </c:dLbl>
            <c:numFmt formatCode="#,##0.00" sourceLinked="0"/>
            <c:spPr>
              <a:noFill/>
              <a:ln>
                <a:noFill/>
              </a:ln>
              <a:effectLst/>
            </c:spPr>
            <c:txPr>
              <a:bodyPr rot="0"/>
              <a:lstStyle/>
              <a:p>
                <a:pPr>
                  <a:defRPr sz="700">
                    <a:latin typeface="+mn-lt"/>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Contribuciones!$A$7:$A$38</c:f>
              <c:strCache>
                <c:ptCount val="32"/>
                <c:pt idx="0">
                  <c:v>Campeche</c:v>
                </c:pt>
                <c:pt idx="1">
                  <c:v>Tabasco</c:v>
                </c:pt>
                <c:pt idx="2">
                  <c:v>Quintana Roo</c:v>
                </c:pt>
                <c:pt idx="3">
                  <c:v>Chihuahua</c:v>
                </c:pt>
                <c:pt idx="4">
                  <c:v>Durango</c:v>
                </c:pt>
                <c:pt idx="5">
                  <c:v>Chiapas</c:v>
                </c:pt>
                <c:pt idx="6">
                  <c:v>Puebla</c:v>
                </c:pt>
                <c:pt idx="7">
                  <c:v>Tlaxcala</c:v>
                </c:pt>
                <c:pt idx="8">
                  <c:v>Sonora</c:v>
                </c:pt>
                <c:pt idx="9">
                  <c:v>Morelos</c:v>
                </c:pt>
                <c:pt idx="10">
                  <c:v>Hidalgo</c:v>
                </c:pt>
                <c:pt idx="11">
                  <c:v>Veracruz</c:v>
                </c:pt>
                <c:pt idx="12">
                  <c:v>Colima</c:v>
                </c:pt>
                <c:pt idx="13">
                  <c:v>Coahuila</c:v>
                </c:pt>
                <c:pt idx="14">
                  <c:v>Aguascalientes</c:v>
                </c:pt>
                <c:pt idx="15">
                  <c:v>Zacatecas</c:v>
                </c:pt>
                <c:pt idx="16">
                  <c:v>Yucatán</c:v>
                </c:pt>
                <c:pt idx="17">
                  <c:v>Baja California Sur</c:v>
                </c:pt>
                <c:pt idx="18">
                  <c:v>Nayarit</c:v>
                </c:pt>
                <c:pt idx="19">
                  <c:v>Sinaloa</c:v>
                </c:pt>
                <c:pt idx="20">
                  <c:v>Michoacán</c:v>
                </c:pt>
                <c:pt idx="21">
                  <c:v>Querétaro</c:v>
                </c:pt>
                <c:pt idx="22">
                  <c:v>Baja California</c:v>
                </c:pt>
                <c:pt idx="23">
                  <c:v>San Luis Potosí</c:v>
                </c:pt>
                <c:pt idx="24">
                  <c:v>Jalisco</c:v>
                </c:pt>
                <c:pt idx="25">
                  <c:v>Tamaulipas</c:v>
                </c:pt>
                <c:pt idx="26">
                  <c:v>Guerrero</c:v>
                </c:pt>
                <c:pt idx="27">
                  <c:v>Oaxaca</c:v>
                </c:pt>
                <c:pt idx="28">
                  <c:v>México</c:v>
                </c:pt>
                <c:pt idx="29">
                  <c:v>Guanajuato</c:v>
                </c:pt>
                <c:pt idx="30">
                  <c:v>Nuevo León</c:v>
                </c:pt>
                <c:pt idx="31">
                  <c:v>Ciudad de México</c:v>
                </c:pt>
              </c:strCache>
            </c:strRef>
          </c:cat>
          <c:val>
            <c:numRef>
              <c:f>Contribuciones!$B$7:$B$38</c:f>
              <c:numCache>
                <c:formatCode>0.00</c:formatCode>
                <c:ptCount val="32"/>
                <c:pt idx="0">
                  <c:v>-0.35770942738585293</c:v>
                </c:pt>
                <c:pt idx="1">
                  <c:v>-0.33907757242313269</c:v>
                </c:pt>
                <c:pt idx="2">
                  <c:v>-0.14468041157526346</c:v>
                </c:pt>
                <c:pt idx="3">
                  <c:v>-1.9553563353478708E-2</c:v>
                </c:pt>
                <c:pt idx="4">
                  <c:v>-1.1106593989815772E-2</c:v>
                </c:pt>
                <c:pt idx="5">
                  <c:v>-7.9497955388017193E-3</c:v>
                </c:pt>
                <c:pt idx="6">
                  <c:v>4.9235477070394803E-3</c:v>
                </c:pt>
                <c:pt idx="7">
                  <c:v>6.5862722859677337E-3</c:v>
                </c:pt>
                <c:pt idx="8">
                  <c:v>8.1574521791382571E-3</c:v>
                </c:pt>
                <c:pt idx="9">
                  <c:v>1.4138046741604078E-2</c:v>
                </c:pt>
                <c:pt idx="10">
                  <c:v>1.5270301622077369E-2</c:v>
                </c:pt>
                <c:pt idx="11">
                  <c:v>1.6095419205528601E-2</c:v>
                </c:pt>
                <c:pt idx="12">
                  <c:v>1.7718304010856334E-2</c:v>
                </c:pt>
                <c:pt idx="13">
                  <c:v>2.0104424063690535E-2</c:v>
                </c:pt>
                <c:pt idx="14">
                  <c:v>2.1457561823622871E-2</c:v>
                </c:pt>
                <c:pt idx="15">
                  <c:v>2.3166653576134896E-2</c:v>
                </c:pt>
                <c:pt idx="16">
                  <c:v>2.7925188577172744E-2</c:v>
                </c:pt>
                <c:pt idx="17">
                  <c:v>2.8502677453400842E-2</c:v>
                </c:pt>
                <c:pt idx="18">
                  <c:v>2.931377282730108E-2</c:v>
                </c:pt>
                <c:pt idx="19">
                  <c:v>3.2893383840225221E-2</c:v>
                </c:pt>
                <c:pt idx="20">
                  <c:v>3.3699706251786372E-2</c:v>
                </c:pt>
                <c:pt idx="21">
                  <c:v>3.5253557313336063E-2</c:v>
                </c:pt>
                <c:pt idx="22">
                  <c:v>4.4256781331090143E-2</c:v>
                </c:pt>
                <c:pt idx="23">
                  <c:v>7.1419334684540273E-2</c:v>
                </c:pt>
                <c:pt idx="24">
                  <c:v>7.2679765188697662E-2</c:v>
                </c:pt>
                <c:pt idx="25">
                  <c:v>8.0769768214542251E-2</c:v>
                </c:pt>
                <c:pt idx="26">
                  <c:v>8.6462808181198003E-2</c:v>
                </c:pt>
                <c:pt idx="27">
                  <c:v>0.10261899312261905</c:v>
                </c:pt>
                <c:pt idx="28">
                  <c:v>0.14039799697002975</c:v>
                </c:pt>
                <c:pt idx="29">
                  <c:v>0.14278045121078398</c:v>
                </c:pt>
                <c:pt idx="30">
                  <c:v>0.16098490284226449</c:v>
                </c:pt>
                <c:pt idx="31">
                  <c:v>0.44927148208574574</c:v>
                </c:pt>
              </c:numCache>
            </c:numRef>
          </c:val>
          <c:extLst>
            <c:ext xmlns:c16="http://schemas.microsoft.com/office/drawing/2014/chart" uri="{C3380CC4-5D6E-409C-BE32-E72D297353CC}">
              <c16:uniqueId val="{0000000D-2402-4F2E-A06F-629814C7CD2B}"/>
            </c:ext>
          </c:extLst>
        </c:ser>
        <c:dLbls>
          <c:showLegendKey val="0"/>
          <c:showVal val="0"/>
          <c:showCatName val="0"/>
          <c:showSerName val="0"/>
          <c:showPercent val="0"/>
          <c:showBubbleSize val="0"/>
        </c:dLbls>
        <c:gapWidth val="3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latin typeface="+mn-lt"/>
              </a:defRPr>
            </a:pPr>
            <a:endParaRPr lang="es-MX"/>
          </a:p>
        </c:txPr>
        <c:crossAx val="417157920"/>
        <c:crosses val="autoZero"/>
        <c:auto val="1"/>
        <c:lblAlgn val="ctr"/>
        <c:lblOffset val="100"/>
        <c:noMultiLvlLbl val="0"/>
      </c:catAx>
      <c:valAx>
        <c:axId val="417157920"/>
        <c:scaling>
          <c:orientation val="minMax"/>
          <c:min val="-0.5"/>
        </c:scaling>
        <c:delete val="0"/>
        <c:axPos val="b"/>
        <c:numFmt formatCode="#,##0.00" sourceLinked="0"/>
        <c:majorTickMark val="out"/>
        <c:minorTickMark val="none"/>
        <c:tickLblPos val="nextTo"/>
        <c:spPr>
          <a:ln w="9525">
            <a:solidFill>
              <a:srgbClr val="D8551E"/>
            </a:solidFill>
          </a:ln>
        </c:spPr>
        <c:txPr>
          <a:bodyPr/>
          <a:lstStyle/>
          <a:p>
            <a:pPr>
              <a:defRPr sz="700">
                <a:latin typeface="+mn-lt"/>
                <a:cs typeface="Times New Roman" panose="02020603050405020304" pitchFamily="18" charset="0"/>
              </a:defRPr>
            </a:pPr>
            <a:endParaRPr lang="es-MX"/>
          </a:p>
        </c:txPr>
        <c:crossAx val="417157528"/>
        <c:crosses val="autoZero"/>
        <c:crossBetween val="between"/>
        <c:majorUnit val="0.25"/>
      </c:valAx>
      <c:spPr>
        <a:noFill/>
        <a:ln>
          <a:noFill/>
        </a:ln>
      </c:spPr>
    </c:plotArea>
    <c:plotVisOnly val="1"/>
    <c:dispBlanksAs val="gap"/>
    <c:showDLblsOverMax val="0"/>
  </c:chart>
  <c:spPr>
    <a:noFill/>
    <a:ln w="6350">
      <a:solidFill>
        <a:srgbClr val="C0C0C0"/>
      </a:solidFill>
    </a:ln>
    <a:effectLst/>
  </c:spPr>
  <c:txPr>
    <a:bodyPr/>
    <a:lstStyle/>
    <a:p>
      <a:pPr>
        <a:defRPr sz="600">
          <a:latin typeface="Arial" panose="020B0604020202020204" pitchFamily="34" charset="0"/>
          <a:cs typeface="Arial" panose="020B0604020202020204" pitchFamily="34"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750189036869749"/>
          <c:y val="1.9088888888888891E-2"/>
          <c:w val="0.59686450845372885"/>
          <c:h val="0.95115832207437667"/>
        </c:manualLayout>
      </c:layout>
      <c:barChart>
        <c:barDir val="bar"/>
        <c:grouping val="clustered"/>
        <c:varyColors val="0"/>
        <c:ser>
          <c:idx val="0"/>
          <c:order val="0"/>
          <c:tx>
            <c:strRef>
              <c:f>'Variaciones por EF'!$P$4</c:f>
              <c:strCache>
                <c:ptCount val="1"/>
                <c:pt idx="0">
                  <c:v>Terciarias</c:v>
                </c:pt>
              </c:strCache>
            </c:strRef>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14D7-4857-A771-D6F5A5B0E17F}"/>
              </c:ext>
            </c:extLst>
          </c:dPt>
          <c:dPt>
            <c:idx val="11"/>
            <c:invertIfNegative val="0"/>
            <c:bubble3D val="0"/>
            <c:extLst>
              <c:ext xmlns:c16="http://schemas.microsoft.com/office/drawing/2014/chart" uri="{C3380CC4-5D6E-409C-BE32-E72D297353CC}">
                <c16:uniqueId val="{00000001-14D7-4857-A771-D6F5A5B0E17F}"/>
              </c:ext>
            </c:extLst>
          </c:dPt>
          <c:dPt>
            <c:idx val="13"/>
            <c:invertIfNegative val="0"/>
            <c:bubble3D val="0"/>
            <c:extLst>
              <c:ext xmlns:c16="http://schemas.microsoft.com/office/drawing/2014/chart" uri="{C3380CC4-5D6E-409C-BE32-E72D297353CC}">
                <c16:uniqueId val="{00000002-14D7-4857-A771-D6F5A5B0E17F}"/>
              </c:ext>
            </c:extLst>
          </c:dPt>
          <c:dPt>
            <c:idx val="14"/>
            <c:invertIfNegative val="0"/>
            <c:bubble3D val="0"/>
            <c:extLst>
              <c:ext xmlns:c16="http://schemas.microsoft.com/office/drawing/2014/chart" uri="{C3380CC4-5D6E-409C-BE32-E72D297353CC}">
                <c16:uniqueId val="{00000003-14D7-4857-A771-D6F5A5B0E17F}"/>
              </c:ext>
            </c:extLst>
          </c:dPt>
          <c:dPt>
            <c:idx val="15"/>
            <c:invertIfNegative val="0"/>
            <c:bubble3D val="0"/>
            <c:extLst>
              <c:ext xmlns:c16="http://schemas.microsoft.com/office/drawing/2014/chart" uri="{C3380CC4-5D6E-409C-BE32-E72D297353CC}">
                <c16:uniqueId val="{00000004-14D7-4857-A771-D6F5A5B0E17F}"/>
              </c:ext>
            </c:extLst>
          </c:dPt>
          <c:dPt>
            <c:idx val="16"/>
            <c:invertIfNegative val="0"/>
            <c:bubble3D val="0"/>
            <c:extLst>
              <c:ext xmlns:c16="http://schemas.microsoft.com/office/drawing/2014/chart" uri="{C3380CC4-5D6E-409C-BE32-E72D297353CC}">
                <c16:uniqueId val="{00000005-14D7-4857-A771-D6F5A5B0E17F}"/>
              </c:ext>
            </c:extLst>
          </c:dPt>
          <c:dPt>
            <c:idx val="17"/>
            <c:invertIfNegative val="0"/>
            <c:bubble3D val="0"/>
            <c:extLst>
              <c:ext xmlns:c16="http://schemas.microsoft.com/office/drawing/2014/chart" uri="{C3380CC4-5D6E-409C-BE32-E72D297353CC}">
                <c16:uniqueId val="{00000006-14D7-4857-A771-D6F5A5B0E17F}"/>
              </c:ext>
            </c:extLst>
          </c:dPt>
          <c:dPt>
            <c:idx val="18"/>
            <c:invertIfNegative val="0"/>
            <c:bubble3D val="0"/>
            <c:extLst>
              <c:ext xmlns:c16="http://schemas.microsoft.com/office/drawing/2014/chart" uri="{C3380CC4-5D6E-409C-BE32-E72D297353CC}">
                <c16:uniqueId val="{00000007-14D7-4857-A771-D6F5A5B0E17F}"/>
              </c:ext>
            </c:extLst>
          </c:dPt>
          <c:dPt>
            <c:idx val="19"/>
            <c:invertIfNegative val="0"/>
            <c:bubble3D val="0"/>
            <c:extLst>
              <c:ext xmlns:c16="http://schemas.microsoft.com/office/drawing/2014/chart" uri="{C3380CC4-5D6E-409C-BE32-E72D297353CC}">
                <c16:uniqueId val="{00000008-14D7-4857-A771-D6F5A5B0E17F}"/>
              </c:ext>
            </c:extLst>
          </c:dPt>
          <c:dPt>
            <c:idx val="20"/>
            <c:invertIfNegative val="0"/>
            <c:bubble3D val="0"/>
            <c:spPr>
              <a:solidFill>
                <a:srgbClr val="C0C0C0"/>
              </a:solidFill>
              <a:ln w="0">
                <a:noFill/>
              </a:ln>
              <a:effectLst/>
            </c:spPr>
            <c:extLst>
              <c:ext xmlns:c16="http://schemas.microsoft.com/office/drawing/2014/chart" uri="{C3380CC4-5D6E-409C-BE32-E72D297353CC}">
                <c16:uniqueId val="{0000000A-14D7-4857-A771-D6F5A5B0E17F}"/>
              </c:ext>
            </c:extLst>
          </c:dPt>
          <c:dPt>
            <c:idx val="23"/>
            <c:invertIfNegative val="0"/>
            <c:bubble3D val="0"/>
            <c:extLst>
              <c:ext xmlns:c16="http://schemas.microsoft.com/office/drawing/2014/chart" uri="{C3380CC4-5D6E-409C-BE32-E72D297353CC}">
                <c16:uniqueId val="{0000000B-14D7-4857-A771-D6F5A5B0E17F}"/>
              </c:ext>
            </c:extLst>
          </c:dPt>
          <c:dLbls>
            <c:dLbl>
              <c:idx val="0"/>
              <c:layout>
                <c:manualLayout>
                  <c:x val="-1.6002010668448047E-2"/>
                  <c:y val="-7.439260048497274E-4"/>
                </c:manualLayout>
              </c:layout>
              <c:numFmt formatCode="#,##0.0" sourceLinked="0"/>
              <c:spPr>
                <a:noFill/>
                <a:ln>
                  <a:noFill/>
                </a:ln>
                <a:effectLst/>
              </c:spPr>
              <c:txPr>
                <a:bodyPr wrap="square" lIns="38100" tIns="19050" rIns="38100" bIns="19050" anchor="ctr">
                  <a:noAutofit/>
                </a:bodyPr>
                <a:lstStyle/>
                <a:p>
                  <a:pPr>
                    <a:defRPr sz="70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9.451894426678395E-2"/>
                      <c:h val="2.6684792120613289E-2"/>
                    </c:manualLayout>
                  </c15:layout>
                </c:ext>
                <c:ext xmlns:c16="http://schemas.microsoft.com/office/drawing/2014/chart" uri="{C3380CC4-5D6E-409C-BE32-E72D297353CC}">
                  <c16:uniqueId val="{0000000C-14D7-4857-A771-D6F5A5B0E17F}"/>
                </c:ext>
              </c:extLst>
            </c:dLbl>
            <c:dLbl>
              <c:idx val="1"/>
              <c:layout>
                <c:manualLayout>
                  <c:x val="-7.781746031746032E-3"/>
                  <c:y val="-7.0199999999989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D7-4857-A771-D6F5A5B0E17F}"/>
                </c:ext>
              </c:extLst>
            </c:dLbl>
            <c:dLbl>
              <c:idx val="2"/>
              <c:layout>
                <c:manualLayout>
                  <c:x val="-7.7853174603174603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D7-4857-A771-D6F5A5B0E17F}"/>
                </c:ext>
              </c:extLst>
            </c:dLbl>
            <c:dLbl>
              <c:idx val="3"/>
              <c:layout>
                <c:manualLayout>
                  <c:x val="-1.2821825396825397E-2"/>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D7-4857-A771-D6F5A5B0E17F}"/>
                </c:ext>
              </c:extLst>
            </c:dLbl>
            <c:dLbl>
              <c:idx val="4"/>
              <c:layout>
                <c:manualLayout>
                  <c:x val="-9.9796287538816073E-2"/>
                  <c:y val="-3.0540402136900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D7-4857-A771-D6F5A5B0E17F}"/>
                </c:ext>
              </c:extLst>
            </c:dLbl>
            <c:dLbl>
              <c:idx val="5"/>
              <c:layout>
                <c:manualLayout>
                  <c:x val="-9.9797610347005586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D7-4857-A771-D6F5A5B0E17F}"/>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D7-4857-A771-D6F5A5B0E17F}"/>
                </c:ext>
              </c:extLst>
            </c:dLbl>
            <c:dLbl>
              <c:idx val="7"/>
              <c:layout>
                <c:manualLayout>
                  <c:x val="-1.4297076263199222E-2"/>
                  <c:y val="-2.1131032030381127E-3"/>
                </c:manualLayout>
              </c:layout>
              <c:showLegendKey val="0"/>
              <c:showVal val="1"/>
              <c:showCatName val="0"/>
              <c:showSerName val="0"/>
              <c:showPercent val="0"/>
              <c:showBubbleSize val="0"/>
              <c:extLst>
                <c:ext xmlns:c15="http://schemas.microsoft.com/office/drawing/2012/chart" uri="{CE6537A1-D6FC-4f65-9D91-7224C49458BB}">
                  <c15:layout>
                    <c:manualLayout>
                      <c:w val="9.4540079365079382E-2"/>
                      <c:h val="3.0646444444444445E-2"/>
                    </c:manualLayout>
                  </c15:layout>
                </c:ext>
                <c:ext xmlns:c16="http://schemas.microsoft.com/office/drawing/2014/chart" uri="{C3380CC4-5D6E-409C-BE32-E72D297353CC}">
                  <c16:uniqueId val="{00000013-14D7-4857-A771-D6F5A5B0E17F}"/>
                </c:ext>
              </c:extLst>
            </c:dLbl>
            <c:dLbl>
              <c:idx val="8"/>
              <c:layout>
                <c:manualLayout>
                  <c:x val="-1.9286543402990978E-3"/>
                  <c:y val="-7.020016743874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4D7-4857-A771-D6F5A5B0E17F}"/>
                </c:ext>
              </c:extLst>
            </c:dLbl>
            <c:dLbl>
              <c:idx val="9"/>
              <c:layout>
                <c:manualLayout>
                  <c:x val="-1.0761507936507844E-2"/>
                  <c:y val="-7.0200000000000004E-4"/>
                </c:manualLayout>
              </c:layout>
              <c:showLegendKey val="0"/>
              <c:showVal val="1"/>
              <c:showCatName val="0"/>
              <c:showSerName val="0"/>
              <c:showPercent val="0"/>
              <c:showBubbleSize val="0"/>
              <c:extLst>
                <c:ext xmlns:c15="http://schemas.microsoft.com/office/drawing/2012/chart" uri="{CE6537A1-D6FC-4f65-9D91-7224C49458BB}">
                  <c15:layout>
                    <c:manualLayout>
                      <c:w val="9.7442063492063496E-2"/>
                      <c:h val="3.3570444444444444E-2"/>
                    </c:manualLayout>
                  </c15:layout>
                </c:ext>
                <c:ext xmlns:c16="http://schemas.microsoft.com/office/drawing/2014/chart" uri="{C3380CC4-5D6E-409C-BE32-E72D297353CC}">
                  <c16:uniqueId val="{00000015-14D7-4857-A771-D6F5A5B0E17F}"/>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0-14D7-4857-A771-D6F5A5B0E17F}"/>
                </c:ext>
              </c:extLst>
            </c:dLbl>
            <c:dLbl>
              <c:idx val="11"/>
              <c:layout>
                <c:manualLayout>
                  <c:x val="-3.251984126984127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D7-4857-A771-D6F5A5B0E17F}"/>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4D7-4857-A771-D6F5A5B0E17F}"/>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D7-4857-A771-D6F5A5B0E17F}"/>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D7-4857-A771-D6F5A5B0E17F}"/>
                </c:ext>
              </c:extLst>
            </c:dLbl>
            <c:dLbl>
              <c:idx val="15"/>
              <c:layout>
                <c:manualLayout>
                  <c:x val="-3.6634920634920636E-3"/>
                  <c:y val="-3.52422222222232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D7-4857-A771-D6F5A5B0E17F}"/>
                </c:ext>
              </c:extLst>
            </c:dLbl>
            <c:dLbl>
              <c:idx val="16"/>
              <c:layout>
                <c:manualLayout>
                  <c:x val="-3.6642857142857141E-3"/>
                  <c:y val="-1.0348028606838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D7-4857-A771-D6F5A5B0E17F}"/>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7-4857-A771-D6F5A5B0E17F}"/>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7-4857-A771-D6F5A5B0E17F}"/>
                </c:ext>
              </c:extLst>
            </c:dLbl>
            <c:dLbl>
              <c:idx val="19"/>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D7-4857-A771-D6F5A5B0E17F}"/>
                </c:ext>
              </c:extLst>
            </c:dLbl>
            <c:dLbl>
              <c:idx val="20"/>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D7-4857-A771-D6F5A5B0E17F}"/>
                </c:ext>
              </c:extLst>
            </c:dLbl>
            <c:dLbl>
              <c:idx val="21"/>
              <c:layout>
                <c:manualLayout>
                  <c:x val="-3.665079365079365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4D7-4857-A771-D6F5A5B0E17F}"/>
                </c:ext>
              </c:extLst>
            </c:dLbl>
            <c:dLbl>
              <c:idx val="22"/>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4D7-4857-A771-D6F5A5B0E17F}"/>
                </c:ext>
              </c:extLst>
            </c:dLbl>
            <c:dLbl>
              <c:idx val="23"/>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D7-4857-A771-D6F5A5B0E17F}"/>
                </c:ext>
              </c:extLst>
            </c:dLbl>
            <c:dLbl>
              <c:idx val="24"/>
              <c:layout>
                <c:manualLayout>
                  <c:x val="-3.6650793650793651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4D7-4857-A771-D6F5A5B0E17F}"/>
                </c:ext>
              </c:extLst>
            </c:dLbl>
            <c:dLbl>
              <c:idx val="25"/>
              <c:layout>
                <c:manualLayout>
                  <c:x val="-3.6650793650793651E-3"/>
                  <c:y val="-2.82222222222222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4D7-4857-A771-D6F5A5B0E17F}"/>
                </c:ext>
              </c:extLst>
            </c:dLbl>
            <c:dLbl>
              <c:idx val="26"/>
              <c:layout>
                <c:manualLayout>
                  <c:x val="-3.6650793650794575E-3"/>
                  <c:y val="-2.82222222222224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4D7-4857-A771-D6F5A5B0E17F}"/>
                </c:ext>
              </c:extLst>
            </c:dLbl>
            <c:dLbl>
              <c:idx val="27"/>
              <c:layout>
                <c:manualLayout>
                  <c:x val="-2.0387698412698413E-2"/>
                  <c:y val="-3.5077777777780362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14D7-4857-A771-D6F5A5B0E17F}"/>
                </c:ext>
              </c:extLst>
            </c:dLbl>
            <c:dLbl>
              <c:idx val="28"/>
              <c:layout>
                <c:manualLayout>
                  <c:x val="-8.7047392910410276E-3"/>
                  <c:y val="-2.150059217229068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4D7-4857-A771-D6F5A5B0E17F}"/>
                </c:ext>
              </c:extLst>
            </c:dLbl>
            <c:dLbl>
              <c:idx val="29"/>
              <c:layout>
                <c:manualLayout>
                  <c:x val="-8.7047392910409513E-3"/>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4D7-4857-A771-D6F5A5B0E17F}"/>
                </c:ext>
              </c:extLst>
            </c:dLbl>
            <c:dLbl>
              <c:idx val="30"/>
              <c:layout>
                <c:manualLayout>
                  <c:x val="-4.5048232893609846E-3"/>
                  <c:y val="-1.0780384304097841E-17"/>
                </c:manualLayout>
              </c:layout>
              <c:numFmt formatCode="#,##0.0" sourceLinked="0"/>
              <c:spPr>
                <a:noFill/>
                <a:ln>
                  <a:noFill/>
                </a:ln>
                <a:effectLst/>
              </c:spPr>
              <c:txPr>
                <a:bodyPr wrap="square" lIns="38100" tIns="19050" rIns="38100" bIns="19050" anchor="ctr">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4D7-4857-A771-D6F5A5B0E17F}"/>
                </c:ext>
              </c:extLst>
            </c:dLbl>
            <c:dLbl>
              <c:idx val="31"/>
              <c:layout>
                <c:manualLayout>
                  <c:x val="-1.9204363944217179E-2"/>
                  <c:y val="2.3521110196401268E-3"/>
                </c:manualLayout>
              </c:layout>
              <c:numFmt formatCode="#,##0.0" sourceLinked="0"/>
              <c:spPr>
                <a:noFill/>
                <a:ln>
                  <a:noFill/>
                </a:ln>
                <a:effectLst/>
              </c:spPr>
              <c:txPr>
                <a:bodyPr wrap="square" lIns="38100" tIns="19050" rIns="38100" bIns="19050" anchor="ctr">
                  <a:no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8.1583202981609648E-2"/>
                      <c:h val="3.2047605245392782E-2"/>
                    </c:manualLayout>
                  </c15:layout>
                </c:ext>
                <c:ext xmlns:c16="http://schemas.microsoft.com/office/drawing/2014/chart" uri="{C3380CC4-5D6E-409C-BE32-E72D297353CC}">
                  <c16:uniqueId val="{00000020-14D7-4857-A771-D6F5A5B0E17F}"/>
                </c:ext>
              </c:extLst>
            </c:dLbl>
            <c:dLbl>
              <c:idx val="32"/>
              <c:layout>
                <c:manualLayout>
                  <c:x val="-1.3763488509757518E-2"/>
                  <c:y val="9.2344340224622072E-8"/>
                </c:manualLayout>
              </c:layout>
              <c:numFmt formatCode="#,##0.0" sourceLinked="0"/>
              <c:spPr>
                <a:noFill/>
                <a:ln>
                  <a:noFill/>
                </a:ln>
                <a:effectLst/>
              </c:spPr>
              <c:txPr>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0296110613220806"/>
                      <c:h val="3.3734495616137131E-2"/>
                    </c:manualLayout>
                  </c15:layout>
                </c:ext>
                <c:ext xmlns:c16="http://schemas.microsoft.com/office/drawing/2014/chart" uri="{C3380CC4-5D6E-409C-BE32-E72D297353CC}">
                  <c16:uniqueId val="{00000021-14D7-4857-A771-D6F5A5B0E17F}"/>
                </c:ext>
              </c:extLst>
            </c:dLbl>
            <c:numFmt formatCode="#,##0.0" sourceLinked="0"/>
            <c:spPr>
              <a:noFill/>
              <a:ln>
                <a:noFill/>
              </a:ln>
              <a:effectLst/>
            </c:spPr>
            <c:txPr>
              <a:bodyPr wrap="square" lIns="38100" tIns="19050" rIns="38100" bIns="1905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'Variaciones por EF'!$O$6:$O$38</c:f>
              <c:strCache>
                <c:ptCount val="33"/>
                <c:pt idx="0">
                  <c:v>Chiapas</c:v>
                </c:pt>
                <c:pt idx="1">
                  <c:v>Baja California</c:v>
                </c:pt>
                <c:pt idx="2">
                  <c:v>Oaxaca</c:v>
                </c:pt>
                <c:pt idx="3">
                  <c:v>Sinaloa</c:v>
                </c:pt>
                <c:pt idx="4">
                  <c:v>Querétaro</c:v>
                </c:pt>
                <c:pt idx="5">
                  <c:v>Jalisco</c:v>
                </c:pt>
                <c:pt idx="6">
                  <c:v>Sonora</c:v>
                </c:pt>
                <c:pt idx="7">
                  <c:v>San Luis Potosí</c:v>
                </c:pt>
                <c:pt idx="8">
                  <c:v>Morelos</c:v>
                </c:pt>
                <c:pt idx="9">
                  <c:v>Veracruz </c:v>
                </c:pt>
                <c:pt idx="10">
                  <c:v>Zacatecas</c:v>
                </c:pt>
                <c:pt idx="11">
                  <c:v>Colima</c:v>
                </c:pt>
                <c:pt idx="12">
                  <c:v>Tamaulipas</c:v>
                </c:pt>
                <c:pt idx="13">
                  <c:v>Tabasco</c:v>
                </c:pt>
                <c:pt idx="14">
                  <c:v>Chihuahua</c:v>
                </c:pt>
                <c:pt idx="15">
                  <c:v>Guanajuato</c:v>
                </c:pt>
                <c:pt idx="16">
                  <c:v>Durango</c:v>
                </c:pt>
                <c:pt idx="17">
                  <c:v>Nuevo León</c:v>
                </c:pt>
                <c:pt idx="18">
                  <c:v>Campeche</c:v>
                </c:pt>
                <c:pt idx="19">
                  <c:v>Michoacán </c:v>
                </c:pt>
                <c:pt idx="20">
                  <c:v>Nacional</c:v>
                </c:pt>
                <c:pt idx="21">
                  <c:v>México</c:v>
                </c:pt>
                <c:pt idx="22">
                  <c:v>Tlaxcala</c:v>
                </c:pt>
                <c:pt idx="23">
                  <c:v>Hidalgo</c:v>
                </c:pt>
                <c:pt idx="24">
                  <c:v>Nayarit</c:v>
                </c:pt>
                <c:pt idx="25">
                  <c:v>Aguascalientes</c:v>
                </c:pt>
                <c:pt idx="26">
                  <c:v>Coahuila </c:v>
                </c:pt>
                <c:pt idx="27">
                  <c:v>Puebla</c:v>
                </c:pt>
                <c:pt idx="28">
                  <c:v>Ciudad de México</c:v>
                </c:pt>
                <c:pt idx="29">
                  <c:v>Quintana Roo</c:v>
                </c:pt>
                <c:pt idx="30">
                  <c:v>Yucatán</c:v>
                </c:pt>
                <c:pt idx="31">
                  <c:v>Baja California Sur</c:v>
                </c:pt>
                <c:pt idx="32">
                  <c:v>Guerrero</c:v>
                </c:pt>
              </c:strCache>
            </c:strRef>
          </c:cat>
          <c:val>
            <c:numRef>
              <c:f>'Variaciones por EF'!$P$6:$P$38</c:f>
              <c:numCache>
                <c:formatCode>0.0</c:formatCode>
                <c:ptCount val="33"/>
                <c:pt idx="0">
                  <c:v>-1.8585017064016967</c:v>
                </c:pt>
                <c:pt idx="1">
                  <c:v>-0.63270859807300894</c:v>
                </c:pt>
                <c:pt idx="2">
                  <c:v>-0.35672342851825078</c:v>
                </c:pt>
                <c:pt idx="3">
                  <c:v>-0.12254315288950579</c:v>
                </c:pt>
                <c:pt idx="4">
                  <c:v>-4.7839312870806339E-2</c:v>
                </c:pt>
                <c:pt idx="5">
                  <c:v>-4.3104946442326764E-2</c:v>
                </c:pt>
                <c:pt idx="6">
                  <c:v>5.4820286489842829E-3</c:v>
                </c:pt>
                <c:pt idx="7">
                  <c:v>3.1017833874287248E-2</c:v>
                </c:pt>
                <c:pt idx="8">
                  <c:v>0.35558879027075818</c:v>
                </c:pt>
                <c:pt idx="9">
                  <c:v>0.38905442639909893</c:v>
                </c:pt>
                <c:pt idx="10">
                  <c:v>0.58412850194062571</c:v>
                </c:pt>
                <c:pt idx="11">
                  <c:v>0.63096687288182807</c:v>
                </c:pt>
                <c:pt idx="12">
                  <c:v>0.72781750730838723</c:v>
                </c:pt>
                <c:pt idx="13">
                  <c:v>0.74761376543162328</c:v>
                </c:pt>
                <c:pt idx="14">
                  <c:v>0.77516619949204824</c:v>
                </c:pt>
                <c:pt idx="15">
                  <c:v>0.78308992266941857</c:v>
                </c:pt>
                <c:pt idx="16">
                  <c:v>0.87793834208386556</c:v>
                </c:pt>
                <c:pt idx="17">
                  <c:v>1.0670159175426193</c:v>
                </c:pt>
                <c:pt idx="18">
                  <c:v>1.0969251490718506</c:v>
                </c:pt>
                <c:pt idx="19">
                  <c:v>1.1932059093209944</c:v>
                </c:pt>
                <c:pt idx="20">
                  <c:v>1.2999265896423822</c:v>
                </c:pt>
                <c:pt idx="21">
                  <c:v>1.450310603371463</c:v>
                </c:pt>
                <c:pt idx="22">
                  <c:v>1.5492024577725232</c:v>
                </c:pt>
                <c:pt idx="23">
                  <c:v>1.6988800978602399</c:v>
                </c:pt>
                <c:pt idx="24">
                  <c:v>1.9145081248357769</c:v>
                </c:pt>
                <c:pt idx="25">
                  <c:v>2.0859019605031364</c:v>
                </c:pt>
                <c:pt idx="26">
                  <c:v>2.107568453229149</c:v>
                </c:pt>
                <c:pt idx="27">
                  <c:v>2.1760958676648983</c:v>
                </c:pt>
                <c:pt idx="28">
                  <c:v>2.394109621590772</c:v>
                </c:pt>
                <c:pt idx="29">
                  <c:v>2.5640390038330025</c:v>
                </c:pt>
                <c:pt idx="30">
                  <c:v>2.6671534115114213</c:v>
                </c:pt>
                <c:pt idx="31">
                  <c:v>3.1691800328348165</c:v>
                </c:pt>
                <c:pt idx="32">
                  <c:v>8.7600365943829956</c:v>
                </c:pt>
              </c:numCache>
            </c:numRef>
          </c:val>
          <c:extLst>
            <c:ext xmlns:c16="http://schemas.microsoft.com/office/drawing/2014/chart" uri="{C3380CC4-5D6E-409C-BE32-E72D297353CC}">
              <c16:uniqueId val="{00000022-14D7-4857-A771-D6F5A5B0E17F}"/>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max val="10"/>
          <c:min val="-4"/>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4"/>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548108880342079"/>
          <c:y val="2.2274222222222223E-2"/>
          <c:w val="0.56253873347729899"/>
          <c:h val="0.93805666666666665"/>
        </c:manualLayout>
      </c:layout>
      <c:barChart>
        <c:barDir val="bar"/>
        <c:grouping val="clustered"/>
        <c:varyColors val="0"/>
        <c:ser>
          <c:idx val="0"/>
          <c:order val="0"/>
          <c:spPr>
            <a:solidFill>
              <a:srgbClr val="08989C"/>
            </a:solidFill>
            <a:ln>
              <a:noFill/>
            </a:ln>
          </c:spPr>
          <c:invertIfNegative val="0"/>
          <c:dLbls>
            <c:dLbl>
              <c:idx val="0"/>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8.8597393406462582E-2"/>
                      <c:h val="2.2639161166832275E-2"/>
                    </c:manualLayout>
                  </c15:layout>
                </c:ext>
                <c:ext xmlns:c16="http://schemas.microsoft.com/office/drawing/2014/chart" uri="{C3380CC4-5D6E-409C-BE32-E72D297353CC}">
                  <c16:uniqueId val="{00000000-BBA6-4D1C-AC3B-C481357F3BA6}"/>
                </c:ext>
              </c:extLst>
            </c:dLbl>
            <c:dLbl>
              <c:idx val="3"/>
              <c:layout>
                <c:manualLayout>
                  <c:x val="-9.659806803863922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A6-4D1C-AC3B-C481357F3BA6}"/>
                </c:ext>
              </c:extLst>
            </c:dLbl>
            <c:dLbl>
              <c:idx val="4"/>
              <c:layout>
                <c:manualLayout>
                  <c:x val="-0.10079732263622444"/>
                  <c:y val="-1.7248614886556546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6-4D1C-AC3B-C481357F3BA6}"/>
                </c:ext>
              </c:extLst>
            </c:dLbl>
            <c:dLbl>
              <c:idx val="5"/>
              <c:layout>
                <c:manualLayout>
                  <c:x val="-0.11843630843918555"/>
                  <c:y val="2.3522036224361757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0386327561327562"/>
                      <c:h val="2.7824120324120325E-2"/>
                    </c:manualLayout>
                  </c15:layout>
                </c:ext>
                <c:ext xmlns:c16="http://schemas.microsoft.com/office/drawing/2014/chart" uri="{C3380CC4-5D6E-409C-BE32-E72D297353CC}">
                  <c16:uniqueId val="{00000003-BBA6-4D1C-AC3B-C481357F3BA6}"/>
                </c:ext>
              </c:extLst>
            </c:dLbl>
            <c:dLbl>
              <c:idx val="6"/>
              <c:layout>
                <c:manualLayout>
                  <c:x val="3.9682539682539683E-7"/>
                  <c:y val="2.82222222222211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6-4D1C-AC3B-C481357F3BA6}"/>
                </c:ext>
              </c:extLst>
            </c:dLbl>
            <c:dLbl>
              <c:idx val="15"/>
              <c:layout>
                <c:manualLayout>
                  <c:x val="4.19991600167988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6-4D1C-AC3B-C481357F3BA6}"/>
                </c:ext>
              </c:extLst>
            </c:dLbl>
            <c:dLbl>
              <c:idx val="16"/>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6-4D1C-AC3B-C481357F3BA6}"/>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6-4D1C-AC3B-C481357F3BA6}"/>
                </c:ext>
              </c:extLst>
            </c:dLbl>
            <c:dLbl>
              <c:idx val="28"/>
              <c:layout>
                <c:manualLayout>
                  <c:x val="-8.3965249828861694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A6-4D1C-AC3B-C481357F3BA6}"/>
                </c:ext>
              </c:extLst>
            </c:dLbl>
            <c:dLbl>
              <c:idx val="29"/>
              <c:layout>
                <c:manualLayout>
                  <c:x val="-8.396524982887709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6-4D1C-AC3B-C481357F3BA6}"/>
                </c:ext>
              </c:extLst>
            </c:dLbl>
            <c:dLbl>
              <c:idx val="30"/>
              <c:layout>
                <c:manualLayout>
                  <c:x val="-4.4605918905243944E-2"/>
                  <c:y val="1.1760555098200634E-3"/>
                </c:manualLayout>
              </c:layout>
              <c:numFmt formatCode="#,##0.00" sourceLinked="0"/>
              <c:spPr>
                <a:noFill/>
                <a:ln>
                  <a:noFill/>
                </a:ln>
                <a:effectLst/>
              </c:spPr>
              <c:txPr>
                <a:bodyPr rot="0" lIns="0" tIns="0" rIns="0" bIns="0" anchorCtr="0"/>
                <a:lstStyle/>
                <a:p>
                  <a:pPr algn="r">
                    <a:defRPr sz="700">
                      <a:solidFill>
                        <a:srgbClr val="4D565E"/>
                      </a:solidFill>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09605571668094"/>
                      <c:h val="2.8294413921533947E-2"/>
                    </c:manualLayout>
                  </c15:layout>
                </c:ext>
                <c:ext xmlns:c16="http://schemas.microsoft.com/office/drawing/2014/chart" uri="{C3380CC4-5D6E-409C-BE32-E72D297353CC}">
                  <c16:uniqueId val="{0000000A-BBA6-4D1C-AC3B-C481357F3BA6}"/>
                </c:ext>
              </c:extLst>
            </c:dLbl>
            <c:dLbl>
              <c:idx val="31"/>
              <c:layout>
                <c:manualLayout>
                  <c:x val="-3.619418162817846E-2"/>
                  <c:y val="-2.3521110196401268E-3"/>
                </c:manualLayout>
              </c:layout>
              <c:tx>
                <c:rich>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0.52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749701541402241"/>
                      <c:h val="2.7343383206112525E-2"/>
                    </c:manualLayout>
                  </c15:layout>
                  <c15:showDataLabelsRange val="0"/>
                </c:ext>
                <c:ext xmlns:c16="http://schemas.microsoft.com/office/drawing/2014/chart" uri="{C3380CC4-5D6E-409C-BE32-E72D297353CC}">
                  <c16:uniqueId val="{0000000B-BBA6-4D1C-AC3B-C481357F3BA6}"/>
                </c:ext>
              </c:extLst>
            </c:dLbl>
            <c:numFmt formatCode="#,##0.00" sourceLinked="0"/>
            <c:spPr>
              <a:noFill/>
              <a:ln>
                <a:noFill/>
              </a:ln>
              <a:effectLst/>
            </c:spPr>
            <c:txPr>
              <a:bodyPr rot="0" lIns="0" tIns="0" rIns="0" bIns="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Contribuciones!$J$7:$J$38</c:f>
              <c:strCache>
                <c:ptCount val="32"/>
                <c:pt idx="0">
                  <c:v>Chiapas</c:v>
                </c:pt>
                <c:pt idx="1">
                  <c:v>Baja California</c:v>
                </c:pt>
                <c:pt idx="2">
                  <c:v>Oaxaca</c:v>
                </c:pt>
                <c:pt idx="3">
                  <c:v>Jalisco</c:v>
                </c:pt>
                <c:pt idx="4">
                  <c:v>Sinaloa</c:v>
                </c:pt>
                <c:pt idx="5">
                  <c:v>Querétaro</c:v>
                </c:pt>
                <c:pt idx="6">
                  <c:v>Sonora</c:v>
                </c:pt>
                <c:pt idx="7">
                  <c:v>San Luis Potosí</c:v>
                </c:pt>
                <c:pt idx="8">
                  <c:v>Morelos</c:v>
                </c:pt>
                <c:pt idx="9">
                  <c:v>Zacatecas</c:v>
                </c:pt>
                <c:pt idx="10">
                  <c:v>Colima</c:v>
                </c:pt>
                <c:pt idx="11">
                  <c:v>Campeche</c:v>
                </c:pt>
                <c:pt idx="12">
                  <c:v>Tlaxcala</c:v>
                </c:pt>
                <c:pt idx="13">
                  <c:v>Durango</c:v>
                </c:pt>
                <c:pt idx="14">
                  <c:v>Tabasco</c:v>
                </c:pt>
                <c:pt idx="15">
                  <c:v>Nayarit</c:v>
                </c:pt>
                <c:pt idx="16">
                  <c:v>Veracruz </c:v>
                </c:pt>
                <c:pt idx="17">
                  <c:v>Tamaulipas</c:v>
                </c:pt>
                <c:pt idx="18">
                  <c:v>Aguascalientes</c:v>
                </c:pt>
                <c:pt idx="19">
                  <c:v>Chihuahua</c:v>
                </c:pt>
                <c:pt idx="20">
                  <c:v>Hidalgo</c:v>
                </c:pt>
                <c:pt idx="21">
                  <c:v>Baja California Sur</c:v>
                </c:pt>
                <c:pt idx="22">
                  <c:v>Guanajuato</c:v>
                </c:pt>
                <c:pt idx="23">
                  <c:v>Michoacán</c:v>
                </c:pt>
                <c:pt idx="24">
                  <c:v>Yucatán</c:v>
                </c:pt>
                <c:pt idx="25">
                  <c:v>Quintana Roo</c:v>
                </c:pt>
                <c:pt idx="26">
                  <c:v>Coahuila </c:v>
                </c:pt>
                <c:pt idx="27">
                  <c:v>Puebla</c:v>
                </c:pt>
                <c:pt idx="28">
                  <c:v>Nuevo León</c:v>
                </c:pt>
                <c:pt idx="29">
                  <c:v>Guerrero</c:v>
                </c:pt>
                <c:pt idx="30">
                  <c:v>México</c:v>
                </c:pt>
                <c:pt idx="31">
                  <c:v>Ciudad de México</c:v>
                </c:pt>
              </c:strCache>
            </c:strRef>
          </c:cat>
          <c:val>
            <c:numRef>
              <c:f>Contribuciones!$K$7:$K$38</c:f>
              <c:numCache>
                <c:formatCode>#,##0.00</c:formatCode>
                <c:ptCount val="32"/>
                <c:pt idx="0">
                  <c:v>-3.5377189363130897E-2</c:v>
                </c:pt>
                <c:pt idx="1">
                  <c:v>-1.916677639899814E-2</c:v>
                </c:pt>
                <c:pt idx="2">
                  <c:v>-6.19758443967684E-3</c:v>
                </c:pt>
                <c:pt idx="3">
                  <c:v>-3.1731180434094878E-3</c:v>
                </c:pt>
                <c:pt idx="4">
                  <c:v>-2.8878131080194614E-3</c:v>
                </c:pt>
                <c:pt idx="5">
                  <c:v>-1.0037051878297599E-3</c:v>
                </c:pt>
                <c:pt idx="6">
                  <c:v>1.2776115462122302E-4</c:v>
                </c:pt>
                <c:pt idx="7">
                  <c:v>5.2303329553093512E-4</c:v>
                </c:pt>
                <c:pt idx="8">
                  <c:v>4.0638348446448381E-3</c:v>
                </c:pt>
                <c:pt idx="9">
                  <c:v>4.5231764243875445E-3</c:v>
                </c:pt>
                <c:pt idx="10">
                  <c:v>4.6354203298908771E-3</c:v>
                </c:pt>
                <c:pt idx="11">
                  <c:v>6.9048916367229147E-3</c:v>
                </c:pt>
                <c:pt idx="12">
                  <c:v>8.8201974815731946E-3</c:v>
                </c:pt>
                <c:pt idx="13">
                  <c:v>9.298785567824281E-3</c:v>
                </c:pt>
                <c:pt idx="14">
                  <c:v>1.0778521527526995E-2</c:v>
                </c:pt>
                <c:pt idx="15">
                  <c:v>1.4730998088421463E-2</c:v>
                </c:pt>
                <c:pt idx="16">
                  <c:v>1.7187885744737334E-2</c:v>
                </c:pt>
                <c:pt idx="17">
                  <c:v>1.8991614954500694E-2</c:v>
                </c:pt>
                <c:pt idx="18">
                  <c:v>2.1732295966981788E-2</c:v>
                </c:pt>
                <c:pt idx="19">
                  <c:v>2.1734646398186484E-2</c:v>
                </c:pt>
                <c:pt idx="20">
                  <c:v>2.7531891817262351E-2</c:v>
                </c:pt>
                <c:pt idx="21">
                  <c:v>2.8864365568386008E-2</c:v>
                </c:pt>
                <c:pt idx="22">
                  <c:v>3.1374578370655042E-2</c:v>
                </c:pt>
                <c:pt idx="23">
                  <c:v>3.5048893788027606E-2</c:v>
                </c:pt>
                <c:pt idx="24">
                  <c:v>4.7203652342100146E-2</c:v>
                </c:pt>
                <c:pt idx="25">
                  <c:v>4.8021192107213562E-2</c:v>
                </c:pt>
                <c:pt idx="26">
                  <c:v>5.0177075578197096E-2</c:v>
                </c:pt>
                <c:pt idx="27">
                  <c:v>7.2546753099675218E-2</c:v>
                </c:pt>
                <c:pt idx="28">
                  <c:v>7.7370656356149675E-2</c:v>
                </c:pt>
                <c:pt idx="29">
                  <c:v>0.1382989766958157</c:v>
                </c:pt>
                <c:pt idx="30">
                  <c:v>0.14607113303101618</c:v>
                </c:pt>
                <c:pt idx="31">
                  <c:v>0.52117054401337337</c:v>
                </c:pt>
              </c:numCache>
            </c:numRef>
          </c:val>
          <c:extLst>
            <c:ext xmlns:c16="http://schemas.microsoft.com/office/drawing/2014/chart" uri="{C3380CC4-5D6E-409C-BE32-E72D297353CC}">
              <c16:uniqueId val="{0000000C-BBA6-4D1C-AC3B-C481357F3BA6}"/>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7920"/>
        <c:crosses val="autoZero"/>
        <c:auto val="1"/>
        <c:lblAlgn val="ctr"/>
        <c:lblOffset val="100"/>
        <c:noMultiLvlLbl val="0"/>
      </c:catAx>
      <c:valAx>
        <c:axId val="417157920"/>
        <c:scaling>
          <c:orientation val="minMax"/>
          <c:max val="0.60000000000000009"/>
          <c:min val="-0.2"/>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7528"/>
        <c:crosses val="autoZero"/>
        <c:crossBetween val="between"/>
        <c:majorUnit val="0.2"/>
        <c:minorUnit val="0.1"/>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00317460317458"/>
          <c:y val="1.9088888888888891E-2"/>
          <c:w val="0.55954329004329006"/>
          <c:h val="0.95115832207437667"/>
        </c:manualLayout>
      </c:layout>
      <c:barChart>
        <c:barDir val="bar"/>
        <c:grouping val="clustered"/>
        <c:varyColors val="0"/>
        <c:ser>
          <c:idx val="0"/>
          <c:order val="0"/>
          <c:tx>
            <c:v>Primarias</c:v>
          </c:tx>
          <c:spPr>
            <a:solidFill>
              <a:srgbClr val="08989C"/>
            </a:solidFill>
            <a:ln w="0">
              <a:noFill/>
            </a:ln>
            <a:effectLst/>
          </c:spPr>
          <c:invertIfNegative val="0"/>
          <c:dPt>
            <c:idx val="10"/>
            <c:invertIfNegative val="0"/>
            <c:bubble3D val="0"/>
            <c:extLst>
              <c:ext xmlns:c16="http://schemas.microsoft.com/office/drawing/2014/chart" uri="{C3380CC4-5D6E-409C-BE32-E72D297353CC}">
                <c16:uniqueId val="{00000000-F4A6-4B2D-B04A-9AD101A81760}"/>
              </c:ext>
            </c:extLst>
          </c:dPt>
          <c:dPt>
            <c:idx val="11"/>
            <c:invertIfNegative val="0"/>
            <c:bubble3D val="0"/>
            <c:extLst>
              <c:ext xmlns:c16="http://schemas.microsoft.com/office/drawing/2014/chart" uri="{C3380CC4-5D6E-409C-BE32-E72D297353CC}">
                <c16:uniqueId val="{00000001-F4A6-4B2D-B04A-9AD101A81760}"/>
              </c:ext>
            </c:extLst>
          </c:dPt>
          <c:dPt>
            <c:idx val="13"/>
            <c:invertIfNegative val="0"/>
            <c:bubble3D val="0"/>
            <c:extLst>
              <c:ext xmlns:c16="http://schemas.microsoft.com/office/drawing/2014/chart" uri="{C3380CC4-5D6E-409C-BE32-E72D297353CC}">
                <c16:uniqueId val="{00000002-F4A6-4B2D-B04A-9AD101A81760}"/>
              </c:ext>
            </c:extLst>
          </c:dPt>
          <c:dPt>
            <c:idx val="14"/>
            <c:invertIfNegative val="0"/>
            <c:bubble3D val="0"/>
            <c:extLst>
              <c:ext xmlns:c16="http://schemas.microsoft.com/office/drawing/2014/chart" uri="{C3380CC4-5D6E-409C-BE32-E72D297353CC}">
                <c16:uniqueId val="{00000003-F4A6-4B2D-B04A-9AD101A81760}"/>
              </c:ext>
            </c:extLst>
          </c:dPt>
          <c:dPt>
            <c:idx val="15"/>
            <c:invertIfNegative val="0"/>
            <c:bubble3D val="0"/>
            <c:extLst>
              <c:ext xmlns:c16="http://schemas.microsoft.com/office/drawing/2014/chart" uri="{C3380CC4-5D6E-409C-BE32-E72D297353CC}">
                <c16:uniqueId val="{00000004-F4A6-4B2D-B04A-9AD101A81760}"/>
              </c:ext>
            </c:extLst>
          </c:dPt>
          <c:dPt>
            <c:idx val="16"/>
            <c:invertIfNegative val="0"/>
            <c:bubble3D val="0"/>
            <c:extLst>
              <c:ext xmlns:c16="http://schemas.microsoft.com/office/drawing/2014/chart" uri="{C3380CC4-5D6E-409C-BE32-E72D297353CC}">
                <c16:uniqueId val="{00000005-F4A6-4B2D-B04A-9AD101A81760}"/>
              </c:ext>
            </c:extLst>
          </c:dPt>
          <c:dPt>
            <c:idx val="17"/>
            <c:invertIfNegative val="0"/>
            <c:bubble3D val="0"/>
            <c:spPr>
              <a:solidFill>
                <a:srgbClr val="C0C0C0"/>
              </a:solidFill>
              <a:ln w="0">
                <a:noFill/>
              </a:ln>
              <a:effectLst/>
            </c:spPr>
            <c:extLst>
              <c:ext xmlns:c16="http://schemas.microsoft.com/office/drawing/2014/chart" uri="{C3380CC4-5D6E-409C-BE32-E72D297353CC}">
                <c16:uniqueId val="{00000007-F4A6-4B2D-B04A-9AD101A81760}"/>
              </c:ext>
            </c:extLst>
          </c:dPt>
          <c:dPt>
            <c:idx val="18"/>
            <c:invertIfNegative val="0"/>
            <c:bubble3D val="0"/>
            <c:extLst>
              <c:ext xmlns:c16="http://schemas.microsoft.com/office/drawing/2014/chart" uri="{C3380CC4-5D6E-409C-BE32-E72D297353CC}">
                <c16:uniqueId val="{00000008-F4A6-4B2D-B04A-9AD101A81760}"/>
              </c:ext>
            </c:extLst>
          </c:dPt>
          <c:dPt>
            <c:idx val="19"/>
            <c:invertIfNegative val="0"/>
            <c:bubble3D val="0"/>
            <c:extLst>
              <c:ext xmlns:c16="http://schemas.microsoft.com/office/drawing/2014/chart" uri="{C3380CC4-5D6E-409C-BE32-E72D297353CC}">
                <c16:uniqueId val="{00000009-F4A6-4B2D-B04A-9AD101A81760}"/>
              </c:ext>
            </c:extLst>
          </c:dPt>
          <c:dPt>
            <c:idx val="20"/>
            <c:invertIfNegative val="0"/>
            <c:bubble3D val="0"/>
            <c:extLst>
              <c:ext xmlns:c16="http://schemas.microsoft.com/office/drawing/2014/chart" uri="{C3380CC4-5D6E-409C-BE32-E72D297353CC}">
                <c16:uniqueId val="{0000000A-F4A6-4B2D-B04A-9AD101A81760}"/>
              </c:ext>
            </c:extLst>
          </c:dPt>
          <c:dPt>
            <c:idx val="23"/>
            <c:invertIfNegative val="0"/>
            <c:bubble3D val="0"/>
            <c:extLst>
              <c:ext xmlns:c16="http://schemas.microsoft.com/office/drawing/2014/chart" uri="{C3380CC4-5D6E-409C-BE32-E72D297353CC}">
                <c16:uniqueId val="{0000000B-F4A6-4B2D-B04A-9AD101A81760}"/>
              </c:ext>
            </c:extLst>
          </c:dPt>
          <c:dLbls>
            <c:dLbl>
              <c:idx val="0"/>
              <c:layout>
                <c:manualLayout>
                  <c:x val="-1.6673997228716844E-2"/>
                  <c:y val="-2.3455462417054005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C-F4A6-4B2D-B04A-9AD101A81760}"/>
                </c:ext>
              </c:extLst>
            </c:dLbl>
            <c:dLbl>
              <c:idx val="1"/>
              <c:layout>
                <c:manualLayout>
                  <c:x val="-1.2446632957104638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F4A6-4B2D-B04A-9AD101A81760}"/>
                </c:ext>
              </c:extLst>
            </c:dLbl>
            <c:dLbl>
              <c:idx val="2"/>
              <c:layout>
                <c:manualLayout>
                  <c:x val="6.1510580812013506E-4"/>
                  <c:y val="-6.9535288189140419E-4"/>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F4A6-4B2D-B04A-9AD101A81760}"/>
                </c:ext>
              </c:extLst>
            </c:dLbl>
            <c:dLbl>
              <c:idx val="3"/>
              <c:layout>
                <c:manualLayout>
                  <c:x val="3.978345629937795E-3"/>
                  <c:y val="-3.0475479160929774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F4A6-4B2D-B04A-9AD101A81760}"/>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A6-4B2D-B04A-9AD101A81760}"/>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A6-4B2D-B04A-9AD101A81760}"/>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A6-4B2D-B04A-9AD101A81760}"/>
                </c:ext>
              </c:extLst>
            </c:dLbl>
            <c:dLbl>
              <c:idx val="7"/>
              <c:layout>
                <c:manualLayout>
                  <c:x val="-1.8496992264879112E-2"/>
                  <c:y val="2.324307043452877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4A6-4B2D-B04A-9AD101A81760}"/>
                </c:ext>
              </c:extLst>
            </c:dLbl>
            <c:dLbl>
              <c:idx val="8"/>
              <c:layout>
                <c:manualLayout>
                  <c:x val="2.2719230654756986E-3"/>
                  <c:y val="-7.019291940499989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A6-4B2D-B04A-9AD101A81760}"/>
                </c:ext>
              </c:extLst>
            </c:dLbl>
            <c:dLbl>
              <c:idx val="9"/>
              <c:layout>
                <c:manualLayout>
                  <c:x val="-1.0761375323674629E-2"/>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A6-4B2D-B04A-9AD101A81760}"/>
                </c:ext>
              </c:extLst>
            </c:dLbl>
            <c:dLbl>
              <c:idx val="10"/>
              <c:layout>
                <c:manualLayout>
                  <c:x val="-1.7479587416125694E-2"/>
                  <c:y val="2.12004841274177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A6-4B2D-B04A-9AD101A81760}"/>
                </c:ext>
              </c:extLst>
            </c:dLbl>
            <c:dLbl>
              <c:idx val="11"/>
              <c:layout>
                <c:manualLayout>
                  <c:x val="-3.2521239338992747E-3"/>
                  <c:y val="1.64354456731773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A6-4B2D-B04A-9AD101A81760}"/>
                </c:ext>
              </c:extLst>
            </c:dLbl>
            <c:dLbl>
              <c:idx val="12"/>
              <c:layout>
                <c:manualLayout>
                  <c:x val="-3.6611111111112035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4A6-4B2D-B04A-9AD101A81760}"/>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A6-4B2D-B04A-9AD101A81760}"/>
                </c:ext>
              </c:extLst>
            </c:dLbl>
            <c:dLbl>
              <c:idx val="14"/>
              <c:layout>
                <c:manualLayout>
                  <c:x val="-3.6626984126984126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A6-4B2D-B04A-9AD101A81760}"/>
                </c:ext>
              </c:extLst>
            </c:dLbl>
            <c:dLbl>
              <c:idx val="15"/>
              <c:layout>
                <c:manualLayout>
                  <c:x val="5.3639872084448078E-4"/>
                  <c:y val="-3.5242294003325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A6-4B2D-B04A-9AD101A81760}"/>
                </c:ext>
              </c:extLst>
            </c:dLbl>
            <c:dLbl>
              <c:idx val="16"/>
              <c:layout>
                <c:manualLayout>
                  <c:x val="5.3573731674972801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A6-4B2D-B04A-9AD101A81760}"/>
                </c:ext>
              </c:extLst>
            </c:dLbl>
            <c:dLbl>
              <c:idx val="17"/>
              <c:layout>
                <c:manualLayout>
                  <c:x val="-3.6650793650794575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A6-4B2D-B04A-9AD101A81760}"/>
                </c:ext>
              </c:extLst>
            </c:dLbl>
            <c:dLbl>
              <c:idx val="18"/>
              <c:layout>
                <c:manualLayout>
                  <c:x val="-3.6650793650793651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A6-4B2D-B04A-9AD101A81760}"/>
                </c:ext>
              </c:extLst>
            </c:dLbl>
            <c:dLbl>
              <c:idx val="19"/>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4A6-4B2D-B04A-9AD101A81760}"/>
                </c:ext>
              </c:extLst>
            </c:dLbl>
            <c:dLbl>
              <c:idx val="20"/>
              <c:layout>
                <c:manualLayout>
                  <c:x val="5.347452106075988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A6-4B2D-B04A-9AD101A81760}"/>
                </c:ext>
              </c:extLst>
            </c:dLbl>
            <c:dLbl>
              <c:idx val="21"/>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4A6-4B2D-B04A-9AD101A81760}"/>
                </c:ext>
              </c:extLst>
            </c:dLbl>
            <c:dLbl>
              <c:idx val="22"/>
              <c:layout>
                <c:manualLayout>
                  <c:x val="5.3474521060744489E-4"/>
                  <c:y val="-4.30011843445813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4A6-4B2D-B04A-9AD101A81760}"/>
                </c:ext>
              </c:extLst>
            </c:dLbl>
            <c:dLbl>
              <c:idx val="23"/>
              <c:layout>
                <c:manualLayout>
                  <c:x val="-3.6649140140557718E-3"/>
                  <c:y val="-5.1740143034193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A6-4B2D-B04A-9AD101A81760}"/>
                </c:ext>
              </c:extLst>
            </c:dLbl>
            <c:dLbl>
              <c:idx val="24"/>
              <c:layout>
                <c:manualLayout>
                  <c:x val="-3.6649140140556794E-3"/>
                  <c:y val="-2.82222222222227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4A6-4B2D-B04A-9AD101A81760}"/>
                </c:ext>
              </c:extLst>
            </c:dLbl>
            <c:dLbl>
              <c:idx val="25"/>
              <c:layout>
                <c:manualLayout>
                  <c:x val="-3.6650054400488357E-3"/>
                  <c:y val="-2.822162812383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4A6-4B2D-B04A-9AD101A81760}"/>
                </c:ext>
              </c:extLst>
            </c:dLbl>
            <c:dLbl>
              <c:idx val="26"/>
              <c:layout>
                <c:manualLayout>
                  <c:x val="-3.6650054400486818E-3"/>
                  <c:y val="-4.700517927438516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4A6-4B2D-B04A-9AD101A81760}"/>
                </c:ext>
              </c:extLst>
            </c:dLbl>
            <c:dLbl>
              <c:idx val="27"/>
              <c:layout>
                <c:manualLayout>
                  <c:x val="-1.8287988570937243E-2"/>
                  <c:y val="1.994822437532285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C-F4A6-4B2D-B04A-9AD101A81760}"/>
                </c:ext>
              </c:extLst>
            </c:dLbl>
            <c:dLbl>
              <c:idx val="28"/>
              <c:layout>
                <c:manualLayout>
                  <c:x val="-1.4992377317807974E-2"/>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D-F4A6-4B2D-B04A-9AD101A81760}"/>
                </c:ext>
              </c:extLst>
            </c:dLbl>
            <c:dLbl>
              <c:idx val="29"/>
              <c:layout>
                <c:manualLayout>
                  <c:x val="-1.0958804445958325E-2"/>
                  <c:y val="9.2344340224622072E-8"/>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E-F4A6-4B2D-B04A-9AD101A81760}"/>
                </c:ext>
              </c:extLst>
            </c:dLbl>
            <c:dLbl>
              <c:idx val="30"/>
              <c:layout>
                <c:manualLayout>
                  <c:x val="-2.8291560153048908E-3"/>
                  <c:y val="0"/>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F4A6-4B2D-B04A-9AD101A81760}"/>
                </c:ext>
              </c:extLst>
            </c:dLbl>
            <c:dLbl>
              <c:idx val="31"/>
              <c:layout>
                <c:manualLayout>
                  <c:x val="-2.8291560153048908E-3"/>
                  <c:y val="-1.1727731208526948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F4A6-4B2D-B04A-9AD101A81760}"/>
                </c:ext>
              </c:extLst>
            </c:dLbl>
            <c:dLbl>
              <c:idx val="32"/>
              <c:layout>
                <c:manualLayout>
                  <c:x val="-5.7022954029108397E-3"/>
                  <c:y val="2.3456385860456249E-3"/>
                </c:manualLayout>
              </c:layout>
              <c:numFmt formatCode="#,##0.0" sourceLinked="0"/>
              <c:spPr>
                <a:noFill/>
                <a:ln>
                  <a:noFill/>
                </a:ln>
                <a:effectLst/>
              </c:spPr>
              <c:txPr>
                <a:bodyPr vertOverflow="overflow" horzOverflow="overflow" wrap="none" lIns="36000" tIns="0" rIns="36000" bIns="0" anchor="ctr" anchorCtr="0">
                  <a:sp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1-F4A6-4B2D-B04A-9AD101A81760}"/>
                </c:ext>
              </c:extLst>
            </c:dLbl>
            <c:numFmt formatCode="#,##0.0" sourceLinked="0"/>
            <c:spPr>
              <a:noFill/>
              <a:ln>
                <a:noFill/>
              </a:ln>
              <a:effectLst/>
            </c:spPr>
            <c:txPr>
              <a:bodyPr vertOverflow="overflow" horzOverflow="overflow" wrap="none" lIns="36000" tIns="0" rIns="36000" bIns="0" anchor="ctr">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'Variaciones por EF'!$F$6:$F$38</c:f>
              <c:strCache>
                <c:ptCount val="33"/>
                <c:pt idx="0">
                  <c:v>Quintana Roo</c:v>
                </c:pt>
                <c:pt idx="1">
                  <c:v>Tabasco</c:v>
                </c:pt>
                <c:pt idx="2">
                  <c:v>Chihuahua</c:v>
                </c:pt>
                <c:pt idx="3">
                  <c:v>Campeche</c:v>
                </c:pt>
                <c:pt idx="4">
                  <c:v>Sonora</c:v>
                </c:pt>
                <c:pt idx="5">
                  <c:v>Puebla</c:v>
                </c:pt>
                <c:pt idx="6">
                  <c:v>Aguascalientes</c:v>
                </c:pt>
                <c:pt idx="7">
                  <c:v>Morelos</c:v>
                </c:pt>
                <c:pt idx="8">
                  <c:v>Guerrero</c:v>
                </c:pt>
                <c:pt idx="9">
                  <c:v>Coahuila</c:v>
                </c:pt>
                <c:pt idx="10">
                  <c:v>Tlaxcala</c:v>
                </c:pt>
                <c:pt idx="11">
                  <c:v>Jalisco</c:v>
                </c:pt>
                <c:pt idx="12">
                  <c:v>Chiapas</c:v>
                </c:pt>
                <c:pt idx="13">
                  <c:v>Querétaro</c:v>
                </c:pt>
                <c:pt idx="14">
                  <c:v>Hidalgo</c:v>
                </c:pt>
                <c:pt idx="15">
                  <c:v>México</c:v>
                </c:pt>
                <c:pt idx="16">
                  <c:v>Durango</c:v>
                </c:pt>
                <c:pt idx="17">
                  <c:v>Nacional</c:v>
                </c:pt>
                <c:pt idx="18">
                  <c:v>Yucatán</c:v>
                </c:pt>
                <c:pt idx="19">
                  <c:v>Michoacán</c:v>
                </c:pt>
                <c:pt idx="20">
                  <c:v>Baja California Sur</c:v>
                </c:pt>
                <c:pt idx="21">
                  <c:v>Oaxaca</c:v>
                </c:pt>
                <c:pt idx="22">
                  <c:v>Guanajuato</c:v>
                </c:pt>
                <c:pt idx="23">
                  <c:v>Ciudad de México</c:v>
                </c:pt>
                <c:pt idx="24">
                  <c:v>Veracruz</c:v>
                </c:pt>
                <c:pt idx="25">
                  <c:v>San Luis Potosí</c:v>
                </c:pt>
                <c:pt idx="26">
                  <c:v>Nuevo León</c:v>
                </c:pt>
                <c:pt idx="27">
                  <c:v>Sinaloa</c:v>
                </c:pt>
                <c:pt idx="28">
                  <c:v>Colima</c:v>
                </c:pt>
                <c:pt idx="29">
                  <c:v>Nayarit</c:v>
                </c:pt>
                <c:pt idx="30">
                  <c:v>Zacatecas</c:v>
                </c:pt>
                <c:pt idx="31">
                  <c:v>Baja California</c:v>
                </c:pt>
                <c:pt idx="32">
                  <c:v>Tamaulipas</c:v>
                </c:pt>
              </c:strCache>
            </c:strRef>
          </c:cat>
          <c:val>
            <c:numRef>
              <c:f>'Variaciones por EF'!$G$6:$G$38</c:f>
              <c:numCache>
                <c:formatCode>0.0</c:formatCode>
                <c:ptCount val="33"/>
                <c:pt idx="0">
                  <c:v>-16.853078722449439</c:v>
                </c:pt>
                <c:pt idx="1">
                  <c:v>-5.0598108116247431</c:v>
                </c:pt>
                <c:pt idx="2">
                  <c:v>-4.9534219312565284</c:v>
                </c:pt>
                <c:pt idx="3">
                  <c:v>-2.8782340804109339</c:v>
                </c:pt>
                <c:pt idx="4">
                  <c:v>-2.7604030429790924</c:v>
                </c:pt>
                <c:pt idx="5">
                  <c:v>-1.5214365871122482</c:v>
                </c:pt>
                <c:pt idx="6">
                  <c:v>-0.62353787946112504</c:v>
                </c:pt>
                <c:pt idx="7">
                  <c:v>3.7966393543783283E-2</c:v>
                </c:pt>
                <c:pt idx="8">
                  <c:v>0.4677847883830708</c:v>
                </c:pt>
                <c:pt idx="9">
                  <c:v>0.76938939302604581</c:v>
                </c:pt>
                <c:pt idx="10">
                  <c:v>1.32677131162136</c:v>
                </c:pt>
                <c:pt idx="11">
                  <c:v>1.6815284385372848</c:v>
                </c:pt>
                <c:pt idx="12">
                  <c:v>3.6425864497256839</c:v>
                </c:pt>
                <c:pt idx="13">
                  <c:v>4.9715698492890539</c:v>
                </c:pt>
                <c:pt idx="14">
                  <c:v>5.9551052856684947</c:v>
                </c:pt>
                <c:pt idx="15">
                  <c:v>6.0619471996713941</c:v>
                </c:pt>
                <c:pt idx="16">
                  <c:v>6.7912444261361458</c:v>
                </c:pt>
                <c:pt idx="17">
                  <c:v>7.1690712240657177</c:v>
                </c:pt>
                <c:pt idx="18">
                  <c:v>7.7587706705568422</c:v>
                </c:pt>
                <c:pt idx="19">
                  <c:v>8.1477679786025448</c:v>
                </c:pt>
                <c:pt idx="20">
                  <c:v>8.8333790626662392</c:v>
                </c:pt>
                <c:pt idx="21">
                  <c:v>8.9168622022962865</c:v>
                </c:pt>
                <c:pt idx="22">
                  <c:v>9.5446920574094491</c:v>
                </c:pt>
                <c:pt idx="23">
                  <c:v>10.113739357910717</c:v>
                </c:pt>
                <c:pt idx="24">
                  <c:v>11.256093860651831</c:v>
                </c:pt>
                <c:pt idx="25">
                  <c:v>12.112657854199142</c:v>
                </c:pt>
                <c:pt idx="26">
                  <c:v>15.149015556823088</c:v>
                </c:pt>
                <c:pt idx="27">
                  <c:v>16.678349672624847</c:v>
                </c:pt>
                <c:pt idx="28">
                  <c:v>17.240653730415346</c:v>
                </c:pt>
                <c:pt idx="29">
                  <c:v>18.736158230367252</c:v>
                </c:pt>
                <c:pt idx="30">
                  <c:v>23.030543821773094</c:v>
                </c:pt>
                <c:pt idx="31">
                  <c:v>23.049564049792863</c:v>
                </c:pt>
                <c:pt idx="32">
                  <c:v>24.335385453181033</c:v>
                </c:pt>
              </c:numCache>
            </c:numRef>
          </c:val>
          <c:extLst>
            <c:ext xmlns:c16="http://schemas.microsoft.com/office/drawing/2014/chart" uri="{C3380CC4-5D6E-409C-BE32-E72D297353CC}">
              <c16:uniqueId val="{00000022-F4A6-4B2D-B04A-9AD101A81760}"/>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crossAx val="499244848"/>
        <c:crosses val="autoZero"/>
        <c:auto val="1"/>
        <c:lblAlgn val="ctr"/>
        <c:lblOffset val="100"/>
        <c:noMultiLvlLbl val="0"/>
      </c:catAx>
      <c:valAx>
        <c:axId val="499244848"/>
        <c:scaling>
          <c:orientation val="minMax"/>
          <c:max val="28"/>
          <c:min val="-24"/>
        </c:scaling>
        <c:delete val="0"/>
        <c:axPos val="b"/>
        <c:numFmt formatCode="#,##0.0" sourceLinked="0"/>
        <c:majorTickMark val="out"/>
        <c:minorTickMark val="none"/>
        <c:tickLblPos val="nextTo"/>
        <c:spPr>
          <a:ln w="9525">
            <a:solidFill>
              <a:srgbClr val="D8551E">
                <a:alpha val="94902"/>
              </a:srgbClr>
            </a:solidFill>
          </a:ln>
        </c:spPr>
        <c:txPr>
          <a:bodyPr/>
          <a:lstStyle/>
          <a:p>
            <a:pPr>
              <a:defRPr sz="700">
                <a:solidFill>
                  <a:srgbClr val="4D565E"/>
                </a:solidFill>
              </a:defRPr>
            </a:pPr>
            <a:endParaRPr lang="es-MX"/>
          </a:p>
        </c:txPr>
        <c:crossAx val="499233088"/>
        <c:crosses val="autoZero"/>
        <c:crossBetween val="between"/>
        <c:majorUnit val="12"/>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6814247967009"/>
          <c:y val="2.2274222222222223E-2"/>
          <c:w val="0.57933839748401883"/>
          <c:h val="0.93805666666666665"/>
        </c:manualLayout>
      </c:layout>
      <c:barChart>
        <c:barDir val="bar"/>
        <c:grouping val="clustered"/>
        <c:varyColors val="0"/>
        <c:ser>
          <c:idx val="0"/>
          <c:order val="0"/>
          <c:tx>
            <c:strRef>
              <c:f>Contribuciones!$D$5</c:f>
              <c:strCache>
                <c:ptCount val="1"/>
                <c:pt idx="0">
                  <c:v>Primarias</c:v>
                </c:pt>
              </c:strCache>
            </c:strRef>
          </c:tx>
          <c:spPr>
            <a:solidFill>
              <a:srgbClr val="08989C"/>
            </a:solidFill>
            <a:ln>
              <a:noFill/>
            </a:ln>
          </c:spPr>
          <c:invertIfNegative val="0"/>
          <c:dLbls>
            <c:dLbl>
              <c:idx val="0"/>
              <c:layout>
                <c:manualLayout>
                  <c:x val="-1.7723149474018356E-2"/>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379688941654235"/>
                      <c:h val="2.9695494225752652E-2"/>
                    </c:manualLayout>
                  </c15:layout>
                </c:ext>
                <c:ext xmlns:c16="http://schemas.microsoft.com/office/drawing/2014/chart" uri="{C3380CC4-5D6E-409C-BE32-E72D297353CC}">
                  <c16:uniqueId val="{00000000-B090-416F-B768-02F4782B7458}"/>
                </c:ext>
              </c:extLst>
            </c:dLbl>
            <c:dLbl>
              <c:idx val="1"/>
              <c:layout>
                <c:manualLayout>
                  <c:x val="-2.4167209569194444E-2"/>
                  <c:y val="-1.7248614886556546E-16"/>
                </c:manualLayout>
              </c:layout>
              <c:numFmt formatCode="#,##0.00" sourceLinked="0"/>
              <c:spPr>
                <a:noFill/>
                <a:ln>
                  <a:noFill/>
                </a:ln>
                <a:effectLst/>
              </c:spPr>
              <c:txPr>
                <a:bodyPr rot="0" lIns="0" tIns="0" rIns="0" bIns="0" anchor="t"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219672141990229"/>
                      <c:h val="2.2639161166832275E-2"/>
                    </c:manualLayout>
                  </c15:layout>
                </c:ext>
                <c:ext xmlns:c16="http://schemas.microsoft.com/office/drawing/2014/chart" uri="{C3380CC4-5D6E-409C-BE32-E72D297353CC}">
                  <c16:uniqueId val="{00000001-B090-416F-B768-02F4782B7458}"/>
                </c:ext>
              </c:extLst>
            </c:dLbl>
            <c:dLbl>
              <c:idx val="2"/>
              <c:layout>
                <c:manualLayout>
                  <c:x val="-1.4748649908891548E-2"/>
                  <c:y val="9.2602796048823892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133977320453591"/>
                      <c:h val="2.9036903140253412E-2"/>
                    </c:manualLayout>
                  </c15:layout>
                </c:ext>
                <c:ext xmlns:c16="http://schemas.microsoft.com/office/drawing/2014/chart" uri="{C3380CC4-5D6E-409C-BE32-E72D297353CC}">
                  <c16:uniqueId val="{00000002-B090-416F-B768-02F4782B7458}"/>
                </c:ext>
              </c:extLst>
            </c:dLbl>
            <c:dLbl>
              <c:idx val="3"/>
              <c:layout>
                <c:manualLayout>
                  <c:x val="3.3070204737637531E-7"/>
                  <c:y val="0"/>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090-416F-B768-02F4782B7458}"/>
                </c:ext>
              </c:extLst>
            </c:dLbl>
            <c:dLbl>
              <c:idx val="4"/>
              <c:layout>
                <c:manualLayout>
                  <c:x val="3.9682539682539683E-7"/>
                  <c:y val="-1.034802860683865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90-416F-B768-02F4782B7458}"/>
                </c:ext>
              </c:extLst>
            </c:dLbl>
            <c:dLbl>
              <c:idx val="5"/>
              <c:layout>
                <c:manualLayout>
                  <c:x val="-7.1382108405313813E-3"/>
                  <c:y val="-1.175934607485167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646300932249072"/>
                      <c:h val="3.0176287942838147E-2"/>
                    </c:manualLayout>
                  </c15:layout>
                </c:ext>
                <c:ext xmlns:c16="http://schemas.microsoft.com/office/drawing/2014/chart" uri="{C3380CC4-5D6E-409C-BE32-E72D297353CC}">
                  <c16:uniqueId val="{00000005-B090-416F-B768-02F4782B7458}"/>
                </c:ext>
              </c:extLst>
            </c:dLbl>
            <c:dLbl>
              <c:idx val="6"/>
              <c:layout>
                <c:manualLayout>
                  <c:x val="4.2009081078220956E-3"/>
                  <c:y val="4.7005179274374389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90-416F-B768-02F4782B7458}"/>
                </c:ext>
              </c:extLst>
            </c:dLbl>
            <c:dLbl>
              <c:idx val="7"/>
              <c:layout>
                <c:manualLayout>
                  <c:x val="1.6535102368818765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90-416F-B768-02F4782B7458}"/>
                </c:ext>
              </c:extLst>
            </c:dLbl>
            <c:dLbl>
              <c:idx val="12"/>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90-416F-B768-02F4782B7458}"/>
                </c:ext>
              </c:extLst>
            </c:dLbl>
            <c:dLbl>
              <c:idx val="24"/>
              <c:layout>
                <c:manualLayout>
                  <c:x val="0"/>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90-416F-B768-02F4782B7458}"/>
                </c:ext>
              </c:extLst>
            </c:dLbl>
            <c:dLbl>
              <c:idx val="26"/>
              <c:layout>
                <c:manualLayout>
                  <c:x val="4.19991600167981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90-416F-B768-02F4782B7458}"/>
                </c:ext>
              </c:extLst>
            </c:dLbl>
            <c:dLbl>
              <c:idx val="27"/>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90-416F-B768-02F4782B7458}"/>
                </c:ext>
              </c:extLst>
            </c:dLbl>
            <c:dLbl>
              <c:idx val="28"/>
              <c:layout>
                <c:manualLayout>
                  <c:x val="-1.0344690743980318E-2"/>
                  <c:y val="1.1760555098200419E-3"/>
                </c:manualLayout>
              </c:layout>
              <c:numFmt formatCode="#,##0.00" sourceLinked="0"/>
              <c:spPr>
                <a:noFill/>
                <a:ln>
                  <a:noFill/>
                </a:ln>
                <a:effectLst/>
              </c:spPr>
              <c:txPr>
                <a:bodyPr rot="0" lIns="0" tIns="0" rIns="0" bIns="0"/>
                <a:lstStyle/>
                <a:p>
                  <a:pPr algn="r">
                    <a:defRPr sz="700"/>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0718913180791502"/>
                      <c:h val="3.2047605245392782E-2"/>
                    </c:manualLayout>
                  </c15:layout>
                </c:ext>
                <c:ext xmlns:c16="http://schemas.microsoft.com/office/drawing/2014/chart" uri="{C3380CC4-5D6E-409C-BE32-E72D297353CC}">
                  <c16:uniqueId val="{0000000C-B090-416F-B768-02F4782B7458}"/>
                </c:ext>
              </c:extLst>
            </c:dLbl>
            <c:dLbl>
              <c:idx val="29"/>
              <c:layout>
                <c:manualLayout>
                  <c:x val="-2.2073534907254534E-2"/>
                  <c:y val="2.3521110196401268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9.4897267408982508E-2"/>
                      <c:h val="2.7343383206112525E-2"/>
                    </c:manualLayout>
                  </c15:layout>
                </c:ext>
                <c:ext xmlns:c16="http://schemas.microsoft.com/office/drawing/2014/chart" uri="{C3380CC4-5D6E-409C-BE32-E72D297353CC}">
                  <c16:uniqueId val="{0000000D-B090-416F-B768-02F4782B7458}"/>
                </c:ext>
              </c:extLst>
            </c:dLbl>
            <c:dLbl>
              <c:idx val="30"/>
              <c:layout>
                <c:manualLayout>
                  <c:x val="8.0145641181649158E-4"/>
                  <c:y val="-1.1760555098200634E-3"/>
                </c:manualLayout>
              </c:layout>
              <c:numFmt formatCode="#,##0.00" sourceLinked="0"/>
              <c:spPr>
                <a:noFill/>
                <a:ln>
                  <a:noFill/>
                </a:ln>
                <a:effectLst/>
              </c:spPr>
              <c:txPr>
                <a:bodyPr rot="0" lIns="0" tIns="0" rIns="0" bIns="0" anchorCtr="0"/>
                <a:lstStyle/>
                <a:p>
                  <a:pPr algn="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7.8961397150009743E-2"/>
                      <c:h val="2.8294413921533947E-2"/>
                    </c:manualLayout>
                  </c15:layout>
                </c:ext>
                <c:ext xmlns:c16="http://schemas.microsoft.com/office/drawing/2014/chart" uri="{C3380CC4-5D6E-409C-BE32-E72D297353CC}">
                  <c16:uniqueId val="{0000000E-B090-416F-B768-02F4782B7458}"/>
                </c:ext>
              </c:extLst>
            </c:dLbl>
            <c:dLbl>
              <c:idx val="31"/>
              <c:layout>
                <c:manualLayout>
                  <c:x val="-2.2532053295942111E-2"/>
                  <c:y val="0"/>
                </c:manualLayout>
              </c:layout>
              <c:tx>
                <c:rich>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1.62</a:t>
                    </a:r>
                  </a:p>
                </c:rich>
              </c:tx>
              <c:numFmt formatCode="#,##0.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0876062793704756"/>
                      <c:h val="3.4399716265032909E-2"/>
                    </c:manualLayout>
                  </c15:layout>
                  <c15:showDataLabelsRange val="0"/>
                </c:ext>
                <c:ext xmlns:c16="http://schemas.microsoft.com/office/drawing/2014/chart" uri="{C3380CC4-5D6E-409C-BE32-E72D297353CC}">
                  <c16:uniqueId val="{0000000F-B090-416F-B768-02F4782B7458}"/>
                </c:ext>
              </c:extLst>
            </c:dLbl>
            <c:numFmt formatCode="#,##0.00" sourceLinked="0"/>
            <c:spPr>
              <a:noFill/>
              <a:ln>
                <a:noFill/>
              </a:ln>
              <a:effectLst/>
            </c:spPr>
            <c:txPr>
              <a:bodyPr rot="0" lIns="0" tIns="0" rIns="0" bIns="0"/>
              <a:lstStyle/>
              <a:p>
                <a:pPr>
                  <a:defRPr sz="700"/>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Contribuciones!$D$7:$D$38</c:f>
              <c:strCache>
                <c:ptCount val="32"/>
                <c:pt idx="0">
                  <c:v>Sonora</c:v>
                </c:pt>
                <c:pt idx="1">
                  <c:v>Chihuahua</c:v>
                </c:pt>
                <c:pt idx="2">
                  <c:v>Quintana Roo</c:v>
                </c:pt>
                <c:pt idx="3">
                  <c:v>Tabasco</c:v>
                </c:pt>
                <c:pt idx="4">
                  <c:v>Puebla</c:v>
                </c:pt>
                <c:pt idx="5">
                  <c:v>Campeche</c:v>
                </c:pt>
                <c:pt idx="6">
                  <c:v>Aguascalientes</c:v>
                </c:pt>
                <c:pt idx="7">
                  <c:v>Morelos</c:v>
                </c:pt>
                <c:pt idx="8">
                  <c:v>Tlaxcala</c:v>
                </c:pt>
                <c:pt idx="9">
                  <c:v>Ciudad de México</c:v>
                </c:pt>
                <c:pt idx="10">
                  <c:v>Guerrero</c:v>
                </c:pt>
                <c:pt idx="11">
                  <c:v>Coahuila</c:v>
                </c:pt>
                <c:pt idx="12">
                  <c:v>Baja California Sur</c:v>
                </c:pt>
                <c:pt idx="13">
                  <c:v>Hidalgo</c:v>
                </c:pt>
                <c:pt idx="14">
                  <c:v>Querétaro</c:v>
                </c:pt>
                <c:pt idx="15">
                  <c:v>Yucatán</c:v>
                </c:pt>
                <c:pt idx="16">
                  <c:v>Chiapas</c:v>
                </c:pt>
                <c:pt idx="17">
                  <c:v>Nuevo León</c:v>
                </c:pt>
                <c:pt idx="18">
                  <c:v>México</c:v>
                </c:pt>
                <c:pt idx="19">
                  <c:v>Zacatecas</c:v>
                </c:pt>
                <c:pt idx="20">
                  <c:v>Colima</c:v>
                </c:pt>
                <c:pt idx="21">
                  <c:v>Durango</c:v>
                </c:pt>
                <c:pt idx="22">
                  <c:v>Oaxaca</c:v>
                </c:pt>
                <c:pt idx="23">
                  <c:v>Jalisco</c:v>
                </c:pt>
                <c:pt idx="24">
                  <c:v>Nayarit</c:v>
                </c:pt>
                <c:pt idx="25">
                  <c:v>San Luis Potosí</c:v>
                </c:pt>
                <c:pt idx="26">
                  <c:v>Guanajuato</c:v>
                </c:pt>
                <c:pt idx="27">
                  <c:v>Baja California</c:v>
                </c:pt>
                <c:pt idx="28">
                  <c:v>Tamaulipas</c:v>
                </c:pt>
                <c:pt idx="29">
                  <c:v>Michoacán</c:v>
                </c:pt>
                <c:pt idx="30">
                  <c:v>Veracruz</c:v>
                </c:pt>
                <c:pt idx="31">
                  <c:v>Sinaloa</c:v>
                </c:pt>
              </c:strCache>
            </c:strRef>
          </c:cat>
          <c:val>
            <c:numRef>
              <c:f>Contribuciones!$E$7:$E$38</c:f>
              <c:numCache>
                <c:formatCode>0.00</c:formatCode>
                <c:ptCount val="32"/>
                <c:pt idx="0">
                  <c:v>-0.167099651574425</c:v>
                </c:pt>
                <c:pt idx="1">
                  <c:v>-0.14053488766267347</c:v>
                </c:pt>
                <c:pt idx="2">
                  <c:v>-8.1684586919015839E-2</c:v>
                </c:pt>
                <c:pt idx="3">
                  <c:v>-8.0427474442272731E-2</c:v>
                </c:pt>
                <c:pt idx="4">
                  <c:v>-5.8054550747197377E-2</c:v>
                </c:pt>
                <c:pt idx="5">
                  <c:v>-2.6094861017419226E-2</c:v>
                </c:pt>
                <c:pt idx="6">
                  <c:v>-8.4846198098337145E-3</c:v>
                </c:pt>
                <c:pt idx="7">
                  <c:v>4.3616170542101242E-4</c:v>
                </c:pt>
                <c:pt idx="8">
                  <c:v>4.6792926162632191E-3</c:v>
                </c:pt>
                <c:pt idx="9">
                  <c:v>8.5959272362596262E-3</c:v>
                </c:pt>
                <c:pt idx="10">
                  <c:v>9.2155697520925721E-3</c:v>
                </c:pt>
                <c:pt idx="11">
                  <c:v>1.4722960457937717E-2</c:v>
                </c:pt>
                <c:pt idx="12">
                  <c:v>6.3791823799650399E-2</c:v>
                </c:pt>
                <c:pt idx="13">
                  <c:v>6.7200926857794011E-2</c:v>
                </c:pt>
                <c:pt idx="14">
                  <c:v>7.3703889627994665E-2</c:v>
                </c:pt>
                <c:pt idx="15">
                  <c:v>0.12384515206908707</c:v>
                </c:pt>
                <c:pt idx="16">
                  <c:v>0.12897350197533086</c:v>
                </c:pt>
                <c:pt idx="17">
                  <c:v>0.13607844013569786</c:v>
                </c:pt>
                <c:pt idx="18">
                  <c:v>0.14509655877021072</c:v>
                </c:pt>
                <c:pt idx="19">
                  <c:v>0.19589575177629184</c:v>
                </c:pt>
                <c:pt idx="20">
                  <c:v>0.19622401606185519</c:v>
                </c:pt>
                <c:pt idx="21">
                  <c:v>0.19709114254185339</c:v>
                </c:pt>
                <c:pt idx="22">
                  <c:v>0.2050835729372705</c:v>
                </c:pt>
                <c:pt idx="23">
                  <c:v>0.23426347096685055</c:v>
                </c:pt>
                <c:pt idx="24">
                  <c:v>0.25421908608191357</c:v>
                </c:pt>
                <c:pt idx="25">
                  <c:v>0.30521824819695864</c:v>
                </c:pt>
                <c:pt idx="26">
                  <c:v>0.35838673394522791</c:v>
                </c:pt>
                <c:pt idx="27">
                  <c:v>0.43343017696294595</c:v>
                </c:pt>
                <c:pt idx="28">
                  <c:v>0.80583817536887514</c:v>
                </c:pt>
                <c:pt idx="29">
                  <c:v>0.87457559673272034</c:v>
                </c:pt>
                <c:pt idx="30">
                  <c:v>1.2752574994253763</c:v>
                </c:pt>
                <c:pt idx="31">
                  <c:v>1.6196281802366423</c:v>
                </c:pt>
              </c:numCache>
            </c:numRef>
          </c:val>
          <c:extLst>
            <c:ext xmlns:c16="http://schemas.microsoft.com/office/drawing/2014/chart" uri="{C3380CC4-5D6E-409C-BE32-E72D297353CC}">
              <c16:uniqueId val="{00000010-B090-416F-B768-02F4782B7458}"/>
            </c:ext>
          </c:extLst>
        </c:ser>
        <c:dLbls>
          <c:showLegendKey val="0"/>
          <c:showVal val="0"/>
          <c:showCatName val="0"/>
          <c:showSerName val="0"/>
          <c:showPercent val="0"/>
          <c:showBubbleSize val="0"/>
        </c:dLbls>
        <c:gapWidth val="20"/>
        <c:axId val="417157528"/>
        <c:axId val="417157920"/>
      </c:barChart>
      <c:catAx>
        <c:axId val="41715752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pPr>
            <a:endParaRPr lang="es-MX"/>
          </a:p>
        </c:txPr>
        <c:crossAx val="417157920"/>
        <c:crosses val="autoZero"/>
        <c:auto val="1"/>
        <c:lblAlgn val="ctr"/>
        <c:lblOffset val="100"/>
        <c:noMultiLvlLbl val="0"/>
      </c:catAx>
      <c:valAx>
        <c:axId val="417157920"/>
        <c:scaling>
          <c:orientation val="minMax"/>
          <c:max val="2"/>
          <c:min val="-0.60000000000000009"/>
        </c:scaling>
        <c:delete val="0"/>
        <c:axPos val="b"/>
        <c:numFmt formatCode="#,##0.00" sourceLinked="0"/>
        <c:majorTickMark val="out"/>
        <c:minorTickMark val="none"/>
        <c:tickLblPos val="nextTo"/>
        <c:spPr>
          <a:ln w="9525">
            <a:solidFill>
              <a:srgbClr val="D8551E"/>
            </a:solidFill>
          </a:ln>
        </c:spPr>
        <c:txPr>
          <a:bodyPr/>
          <a:lstStyle/>
          <a:p>
            <a:pPr>
              <a:defRPr sz="700" baseline="0">
                <a:solidFill>
                  <a:srgbClr val="4D565E"/>
                </a:solidFill>
              </a:defRPr>
            </a:pPr>
            <a:endParaRPr lang="es-MX"/>
          </a:p>
        </c:txPr>
        <c:crossAx val="417157528"/>
        <c:crosses val="autoZero"/>
        <c:crossBetween val="between"/>
        <c:majorUnit val="0.60000000000000009"/>
      </c:valAx>
      <c:spPr>
        <a:noFill/>
        <a:ln>
          <a:noFill/>
        </a:ln>
      </c:spPr>
    </c:plotArea>
    <c:plotVisOnly val="1"/>
    <c:dispBlanksAs val="gap"/>
    <c:showDLblsOverMax val="0"/>
  </c:chart>
  <c:spPr>
    <a:noFill/>
    <a:ln w="6350">
      <a:solidFill>
        <a:srgbClr val="C0C0C0"/>
      </a:solidFill>
    </a:ln>
    <a:effectLst/>
  </c:spPr>
  <c:txPr>
    <a:bodyPr/>
    <a:lstStyle/>
    <a:p>
      <a:pPr>
        <a:defRPr sz="900">
          <a:solidFill>
            <a:srgbClr val="4D565E"/>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516222086244344"/>
          <c:y val="1.9088888888888891E-2"/>
          <c:w val="0.55188041716817848"/>
          <c:h val="0.95115832207437667"/>
        </c:manualLayout>
      </c:layout>
      <c:barChart>
        <c:barDir val="bar"/>
        <c:grouping val="clustered"/>
        <c:varyColors val="0"/>
        <c:ser>
          <c:idx val="0"/>
          <c:order val="0"/>
          <c:tx>
            <c:strRef>
              <c:f>'Variaciones por EF'!$K$4</c:f>
              <c:strCache>
                <c:ptCount val="1"/>
                <c:pt idx="0">
                  <c:v>Secundarias</c:v>
                </c:pt>
              </c:strCache>
            </c:strRef>
          </c:tx>
          <c:spPr>
            <a:solidFill>
              <a:srgbClr val="08989C"/>
            </a:solidFill>
            <a:ln w="0">
              <a:noFill/>
            </a:ln>
            <a:effectLst/>
          </c:spPr>
          <c:invertIfNegative val="0"/>
          <c:dPt>
            <c:idx val="10"/>
            <c:invertIfNegative val="0"/>
            <c:bubble3D val="0"/>
            <c:spPr>
              <a:solidFill>
                <a:srgbClr val="C0C0C0"/>
              </a:solidFill>
              <a:ln w="0">
                <a:noFill/>
              </a:ln>
              <a:effectLst/>
            </c:spPr>
            <c:extLst>
              <c:ext xmlns:c16="http://schemas.microsoft.com/office/drawing/2014/chart" uri="{C3380CC4-5D6E-409C-BE32-E72D297353CC}">
                <c16:uniqueId val="{00000001-A8D3-4B55-8BA9-2039002C27F5}"/>
              </c:ext>
            </c:extLst>
          </c:dPt>
          <c:dPt>
            <c:idx val="11"/>
            <c:invertIfNegative val="0"/>
            <c:bubble3D val="0"/>
            <c:extLst>
              <c:ext xmlns:c16="http://schemas.microsoft.com/office/drawing/2014/chart" uri="{C3380CC4-5D6E-409C-BE32-E72D297353CC}">
                <c16:uniqueId val="{00000002-A8D3-4B55-8BA9-2039002C27F5}"/>
              </c:ext>
            </c:extLst>
          </c:dPt>
          <c:dPt>
            <c:idx val="12"/>
            <c:invertIfNegative val="0"/>
            <c:bubble3D val="0"/>
            <c:extLst>
              <c:ext xmlns:c16="http://schemas.microsoft.com/office/drawing/2014/chart" uri="{C3380CC4-5D6E-409C-BE32-E72D297353CC}">
                <c16:uniqueId val="{00000003-A8D3-4B55-8BA9-2039002C27F5}"/>
              </c:ext>
            </c:extLst>
          </c:dPt>
          <c:dPt>
            <c:idx val="13"/>
            <c:invertIfNegative val="0"/>
            <c:bubble3D val="0"/>
            <c:extLst>
              <c:ext xmlns:c16="http://schemas.microsoft.com/office/drawing/2014/chart" uri="{C3380CC4-5D6E-409C-BE32-E72D297353CC}">
                <c16:uniqueId val="{00000004-A8D3-4B55-8BA9-2039002C27F5}"/>
              </c:ext>
            </c:extLst>
          </c:dPt>
          <c:dPt>
            <c:idx val="14"/>
            <c:invertIfNegative val="0"/>
            <c:bubble3D val="0"/>
            <c:extLst>
              <c:ext xmlns:c16="http://schemas.microsoft.com/office/drawing/2014/chart" uri="{C3380CC4-5D6E-409C-BE32-E72D297353CC}">
                <c16:uniqueId val="{00000005-A8D3-4B55-8BA9-2039002C27F5}"/>
              </c:ext>
            </c:extLst>
          </c:dPt>
          <c:dPt>
            <c:idx val="15"/>
            <c:invertIfNegative val="0"/>
            <c:bubble3D val="0"/>
            <c:extLst>
              <c:ext xmlns:c16="http://schemas.microsoft.com/office/drawing/2014/chart" uri="{C3380CC4-5D6E-409C-BE32-E72D297353CC}">
                <c16:uniqueId val="{00000006-A8D3-4B55-8BA9-2039002C27F5}"/>
              </c:ext>
            </c:extLst>
          </c:dPt>
          <c:dPt>
            <c:idx val="16"/>
            <c:invertIfNegative val="0"/>
            <c:bubble3D val="0"/>
            <c:extLst>
              <c:ext xmlns:c16="http://schemas.microsoft.com/office/drawing/2014/chart" uri="{C3380CC4-5D6E-409C-BE32-E72D297353CC}">
                <c16:uniqueId val="{00000007-A8D3-4B55-8BA9-2039002C27F5}"/>
              </c:ext>
            </c:extLst>
          </c:dPt>
          <c:dPt>
            <c:idx val="17"/>
            <c:invertIfNegative val="0"/>
            <c:bubble3D val="0"/>
            <c:extLst>
              <c:ext xmlns:c16="http://schemas.microsoft.com/office/drawing/2014/chart" uri="{C3380CC4-5D6E-409C-BE32-E72D297353CC}">
                <c16:uniqueId val="{00000008-A8D3-4B55-8BA9-2039002C27F5}"/>
              </c:ext>
            </c:extLst>
          </c:dPt>
          <c:dPt>
            <c:idx val="18"/>
            <c:invertIfNegative val="0"/>
            <c:bubble3D val="0"/>
            <c:extLst>
              <c:ext xmlns:c16="http://schemas.microsoft.com/office/drawing/2014/chart" uri="{C3380CC4-5D6E-409C-BE32-E72D297353CC}">
                <c16:uniqueId val="{00000009-A8D3-4B55-8BA9-2039002C27F5}"/>
              </c:ext>
            </c:extLst>
          </c:dPt>
          <c:dPt>
            <c:idx val="19"/>
            <c:invertIfNegative val="0"/>
            <c:bubble3D val="0"/>
            <c:extLst>
              <c:ext xmlns:c16="http://schemas.microsoft.com/office/drawing/2014/chart" uri="{C3380CC4-5D6E-409C-BE32-E72D297353CC}">
                <c16:uniqueId val="{0000000A-A8D3-4B55-8BA9-2039002C27F5}"/>
              </c:ext>
            </c:extLst>
          </c:dPt>
          <c:dPt>
            <c:idx val="20"/>
            <c:invertIfNegative val="0"/>
            <c:bubble3D val="0"/>
            <c:extLst>
              <c:ext xmlns:c16="http://schemas.microsoft.com/office/drawing/2014/chart" uri="{C3380CC4-5D6E-409C-BE32-E72D297353CC}">
                <c16:uniqueId val="{0000000B-A8D3-4B55-8BA9-2039002C27F5}"/>
              </c:ext>
            </c:extLst>
          </c:dPt>
          <c:dPt>
            <c:idx val="23"/>
            <c:invertIfNegative val="0"/>
            <c:bubble3D val="0"/>
            <c:extLst>
              <c:ext xmlns:c16="http://schemas.microsoft.com/office/drawing/2014/chart" uri="{C3380CC4-5D6E-409C-BE32-E72D297353CC}">
                <c16:uniqueId val="{0000000C-A8D3-4B55-8BA9-2039002C27F5}"/>
              </c:ext>
            </c:extLst>
          </c:dPt>
          <c:dLbls>
            <c:dLbl>
              <c:idx val="0"/>
              <c:layout>
                <c:manualLayout>
                  <c:x val="-2.4922367694378396E-2"/>
                  <c:y val="2.7780838814647169E-7"/>
                </c:manualLayout>
              </c:layout>
              <c:tx>
                <c:rich>
                  <a:bodyPr wrap="square" lIns="38100" tIns="19050" rIns="38100" bIns="19050" anchor="ctr">
                    <a:noAutofit/>
                  </a:bodyPr>
                  <a:lstStyle/>
                  <a:p>
                    <a:pPr>
                      <a:defRPr sz="700">
                        <a:solidFill>
                          <a:srgbClr val="4D565E"/>
                        </a:solidFill>
                      </a:defRPr>
                    </a:pPr>
                    <a:r>
                      <a:rPr lang="en-US" sz="700">
                        <a:solidFill>
                          <a:srgbClr val="4D565E"/>
                        </a:solidFill>
                      </a:rPr>
                      <a:t>-51.4</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0.12606395116192165"/>
                      <c:h val="3.9338134869647649E-2"/>
                    </c:manualLayout>
                  </c15:layout>
                  <c15:showDataLabelsRange val="0"/>
                </c:ext>
                <c:ext xmlns:c16="http://schemas.microsoft.com/office/drawing/2014/chart" uri="{C3380CC4-5D6E-409C-BE32-E72D297353CC}">
                  <c16:uniqueId val="{0000000D-A8D3-4B55-8BA9-2039002C27F5}"/>
                </c:ext>
              </c:extLst>
            </c:dLbl>
            <c:dLbl>
              <c:idx val="1"/>
              <c:layout>
                <c:manualLayout>
                  <c:x val="-1.5859312735005144E-2"/>
                  <c:y val="1.1729578095331496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2"/>
                      <c:h val="2.9343337549775909E-2"/>
                    </c:manualLayout>
                  </c15:layout>
                </c:ext>
                <c:ext xmlns:c16="http://schemas.microsoft.com/office/drawing/2014/chart" uri="{C3380CC4-5D6E-409C-BE32-E72D297353CC}">
                  <c16:uniqueId val="{0000000E-A8D3-4B55-8BA9-2039002C27F5}"/>
                </c:ext>
              </c:extLst>
            </c:dLbl>
            <c:dLbl>
              <c:idx val="2"/>
              <c:layout>
                <c:manualLayout>
                  <c:x val="-9.6776647144222478E-3"/>
                  <c:y val="-1.1727731208527002E-3"/>
                </c:manualLayout>
              </c:layout>
              <c:numFmt formatCode="#,##0.0" sourceLinked="0"/>
              <c:spPr>
                <a:noFill/>
                <a:ln>
                  <a:noFill/>
                </a:ln>
                <a:effectLst/>
              </c:spPr>
              <c:txPr>
                <a:bodyPr wrap="square" lIns="0" tIns="0" rIns="0" bIns="0" anchor="t"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044621627252495"/>
                      <c:h val="2.7004440100566681E-2"/>
                    </c:manualLayout>
                  </c15:layout>
                </c:ext>
                <c:ext xmlns:c16="http://schemas.microsoft.com/office/drawing/2014/chart" uri="{C3380CC4-5D6E-409C-BE32-E72D297353CC}">
                  <c16:uniqueId val="{0000000F-A8D3-4B55-8BA9-2039002C27F5}"/>
                </c:ext>
              </c:extLst>
            </c:dLbl>
            <c:dLbl>
              <c:idx val="3"/>
              <c:layout>
                <c:manualLayout>
                  <c:x val="3.9780149278903412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D3-4B55-8BA9-2039002C27F5}"/>
                </c:ext>
              </c:extLst>
            </c:dLbl>
            <c:dLbl>
              <c:idx val="4"/>
              <c:layout>
                <c:manualLayout>
                  <c:x val="-3.1984126984126982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D3-4B55-8BA9-2039002C27F5}"/>
                </c:ext>
              </c:extLst>
            </c:dLbl>
            <c:dLbl>
              <c:idx val="5"/>
              <c:layout>
                <c:manualLayout>
                  <c:x val="-3.2000000000000002E-3"/>
                  <c:y val="-7.020000000001034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8D3-4B55-8BA9-2039002C27F5}"/>
                </c:ext>
              </c:extLst>
            </c:dLbl>
            <c:dLbl>
              <c:idx val="6"/>
              <c:layout>
                <c:manualLayout>
                  <c:x val="-3.2007936507936507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8D3-4B55-8BA9-2039002C27F5}"/>
                </c:ext>
              </c:extLst>
            </c:dLbl>
            <c:dLbl>
              <c:idx val="7"/>
              <c:layout>
                <c:manualLayout>
                  <c:x val="4.0266669666596654E-4"/>
                  <c:y val="-2.1130708627463998E-3"/>
                </c:manualLayout>
              </c:layout>
              <c:showLegendKey val="0"/>
              <c:showVal val="1"/>
              <c:showCatName val="0"/>
              <c:showSerName val="0"/>
              <c:showPercent val="0"/>
              <c:showBubbleSize val="0"/>
              <c:extLst>
                <c:ext xmlns:c15="http://schemas.microsoft.com/office/drawing/2012/chart" uri="{CE6537A1-D6FC-4f65-9D91-7224C49458BB}">
                  <c15:layout>
                    <c:manualLayout>
                      <c:w val="0.10713985720285595"/>
                      <c:h val="3.0646524941174074E-2"/>
                    </c:manualLayout>
                  </c15:layout>
                </c:ext>
                <c:ext xmlns:c16="http://schemas.microsoft.com/office/drawing/2014/chart" uri="{C3380CC4-5D6E-409C-BE32-E72D297353CC}">
                  <c16:uniqueId val="{00000014-A8D3-4B55-8BA9-2039002C27F5}"/>
                </c:ext>
              </c:extLst>
            </c:dLbl>
            <c:dLbl>
              <c:idx val="8"/>
              <c:layout>
                <c:manualLayout>
                  <c:x val="2.2715923634283991E-3"/>
                  <c:y val="-7.020016743875769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8D3-4B55-8BA9-2039002C27F5}"/>
                </c:ext>
              </c:extLst>
            </c:dLbl>
            <c:dLbl>
              <c:idx val="9"/>
              <c:layout>
                <c:manualLayout>
                  <c:x val="1.8386814691527678E-3"/>
                  <c:y val="-7.0196860446248741E-4"/>
                </c:manualLayout>
              </c:layout>
              <c:showLegendKey val="0"/>
              <c:showVal val="1"/>
              <c:showCatName val="0"/>
              <c:showSerName val="0"/>
              <c:showPercent val="0"/>
              <c:showBubbleSize val="0"/>
              <c:extLst>
                <c:ext xmlns:c15="http://schemas.microsoft.com/office/drawing/2012/chart" uri="{CE6537A1-D6FC-4f65-9D91-7224C49458BB}">
                  <c15:layout>
                    <c:manualLayout>
                      <c:w val="0.11424168367026361"/>
                      <c:h val="3.357036562361964E-2"/>
                    </c:manualLayout>
                  </c15:layout>
                </c:ext>
                <c:ext xmlns:c16="http://schemas.microsoft.com/office/drawing/2014/chart" uri="{C3380CC4-5D6E-409C-BE32-E72D297353CC}">
                  <c16:uniqueId val="{00000016-A8D3-4B55-8BA9-2039002C27F5}"/>
                </c:ext>
              </c:extLst>
            </c:dLbl>
            <c:dLbl>
              <c:idx val="10"/>
              <c:layout>
                <c:manualLayout>
                  <c:x val="-6.7926200531107485E-4"/>
                  <c:y val="2.1200484127417742E-3"/>
                </c:manualLayout>
              </c:layout>
              <c:showLegendKey val="0"/>
              <c:showVal val="1"/>
              <c:showCatName val="0"/>
              <c:showSerName val="0"/>
              <c:showPercent val="0"/>
              <c:showBubbleSize val="0"/>
              <c:extLst>
                <c:ext xmlns:c15="http://schemas.microsoft.com/office/drawing/2012/chart" uri="{CE6537A1-D6FC-4f65-9D91-7224C49458BB}">
                  <c15:layout>
                    <c:manualLayout>
                      <c:w val="0.10507738095238095"/>
                      <c:h val="4.1921111111111103E-2"/>
                    </c:manualLayout>
                  </c15:layout>
                </c:ext>
                <c:ext xmlns:c16="http://schemas.microsoft.com/office/drawing/2014/chart" uri="{C3380CC4-5D6E-409C-BE32-E72D297353CC}">
                  <c16:uniqueId val="{00000001-A8D3-4B55-8BA9-2039002C27F5}"/>
                </c:ext>
              </c:extLst>
            </c:dLbl>
            <c:dLbl>
              <c:idx val="11"/>
              <c:layout>
                <c:manualLayout>
                  <c:x val="9.4812276982806796E-4"/>
                  <c:y val="-7.019291940500851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D3-4B55-8BA9-2039002C27F5}"/>
                </c:ext>
              </c:extLst>
            </c:dLbl>
            <c:dLbl>
              <c:idx val="12"/>
              <c:layout>
                <c:manualLayout>
                  <c:x val="5.3937503927094514E-4"/>
                  <c:y val="1.6501818255899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D3-4B55-8BA9-2039002C27F5}"/>
                </c:ext>
              </c:extLst>
            </c:dLbl>
            <c:dLbl>
              <c:idx val="13"/>
              <c:layout>
                <c:manualLayout>
                  <c:x val="-3.6611111111111111E-3"/>
                  <c:y val="-7.02000000000000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D3-4B55-8BA9-2039002C27F5}"/>
                </c:ext>
              </c:extLst>
            </c:dLbl>
            <c:dLbl>
              <c:idx val="14"/>
              <c:layout>
                <c:manualLayout>
                  <c:x val="-7.8627718784208527E-3"/>
                  <c:y val="-7.020016743876629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D3-4B55-8BA9-2039002C27F5}"/>
                </c:ext>
              </c:extLst>
            </c:dLbl>
            <c:dLbl>
              <c:idx val="15"/>
              <c:layout>
                <c:manualLayout>
                  <c:x val="-1.2063018582148042E-2"/>
                  <c:y val="-3.51776529651675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D3-4B55-8BA9-2039002C27F5}"/>
                </c:ext>
              </c:extLst>
            </c:dLbl>
            <c:dLbl>
              <c:idx val="16"/>
              <c:layout>
                <c:manualLayout>
                  <c:x val="-1.626392668997013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D3-4B55-8BA9-2039002C27F5}"/>
                </c:ext>
              </c:extLst>
            </c:dLbl>
            <c:dLbl>
              <c:idx val="17"/>
              <c:layout>
                <c:manualLayout>
                  <c:x val="-1.2065002794432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D3-4B55-8BA9-2039002C27F5}"/>
                </c:ext>
              </c:extLst>
            </c:dLbl>
            <c:dLbl>
              <c:idx val="18"/>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D3-4B55-8BA9-2039002C27F5}"/>
                </c:ext>
              </c:extLst>
            </c:dLbl>
            <c:dLbl>
              <c:idx val="19"/>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D3-4B55-8BA9-2039002C27F5}"/>
                </c:ext>
              </c:extLst>
            </c:dLbl>
            <c:dLbl>
              <c:idx val="20"/>
              <c:layout>
                <c:manualLayout>
                  <c:x val="-1.6264918796112266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D3-4B55-8BA9-2039002C27F5}"/>
                </c:ext>
              </c:extLst>
            </c:dLbl>
            <c:dLbl>
              <c:idx val="21"/>
              <c:layout>
                <c:manualLayout>
                  <c:x val="-1.62649187961122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8D3-4B55-8BA9-2039002C27F5}"/>
                </c:ext>
              </c:extLst>
            </c:dLbl>
            <c:dLbl>
              <c:idx val="22"/>
              <c:layout>
                <c:manualLayout>
                  <c:x val="-1.62649187961124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8D3-4B55-8BA9-2039002C27F5}"/>
                </c:ext>
              </c:extLst>
            </c:dLbl>
            <c:dLbl>
              <c:idx val="23"/>
              <c:layout>
                <c:manualLayout>
                  <c:x val="-1.6264918796112422E-2"/>
                  <c:y val="2.3455462417054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D3-4B55-8BA9-2039002C27F5}"/>
                </c:ext>
              </c:extLst>
            </c:dLbl>
            <c:dLbl>
              <c:idx val="24"/>
              <c:layout>
                <c:manualLayout>
                  <c:x val="-1.6264918796112266E-2"/>
                  <c:y val="-4.700326917433693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8D3-4B55-8BA9-2039002C27F5}"/>
                </c:ext>
              </c:extLst>
            </c:dLbl>
            <c:dLbl>
              <c:idx val="25"/>
              <c:layout>
                <c:manualLayout>
                  <c:x val="-1.2065002794432299E-2"/>
                  <c:y val="-4.7003269174332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8D3-4B55-8BA9-2039002C27F5}"/>
                </c:ext>
              </c:extLst>
            </c:dLbl>
            <c:dLbl>
              <c:idx val="26"/>
              <c:layout>
                <c:manualLayout>
                  <c:x val="-1.6264918796112422E-2"/>
                  <c:y val="-4.700326917433478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8D3-4B55-8BA9-2039002C27F5}"/>
                </c:ext>
              </c:extLst>
            </c:dLbl>
            <c:dLbl>
              <c:idx val="27"/>
              <c:layout>
                <c:manualLayout>
                  <c:x val="-2.8787613224113471E-2"/>
                  <c:y val="-3.5077939143294493E-4"/>
                </c:manualLayout>
              </c:layout>
              <c:showLegendKey val="0"/>
              <c:showVal val="1"/>
              <c:showCatName val="0"/>
              <c:showSerName val="0"/>
              <c:showPercent val="0"/>
              <c:showBubbleSize val="0"/>
              <c:extLst>
                <c:ext xmlns:c15="http://schemas.microsoft.com/office/drawing/2012/chart" uri="{CE6537A1-D6FC-4f65-9D91-7224C49458BB}">
                  <c15:layout>
                    <c:manualLayout>
                      <c:w val="0.1082845238095238"/>
                      <c:h val="3.5574666666666657E-2"/>
                    </c:manualLayout>
                  </c15:layout>
                </c:ext>
                <c:ext xmlns:c16="http://schemas.microsoft.com/office/drawing/2014/chart" uri="{C3380CC4-5D6E-409C-BE32-E72D297353CC}">
                  <c16:uniqueId val="{0000001C-A8D3-4B55-8BA9-2039002C27F5}"/>
                </c:ext>
              </c:extLst>
            </c:dLbl>
            <c:dLbl>
              <c:idx val="28"/>
              <c:layout>
                <c:manualLayout>
                  <c:x val="-1.2904655292720918E-2"/>
                  <c:y val="-2.15607686081956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8D3-4B55-8BA9-2039002C27F5}"/>
                </c:ext>
              </c:extLst>
            </c:dLbl>
            <c:dLbl>
              <c:idx val="29"/>
              <c:layout>
                <c:manualLayout>
                  <c:x val="-1.71045712944008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8D3-4B55-8BA9-2039002C27F5}"/>
                </c:ext>
              </c:extLst>
            </c:dLbl>
            <c:dLbl>
              <c:idx val="30"/>
              <c:layout>
                <c:manualLayout>
                  <c:x val="-2.1304487296080851E-2"/>
                  <c:y val="0"/>
                </c:manualLayout>
              </c:layout>
              <c:numFmt formatCode="#,##0.0" sourceLinked="0"/>
              <c:spPr>
                <a:noFill/>
                <a:ln>
                  <a:noFill/>
                </a:ln>
                <a:effectLst/>
              </c:spPr>
              <c:txPr>
                <a:bodyPr wrap="square" lIns="72000" tIns="19050" rIns="36000" bIns="1905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F-A8D3-4B55-8BA9-2039002C27F5}"/>
                </c:ext>
              </c:extLst>
            </c:dLbl>
            <c:dLbl>
              <c:idx val="31"/>
              <c:layout>
                <c:manualLayout>
                  <c:x val="-8.7047392910409513E-3"/>
                  <c:y val="2.3422951232589515E-3"/>
                </c:manualLayout>
              </c:layout>
              <c:numFmt formatCode="#,##0.0" sourceLinked="0"/>
              <c:spPr>
                <a:noFill/>
                <a:ln>
                  <a:noFill/>
                </a:ln>
                <a:effectLst/>
              </c:spPr>
              <c:txPr>
                <a:bodyPr vertOverflow="overflow" horzOverflow="overflow" wrap="none" lIns="0" tIns="0" rIns="0" bIns="0" anchor="t" anchorCtr="0">
                  <a:spAutoFit/>
                </a:bodyPr>
                <a:lstStyle/>
                <a:p>
                  <a:pPr>
                    <a:defRPr sz="700" b="0">
                      <a:solidFill>
                        <a:srgbClr val="4D565E"/>
                      </a:solidFill>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20-A8D3-4B55-8BA9-2039002C27F5}"/>
                </c:ext>
              </c:extLst>
            </c:dLbl>
            <c:dLbl>
              <c:idx val="32"/>
              <c:layout>
                <c:manualLayout>
                  <c:x val="-2.099792649816295E-3"/>
                  <c:y val="1.8520559209495271E-7"/>
                </c:manualLayout>
              </c:layout>
              <c:spPr>
                <a:noFill/>
                <a:ln>
                  <a:noFill/>
                </a:ln>
                <a:effectLst/>
              </c:spPr>
              <c:txPr>
                <a:bodyPr wrap="square" lIns="38100" tIns="19050" rIns="38100" bIns="1905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0.11454460674566035"/>
                      <c:h val="2.2313384530332513E-2"/>
                    </c:manualLayout>
                  </c15:layout>
                </c:ext>
                <c:ext xmlns:c16="http://schemas.microsoft.com/office/drawing/2014/chart" uri="{C3380CC4-5D6E-409C-BE32-E72D297353CC}">
                  <c16:uniqueId val="{00000021-A8D3-4B55-8BA9-2039002C27F5}"/>
                </c:ext>
              </c:extLst>
            </c:dLbl>
            <c:numFmt formatCode="#,##0.0" sourceLinked="0"/>
            <c:spPr>
              <a:noFill/>
              <a:ln>
                <a:noFill/>
              </a:ln>
              <a:effectLst/>
            </c:spPr>
            <c:txPr>
              <a:bodyPr wrap="square" lIns="72000" tIns="19050" rIns="36000" bIns="19050" anchor="t" anchorCtr="0">
                <a:spAutoFit/>
              </a:bodyPr>
              <a:lstStyle/>
              <a:p>
                <a:pPr>
                  <a:defRPr sz="700">
                    <a:solidFill>
                      <a:srgbClr val="4D565E"/>
                    </a:solidFil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'Variaciones por EF'!$J$6:$J$38</c:f>
              <c:strCache>
                <c:ptCount val="33"/>
                <c:pt idx="0">
                  <c:v>Quintana Roo</c:v>
                </c:pt>
                <c:pt idx="1">
                  <c:v>Campeche</c:v>
                </c:pt>
                <c:pt idx="2">
                  <c:v>Tabasco</c:v>
                </c:pt>
                <c:pt idx="3">
                  <c:v>Durango</c:v>
                </c:pt>
                <c:pt idx="4">
                  <c:v>Sinaloa</c:v>
                </c:pt>
                <c:pt idx="5">
                  <c:v>Puebla</c:v>
                </c:pt>
                <c:pt idx="6">
                  <c:v>Michoacán</c:v>
                </c:pt>
                <c:pt idx="7">
                  <c:v>Veracruz</c:v>
                </c:pt>
                <c:pt idx="8">
                  <c:v>Chihuahua</c:v>
                </c:pt>
                <c:pt idx="9">
                  <c:v>Yucatán</c:v>
                </c:pt>
                <c:pt idx="10">
                  <c:v>Nacional</c:v>
                </c:pt>
                <c:pt idx="11">
                  <c:v>Coahuila</c:v>
                </c:pt>
                <c:pt idx="12">
                  <c:v>Hidalgo</c:v>
                </c:pt>
                <c:pt idx="13">
                  <c:v>Guerrero</c:v>
                </c:pt>
                <c:pt idx="14">
                  <c:v>Tlaxcala</c:v>
                </c:pt>
                <c:pt idx="15">
                  <c:v>Sonora</c:v>
                </c:pt>
                <c:pt idx="16">
                  <c:v>Aguascalientes</c:v>
                </c:pt>
                <c:pt idx="17">
                  <c:v>México</c:v>
                </c:pt>
                <c:pt idx="18">
                  <c:v>Baja California</c:v>
                </c:pt>
                <c:pt idx="19">
                  <c:v>Jalisco</c:v>
                </c:pt>
                <c:pt idx="20">
                  <c:v>Nuevo León</c:v>
                </c:pt>
                <c:pt idx="21">
                  <c:v>Querétaro</c:v>
                </c:pt>
                <c:pt idx="22">
                  <c:v>Chiapas</c:v>
                </c:pt>
                <c:pt idx="23">
                  <c:v>Tamaulipas</c:v>
                </c:pt>
                <c:pt idx="24">
                  <c:v>Morelos</c:v>
                </c:pt>
                <c:pt idx="25">
                  <c:v>Zacatecas</c:v>
                </c:pt>
                <c:pt idx="26">
                  <c:v>San Luis Potosí</c:v>
                </c:pt>
                <c:pt idx="27">
                  <c:v>Colima</c:v>
                </c:pt>
                <c:pt idx="28">
                  <c:v>Guanajuato</c:v>
                </c:pt>
                <c:pt idx="29">
                  <c:v>Baja California Sur</c:v>
                </c:pt>
                <c:pt idx="30">
                  <c:v>Ciudad de México</c:v>
                </c:pt>
                <c:pt idx="31">
                  <c:v>Nayarit</c:v>
                </c:pt>
                <c:pt idx="32">
                  <c:v>Oaxaca</c:v>
                </c:pt>
              </c:strCache>
            </c:strRef>
          </c:cat>
          <c:val>
            <c:numRef>
              <c:f>'Variaciones por EF'!$K$6:$K$38</c:f>
              <c:numCache>
                <c:formatCode>0.0</c:formatCode>
                <c:ptCount val="33"/>
                <c:pt idx="0">
                  <c:v>-51.354720515619043</c:v>
                </c:pt>
                <c:pt idx="1">
                  <c:v>-21.018854307915973</c:v>
                </c:pt>
                <c:pt idx="2">
                  <c:v>-20.28511801691721</c:v>
                </c:pt>
                <c:pt idx="3">
                  <c:v>-4.4608811001765361</c:v>
                </c:pt>
                <c:pt idx="4">
                  <c:v>-4.3684809340029176</c:v>
                </c:pt>
                <c:pt idx="5">
                  <c:v>-4.1147220762747168</c:v>
                </c:pt>
                <c:pt idx="6">
                  <c:v>-3.202907811595324</c:v>
                </c:pt>
                <c:pt idx="7">
                  <c:v>-2.5508049725050483</c:v>
                </c:pt>
                <c:pt idx="8">
                  <c:v>-1.6558746353851461</c:v>
                </c:pt>
                <c:pt idx="9">
                  <c:v>-1.4144491322412023</c:v>
                </c:pt>
                <c:pt idx="10">
                  <c:v>-0.74011030145520396</c:v>
                </c:pt>
                <c:pt idx="11">
                  <c:v>-0.61299702393000643</c:v>
                </c:pt>
                <c:pt idx="12">
                  <c:v>-0.57400453873310697</c:v>
                </c:pt>
                <c:pt idx="13">
                  <c:v>-0.54502635779516595</c:v>
                </c:pt>
                <c:pt idx="14">
                  <c:v>0.42822963425915361</c:v>
                </c:pt>
                <c:pt idx="15">
                  <c:v>0.80647936237190265</c:v>
                </c:pt>
                <c:pt idx="16">
                  <c:v>1.3228509811139304</c:v>
                </c:pt>
                <c:pt idx="17">
                  <c:v>1.7393770965703084</c:v>
                </c:pt>
                <c:pt idx="18">
                  <c:v>2.5126324572033525</c:v>
                </c:pt>
                <c:pt idx="19">
                  <c:v>3.0755158659746797</c:v>
                </c:pt>
                <c:pt idx="20">
                  <c:v>3.1683983716020947</c:v>
                </c:pt>
                <c:pt idx="21">
                  <c:v>3.1881449538227855</c:v>
                </c:pt>
                <c:pt idx="22">
                  <c:v>3.3717971085597469</c:v>
                </c:pt>
                <c:pt idx="23">
                  <c:v>3.4290077075902303</c:v>
                </c:pt>
                <c:pt idx="24">
                  <c:v>3.6015154390640163</c:v>
                </c:pt>
                <c:pt idx="25">
                  <c:v>4.0109734432703448</c:v>
                </c:pt>
                <c:pt idx="26">
                  <c:v>5.3589995134607875</c:v>
                </c:pt>
                <c:pt idx="27">
                  <c:v>5.8052408681074468</c:v>
                </c:pt>
                <c:pt idx="28">
                  <c:v>5.9686739839056884</c:v>
                </c:pt>
                <c:pt idx="29">
                  <c:v>6.8907698111111699</c:v>
                </c:pt>
                <c:pt idx="30">
                  <c:v>8.8511555146309888</c:v>
                </c:pt>
                <c:pt idx="31">
                  <c:v>12.598351469897025</c:v>
                </c:pt>
                <c:pt idx="32">
                  <c:v>15.012911428408145</c:v>
                </c:pt>
              </c:numCache>
            </c:numRef>
          </c:val>
          <c:extLst>
            <c:ext xmlns:c16="http://schemas.microsoft.com/office/drawing/2014/chart" uri="{C3380CC4-5D6E-409C-BE32-E72D297353CC}">
              <c16:uniqueId val="{00000022-A8D3-4B55-8BA9-2039002C27F5}"/>
            </c:ext>
          </c:extLst>
        </c:ser>
        <c:dLbls>
          <c:showLegendKey val="0"/>
          <c:showVal val="0"/>
          <c:showCatName val="0"/>
          <c:showSerName val="0"/>
          <c:showPercent val="0"/>
          <c:showBubbleSize val="0"/>
        </c:dLbls>
        <c:gapWidth val="20"/>
        <c:axId val="499233088"/>
        <c:axId val="499244848"/>
      </c:barChart>
      <c:catAx>
        <c:axId val="499233088"/>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99244848"/>
        <c:crosses val="autoZero"/>
        <c:auto val="1"/>
        <c:lblAlgn val="ctr"/>
        <c:lblOffset val="100"/>
        <c:noMultiLvlLbl val="0"/>
      </c:catAx>
      <c:valAx>
        <c:axId val="499244848"/>
        <c:scaling>
          <c:orientation val="minMax"/>
        </c:scaling>
        <c:delete val="0"/>
        <c:axPos val="b"/>
        <c:numFmt formatCode="#,##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99233088"/>
        <c:crosses val="autoZero"/>
        <c:crossBetween val="between"/>
        <c:majorUnit val="20"/>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013358907059695"/>
          <c:y val="2.2274222222222223E-2"/>
          <c:w val="0.57141042465845615"/>
          <c:h val="0.9417528412852898"/>
        </c:manualLayout>
      </c:layout>
      <c:barChart>
        <c:barDir val="bar"/>
        <c:grouping val="clustered"/>
        <c:varyColors val="0"/>
        <c:ser>
          <c:idx val="0"/>
          <c:order val="0"/>
          <c:spPr>
            <a:solidFill>
              <a:srgbClr val="08989C"/>
            </a:solidFill>
          </c:spPr>
          <c:invertIfNegative val="0"/>
          <c:dLbls>
            <c:dLbl>
              <c:idx val="0"/>
              <c:layout>
                <c:manualLayout>
                  <c:x val="-2.1162450766732697E-2"/>
                  <c:y val="-2.3521110196402994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9680541822233"/>
                      <c:h val="2.7343383206112525E-2"/>
                    </c:manualLayout>
                  </c15:layout>
                </c:ext>
                <c:ext xmlns:c16="http://schemas.microsoft.com/office/drawing/2014/chart" uri="{C3380CC4-5D6E-409C-BE32-E72D297353CC}">
                  <c16:uniqueId val="{00000000-8B38-4DCD-9BD3-0C41AF470950}"/>
                </c:ext>
              </c:extLst>
            </c:dLbl>
            <c:dLbl>
              <c:idx val="1"/>
              <c:layout>
                <c:manualLayout>
                  <c:x val="-1.6067489673828494E-2"/>
                  <c:y val="-2.3520184168440783E-3"/>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2536154001329422"/>
                      <c:h val="2.9036903140253412E-2"/>
                    </c:manualLayout>
                  </c15:layout>
                </c:ext>
                <c:ext xmlns:c16="http://schemas.microsoft.com/office/drawing/2014/chart" uri="{C3380CC4-5D6E-409C-BE32-E72D297353CC}">
                  <c16:uniqueId val="{00000001-8B38-4DCD-9BD3-0C41AF470950}"/>
                </c:ext>
              </c:extLst>
            </c:dLbl>
            <c:dLbl>
              <c:idx val="2"/>
              <c:layout>
                <c:manualLayout>
                  <c:x val="-1.9274142076213596E-2"/>
                  <c:y val="9.2602795876337756E-8"/>
                </c:manualLayout>
              </c:layout>
              <c:numFmt formatCode="#,##0.00" sourceLinked="0"/>
              <c:spPr>
                <a:noFill/>
                <a:ln>
                  <a:noFill/>
                </a:ln>
                <a:effectLst/>
              </c:spPr>
              <c:txPr>
                <a:bodyPr rot="0" lIns="0" tIns="0" rIns="0" bIns="0" anchorCtr="0"/>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1790718516338333"/>
                      <c:h val="2.3119954883917763E-2"/>
                    </c:manualLayout>
                  </c15:layout>
                </c:ext>
                <c:ext xmlns:c16="http://schemas.microsoft.com/office/drawing/2014/chart" uri="{C3380CC4-5D6E-409C-BE32-E72D297353CC}">
                  <c16:uniqueId val="{00000002-8B38-4DCD-9BD3-0C41AF470950}"/>
                </c:ext>
              </c:extLst>
            </c:dLbl>
            <c:dLbl>
              <c:idx val="3"/>
              <c:layout>
                <c:manualLayout>
                  <c:x val="-1.2598094494802941E-2"/>
                  <c:y val="-2.35211101964029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38-4DCD-9BD3-0C41AF470950}"/>
                </c:ext>
              </c:extLst>
            </c:dLbl>
            <c:dLbl>
              <c:idx val="4"/>
              <c:layout>
                <c:manualLayout>
                  <c:x val="-8.39983200335985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38-4DCD-9BD3-0C41AF470950}"/>
                </c:ext>
              </c:extLst>
            </c:dLbl>
            <c:dLbl>
              <c:idx val="5"/>
              <c:layout>
                <c:manualLayout>
                  <c:x val="-8.39983200335993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38-4DCD-9BD3-0C41AF470950}"/>
                </c:ext>
              </c:extLst>
            </c:dLbl>
            <c:dLbl>
              <c:idx val="6"/>
              <c:layout>
                <c:manualLayout>
                  <c:x val="-3.3529880583489154E-3"/>
                  <c:y val="-2.35211101964012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38-4DCD-9BD3-0C41AF470950}"/>
                </c:ext>
              </c:extLst>
            </c:dLbl>
            <c:dLbl>
              <c:idx val="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38-4DCD-9BD3-0C41AF470950}"/>
                </c:ext>
              </c:extLst>
            </c:dLbl>
            <c:dLbl>
              <c:idx val="8"/>
              <c:layout>
                <c:manualLayout>
                  <c:x val="-1.091763204105989E-2"/>
                  <c:y val="-9.2602796048823892E-8"/>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461996779388084"/>
                      <c:h val="3.487266666666667E-2"/>
                    </c:manualLayout>
                  </c15:layout>
                </c:ext>
                <c:ext xmlns:c16="http://schemas.microsoft.com/office/drawing/2014/chart" uri="{C3380CC4-5D6E-409C-BE32-E72D297353CC}">
                  <c16:uniqueId val="{00000008-8B38-4DCD-9BD3-0C41AF470950}"/>
                </c:ext>
              </c:extLst>
            </c:dLbl>
            <c:dLbl>
              <c:idx val="9"/>
              <c:layout>
                <c:manualLayout>
                  <c:x val="-1.1755134976040636E-2"/>
                  <c:y val="0"/>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2906150793650795"/>
                      <c:h val="3.2050444444444444E-2"/>
                    </c:manualLayout>
                  </c15:layout>
                </c:ext>
                <c:ext xmlns:c16="http://schemas.microsoft.com/office/drawing/2014/chart" uri="{C3380CC4-5D6E-409C-BE32-E72D297353CC}">
                  <c16:uniqueId val="{00000009-8B38-4DCD-9BD3-0C41AF470950}"/>
                </c:ext>
              </c:extLst>
            </c:dLbl>
            <c:dLbl>
              <c:idx val="11"/>
              <c:layout>
                <c:manualLayout>
                  <c:x val="1.1904761904761904E-6"/>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38-4DCD-9BD3-0C41AF470950}"/>
                </c:ext>
              </c:extLst>
            </c:dLbl>
            <c:dLbl>
              <c:idx val="12"/>
              <c:layout>
                <c:manualLayout>
                  <c:x val="-0.12179624124052936"/>
                  <c:y val="2.35211101964004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38-4DCD-9BD3-0C41AF470950}"/>
                </c:ext>
              </c:extLst>
            </c:dLbl>
            <c:dLbl>
              <c:idx val="13"/>
              <c:layout>
                <c:manualLayout>
                  <c:x val="-4.1999160016799666E-3"/>
                  <c:y val="-8.62430744327827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38-4DCD-9BD3-0C41AF470950}"/>
                </c:ext>
              </c:extLst>
            </c:dLbl>
            <c:dLbl>
              <c:idx val="14"/>
              <c:layout>
                <c:manualLayout>
                  <c:x val="-1.4276076683190746E-2"/>
                  <c:y val="-2.8222554151800922E-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11973268921095005"/>
                      <c:h val="3.487266666666667E-2"/>
                    </c:manualLayout>
                  </c15:layout>
                </c:ext>
                <c:ext xmlns:c16="http://schemas.microsoft.com/office/drawing/2014/chart" uri="{C3380CC4-5D6E-409C-BE32-E72D297353CC}">
                  <c16:uniqueId val="{0000000D-8B38-4DCD-9BD3-0C41AF470950}"/>
                </c:ext>
              </c:extLst>
            </c:dLbl>
            <c:dLbl>
              <c:idx val="15"/>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38-4DCD-9BD3-0C41AF470950}"/>
                </c:ext>
              </c:extLst>
            </c:dLbl>
            <c:dLbl>
              <c:idx val="16"/>
              <c:layout>
                <c:manualLayout>
                  <c:x val="-4.19991600167996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38-4DCD-9BD3-0C41AF470950}"/>
                </c:ext>
              </c:extLst>
            </c:dLbl>
            <c:dLbl>
              <c:idx val="17"/>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38-4DCD-9BD3-0C41AF470950}"/>
                </c:ext>
              </c:extLst>
            </c:dLbl>
            <c:dLbl>
              <c:idx val="18"/>
              <c:layout>
                <c:manualLayout>
                  <c:x val="-4.1999160016799666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38-4DCD-9BD3-0C41AF470950}"/>
                </c:ext>
              </c:extLst>
            </c:dLbl>
            <c:dLbl>
              <c:idx val="19"/>
              <c:layout>
                <c:manualLayout>
                  <c:x val="-5.0396825396825393E-3"/>
                  <c:y val="2.82222222222217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38-4DCD-9BD3-0C41AF470950}"/>
                </c:ext>
              </c:extLst>
            </c:dLbl>
            <c:dLbl>
              <c:idx val="20"/>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B38-4DCD-9BD3-0C41AF470950}"/>
                </c:ext>
              </c:extLst>
            </c:dLbl>
            <c:dLbl>
              <c:idx val="21"/>
              <c:layout>
                <c:manualLayout>
                  <c:x val="-5.0396825396826321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B38-4DCD-9BD3-0C41AF470950}"/>
                </c:ext>
              </c:extLst>
            </c:dLbl>
            <c:dLbl>
              <c:idx val="22"/>
              <c:layout>
                <c:manualLayout>
                  <c:x val="-5.0396825396825393E-3"/>
                  <c:y val="2.82222222222222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B38-4DCD-9BD3-0C41AF470950}"/>
                </c:ext>
              </c:extLst>
            </c:dLbl>
            <c:dLbl>
              <c:idx val="23"/>
              <c:layout>
                <c:manualLayout>
                  <c:x val="-9.23948450164855E-3"/>
                  <c:y val="2.82216281238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B38-4DCD-9BD3-0C41AF470950}"/>
                </c:ext>
              </c:extLst>
            </c:dLbl>
            <c:dLbl>
              <c:idx val="24"/>
              <c:layout>
                <c:manualLayout>
                  <c:x val="-1.0079365079365172E-2"/>
                  <c:y val="-2.5870071517096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38-4DCD-9BD3-0C41AF470950}"/>
                </c:ext>
              </c:extLst>
            </c:dLbl>
            <c:dLbl>
              <c:idx val="25"/>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B38-4DCD-9BD3-0C41AF470950}"/>
                </c:ext>
              </c:extLst>
            </c:dLbl>
            <c:dLbl>
              <c:idx val="26"/>
              <c:layout>
                <c:manualLayout>
                  <c:x val="-1.00793650793651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B38-4DCD-9BD3-0C41AF470950}"/>
                </c:ext>
              </c:extLst>
            </c:dLbl>
            <c:dLbl>
              <c:idx val="27"/>
              <c:layout>
                <c:manualLayout>
                  <c:x val="-5.03968253968253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B38-4DCD-9BD3-0C41AF470950}"/>
                </c:ext>
              </c:extLst>
            </c:dLbl>
            <c:dLbl>
              <c:idx val="28"/>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B38-4DCD-9BD3-0C41AF470950}"/>
                </c:ext>
              </c:extLst>
            </c:dLbl>
            <c:dLbl>
              <c:idx val="29"/>
              <c:layout>
                <c:manualLayout>
                  <c:x val="-5.039682539682632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B38-4DCD-9BD3-0C41AF470950}"/>
                </c:ext>
              </c:extLst>
            </c:dLbl>
            <c:dLbl>
              <c:idx val="30"/>
              <c:layout>
                <c:manualLayout>
                  <c:x val="-5.0395684999687369E-3"/>
                  <c:y val="-5.3901921520489205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B38-4DCD-9BD3-0C41AF470950}"/>
                </c:ext>
              </c:extLst>
            </c:dLbl>
            <c:dLbl>
              <c:idx val="31"/>
              <c:layout>
                <c:manualLayout>
                  <c:x val="-1.6285422323051141E-3"/>
                  <c:y val="-2.6950960760244603E-18"/>
                </c:manualLayout>
              </c:layout>
              <c:tx>
                <c:rich>
                  <a:bodyPr wrap="square" lIns="0" tIns="0" rIns="0" bIns="0" anchor="ctr" anchorCtr="0">
                    <a:noAutofit/>
                  </a:bodyPr>
                  <a:lstStyle/>
                  <a:p>
                    <a:pPr algn="ctr" rtl="0">
                      <a:defRPr lang="en-US" sz="700" b="0" i="0" u="none" strike="noStrike" kern="1200" baseline="0">
                        <a:solidFill>
                          <a:srgbClr val="4D565E"/>
                        </a:solidFill>
                        <a:latin typeface="Arial" panose="020B0604020202020204" pitchFamily="34" charset="0"/>
                        <a:ea typeface="+mn-ea"/>
                        <a:cs typeface="Arial" panose="020B0604020202020204" pitchFamily="34" charset="0"/>
                      </a:defRPr>
                    </a:pPr>
                    <a:r>
                      <a:rPr lang="en-US" sz="700" b="0" i="0" u="none" strike="noStrike" kern="1200" baseline="0">
                        <a:solidFill>
                          <a:srgbClr val="4D565E"/>
                        </a:solidFill>
                        <a:latin typeface="Arial" panose="020B0604020202020204" pitchFamily="34" charset="0"/>
                        <a:ea typeface="+mn-ea"/>
                        <a:cs typeface="Arial" panose="020B0604020202020204" pitchFamily="34" charset="0"/>
                      </a:rPr>
                      <a:t>0.36</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9.424214665312991E-2"/>
                      <c:h val="1.934990985117805E-2"/>
                    </c:manualLayout>
                  </c15:layout>
                  <c15:showDataLabelsRange val="0"/>
                </c:ext>
                <c:ext xmlns:c16="http://schemas.microsoft.com/office/drawing/2014/chart" uri="{C3380CC4-5D6E-409C-BE32-E72D297353CC}">
                  <c16:uniqueId val="{0000001E-8B38-4DCD-9BD3-0C41AF470950}"/>
                </c:ext>
              </c:extLst>
            </c:dLbl>
            <c:numFmt formatCode="#,##0.00" sourceLinked="0"/>
            <c:spPr>
              <a:noFill/>
              <a:ln>
                <a:noFill/>
              </a:ln>
              <a:effectLst/>
            </c:spPr>
            <c:txPr>
              <a:bodyPr rot="0"/>
              <a:lstStyle/>
              <a:p>
                <a:pPr>
                  <a:defRPr sz="700">
                    <a:solidFill>
                      <a:srgbClr val="4D565E"/>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Ref>
              <c:f>Contribuciones!$G$7:$G$38</c:f>
              <c:strCache>
                <c:ptCount val="32"/>
                <c:pt idx="0">
                  <c:v>Campeche</c:v>
                </c:pt>
                <c:pt idx="1">
                  <c:v>Tabasco</c:v>
                </c:pt>
                <c:pt idx="2">
                  <c:v>Quintana Roo</c:v>
                </c:pt>
                <c:pt idx="3">
                  <c:v>Puebla</c:v>
                </c:pt>
                <c:pt idx="4">
                  <c:v>Veracruz </c:v>
                </c:pt>
                <c:pt idx="5">
                  <c:v>Chihuahua</c:v>
                </c:pt>
                <c:pt idx="6">
                  <c:v>Durango</c:v>
                </c:pt>
                <c:pt idx="7">
                  <c:v>Sinaloa</c:v>
                </c:pt>
                <c:pt idx="8">
                  <c:v>Michoacán </c:v>
                </c:pt>
                <c:pt idx="9">
                  <c:v>Coahuila </c:v>
                </c:pt>
                <c:pt idx="10">
                  <c:v>Yucatán</c:v>
                </c:pt>
                <c:pt idx="11">
                  <c:v>Hidalgo</c:v>
                </c:pt>
                <c:pt idx="12">
                  <c:v>Guerrero</c:v>
                </c:pt>
                <c:pt idx="13">
                  <c:v>Tlaxcala</c:v>
                </c:pt>
                <c:pt idx="14">
                  <c:v>Aguascalientes</c:v>
                </c:pt>
                <c:pt idx="15">
                  <c:v>Baja California Sur</c:v>
                </c:pt>
                <c:pt idx="16">
                  <c:v>Colima</c:v>
                </c:pt>
                <c:pt idx="17">
                  <c:v>Chiapas</c:v>
                </c:pt>
                <c:pt idx="18">
                  <c:v>Morelos</c:v>
                </c:pt>
                <c:pt idx="19">
                  <c:v>Nayarit</c:v>
                </c:pt>
                <c:pt idx="20">
                  <c:v>Sonora</c:v>
                </c:pt>
                <c:pt idx="21">
                  <c:v>Zacatecas</c:v>
                </c:pt>
                <c:pt idx="22">
                  <c:v>Querétaro</c:v>
                </c:pt>
                <c:pt idx="23">
                  <c:v>Baja California</c:v>
                </c:pt>
                <c:pt idx="24">
                  <c:v>Tamaulipas</c:v>
                </c:pt>
                <c:pt idx="25">
                  <c:v>México</c:v>
                </c:pt>
                <c:pt idx="26">
                  <c:v>San Luis Potosí</c:v>
                </c:pt>
                <c:pt idx="27">
                  <c:v>Jalisco</c:v>
                </c:pt>
                <c:pt idx="28">
                  <c:v>Oaxaca</c:v>
                </c:pt>
                <c:pt idx="29">
                  <c:v>Nuevo León</c:v>
                </c:pt>
                <c:pt idx="30">
                  <c:v>Guanajuato</c:v>
                </c:pt>
                <c:pt idx="31">
                  <c:v>Ciudad de México</c:v>
                </c:pt>
              </c:strCache>
            </c:strRef>
          </c:cat>
          <c:val>
            <c:numRef>
              <c:f>Contribuciones!$H$7:$H$38</c:f>
              <c:numCache>
                <c:formatCode>#,##0.0000</c:formatCode>
                <c:ptCount val="32"/>
                <c:pt idx="0">
                  <c:v>-1.0713328508336208</c:v>
                </c:pt>
                <c:pt idx="1">
                  <c:v>-1.0182536857538795</c:v>
                </c:pt>
                <c:pt idx="2">
                  <c:v>-0.51134815456770433</c:v>
                </c:pt>
                <c:pt idx="3">
                  <c:v>-0.14500253150812667</c:v>
                </c:pt>
                <c:pt idx="4">
                  <c:v>-0.10358279662216119</c:v>
                </c:pt>
                <c:pt idx="5">
                  <c:v>-8.5552509157692427E-2</c:v>
                </c:pt>
                <c:pt idx="6">
                  <c:v>-6.8760401486266068E-2</c:v>
                </c:pt>
                <c:pt idx="7">
                  <c:v>-4.8351037926536028E-2</c:v>
                </c:pt>
                <c:pt idx="8">
                  <c:v>-4.7382210885605153E-2</c:v>
                </c:pt>
                <c:pt idx="9">
                  <c:v>-3.5695884694580071E-2</c:v>
                </c:pt>
                <c:pt idx="10">
                  <c:v>-1.7129605760617016E-2</c:v>
                </c:pt>
                <c:pt idx="11">
                  <c:v>-1.253770868670559E-2</c:v>
                </c:pt>
                <c:pt idx="12">
                  <c:v>-3.3700948340262948E-3</c:v>
                </c:pt>
                <c:pt idx="13">
                  <c:v>2.5819936144586332E-3</c:v>
                </c:pt>
                <c:pt idx="14">
                  <c:v>2.3740439863120709E-2</c:v>
                </c:pt>
                <c:pt idx="15">
                  <c:v>2.4528746068592663E-2</c:v>
                </c:pt>
                <c:pt idx="16">
                  <c:v>2.5536250439358553E-2</c:v>
                </c:pt>
                <c:pt idx="17">
                  <c:v>3.0609129833787441E-2</c:v>
                </c:pt>
                <c:pt idx="18">
                  <c:v>3.4279384268387079E-2</c:v>
                </c:pt>
                <c:pt idx="19">
                  <c:v>3.5605144663223148E-2</c:v>
                </c:pt>
                <c:pt idx="20">
                  <c:v>3.9563704896762156E-2</c:v>
                </c:pt>
                <c:pt idx="21">
                  <c:v>4.1934994687730077E-2</c:v>
                </c:pt>
                <c:pt idx="22">
                  <c:v>9.9543562973128955E-2</c:v>
                </c:pt>
                <c:pt idx="23">
                  <c:v>0.12664337091972466</c:v>
                </c:pt>
                <c:pt idx="24">
                  <c:v>0.12869594519894229</c:v>
                </c:pt>
                <c:pt idx="25">
                  <c:v>0.12933760945964815</c:v>
                </c:pt>
                <c:pt idx="26">
                  <c:v>0.18231197580113975</c:v>
                </c:pt>
                <c:pt idx="27">
                  <c:v>0.19959874547351147</c:v>
                </c:pt>
                <c:pt idx="28">
                  <c:v>0.29677673654285597</c:v>
                </c:pt>
                <c:pt idx="29">
                  <c:v>0.31985717357733751</c:v>
                </c:pt>
                <c:pt idx="30">
                  <c:v>0.33121609010405317</c:v>
                </c:pt>
                <c:pt idx="31">
                  <c:v>0.35582817287652885</c:v>
                </c:pt>
              </c:numCache>
            </c:numRef>
          </c:val>
          <c:extLst>
            <c:ext xmlns:c16="http://schemas.microsoft.com/office/drawing/2014/chart" uri="{C3380CC4-5D6E-409C-BE32-E72D297353CC}">
              <c16:uniqueId val="{0000001F-8B38-4DCD-9BD3-0C41AF470950}"/>
            </c:ext>
          </c:extLst>
        </c:ser>
        <c:dLbls>
          <c:showLegendKey val="0"/>
          <c:showVal val="0"/>
          <c:showCatName val="0"/>
          <c:showSerName val="0"/>
          <c:showPercent val="0"/>
          <c:showBubbleSize val="0"/>
        </c:dLbls>
        <c:gapWidth val="20"/>
        <c:axId val="417155176"/>
        <c:axId val="417151648"/>
      </c:barChart>
      <c:catAx>
        <c:axId val="417155176"/>
        <c:scaling>
          <c:orientation val="minMax"/>
        </c:scaling>
        <c:delete val="0"/>
        <c:axPos val="l"/>
        <c:numFmt formatCode="General" sourceLinked="0"/>
        <c:majorTickMark val="cross"/>
        <c:minorTickMark val="none"/>
        <c:tickLblPos val="low"/>
        <c:spPr>
          <a:ln w="6350">
            <a:solidFill>
              <a:srgbClr val="C0C0C0"/>
            </a:solidFill>
          </a:ln>
        </c:spPr>
        <c:txPr>
          <a:bodyPr/>
          <a:lstStyle/>
          <a:p>
            <a:pPr>
              <a:defRPr sz="700">
                <a:solidFill>
                  <a:srgbClr val="4D565E"/>
                </a:solidFill>
              </a:defRPr>
            </a:pPr>
            <a:endParaRPr lang="es-MX"/>
          </a:p>
        </c:txPr>
        <c:crossAx val="417151648"/>
        <c:crosses val="autoZero"/>
        <c:auto val="1"/>
        <c:lblAlgn val="ctr"/>
        <c:lblOffset val="100"/>
        <c:noMultiLvlLbl val="0"/>
      </c:catAx>
      <c:valAx>
        <c:axId val="417151648"/>
        <c:scaling>
          <c:orientation val="minMax"/>
          <c:max val="0.5"/>
          <c:min val="-1.5"/>
        </c:scaling>
        <c:delete val="0"/>
        <c:axPos val="b"/>
        <c:numFmt formatCode="#,##0.00" sourceLinked="0"/>
        <c:majorTickMark val="out"/>
        <c:minorTickMark val="none"/>
        <c:tickLblPos val="nextTo"/>
        <c:spPr>
          <a:ln w="9525">
            <a:solidFill>
              <a:srgbClr val="D8551E"/>
            </a:solidFill>
          </a:ln>
        </c:spPr>
        <c:txPr>
          <a:bodyPr/>
          <a:lstStyle/>
          <a:p>
            <a:pPr>
              <a:defRPr sz="700">
                <a:solidFill>
                  <a:srgbClr val="4D565E"/>
                </a:solidFill>
              </a:defRPr>
            </a:pPr>
            <a:endParaRPr lang="es-MX"/>
          </a:p>
        </c:txPr>
        <c:crossAx val="417155176"/>
        <c:crosses val="autoZero"/>
        <c:crossBetween val="between"/>
        <c:majorUnit val="0.5"/>
      </c:valAx>
      <c:spPr>
        <a:noFill/>
        <a:ln>
          <a:noFill/>
        </a:ln>
      </c:spPr>
    </c:plotArea>
    <c:plotVisOnly val="1"/>
    <c:dispBlanksAs val="gap"/>
    <c:showDLblsOverMax val="0"/>
  </c:chart>
  <c:spPr>
    <a:noFill/>
    <a:ln w="6350">
      <a:solidFill>
        <a:srgbClr val="C0C0C0"/>
      </a:solidFill>
    </a:ln>
    <a:effectLst/>
  </c:spPr>
  <c:txPr>
    <a:bodyPr/>
    <a:lstStyle/>
    <a:p>
      <a:pPr>
        <a:defRPr sz="750">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0.94712</cdr:x>
      <cdr:y>0.68598</cdr:y>
    </cdr:from>
    <cdr:to>
      <cdr:x>1</cdr:x>
      <cdr:y>0.73664</cdr:y>
    </cdr:to>
    <cdr:grpSp>
      <cdr:nvGrpSpPr>
        <cdr:cNvPr id="12" name="Grupo 11">
          <a:extLst xmlns:a="http://schemas.openxmlformats.org/drawingml/2006/main">
            <a:ext uri="{FF2B5EF4-FFF2-40B4-BE49-F238E27FC236}">
              <a16:creationId xmlns:a16="http://schemas.microsoft.com/office/drawing/2014/main" id="{5E6E79A9-AA42-6E29-101D-62BAB790509F}"/>
            </a:ext>
          </a:extLst>
        </cdr:cNvPr>
        <cdr:cNvGrpSpPr/>
      </cdr:nvGrpSpPr>
      <cdr:grpSpPr>
        <a:xfrm xmlns:a="http://schemas.openxmlformats.org/drawingml/2006/main">
          <a:off x="2863968" y="3817843"/>
          <a:ext cx="159902" cy="281950"/>
          <a:chOff x="128136" y="0"/>
          <a:chExt cx="165954" cy="286913"/>
        </a:xfrm>
      </cdr:grpSpPr>
      <cdr:cxnSp macro="">
        <cdr:nvCxnSpPr>
          <cdr:cNvPr id="13" name="Conector recto 12">
            <a:extLst xmlns:a="http://schemas.openxmlformats.org/drawingml/2006/main">
              <a:ext uri="{FF2B5EF4-FFF2-40B4-BE49-F238E27FC236}">
                <a16:creationId xmlns:a16="http://schemas.microsoft.com/office/drawing/2014/main" id="{1C261718-A235-CD4F-7533-0CC7F23FC553}"/>
              </a:ext>
            </a:extLst>
          </cdr:cNvPr>
          <cdr:cNvCxnSpPr/>
        </cdr:nvCxnSpPr>
        <cdr:spPr>
          <a:xfrm xmlns:a="http://schemas.openxmlformats.org/drawingml/2006/main" flipH="1">
            <a:off x="128136" y="662"/>
            <a:ext cx="114175" cy="286251"/>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4" name="Conector recto 13">
            <a:extLst xmlns:a="http://schemas.openxmlformats.org/drawingml/2006/main">
              <a:ext uri="{FF2B5EF4-FFF2-40B4-BE49-F238E27FC236}">
                <a16:creationId xmlns:a16="http://schemas.microsoft.com/office/drawing/2014/main" id="{18DBC943-10DD-7810-A144-A804DB91E9FA}"/>
              </a:ext>
            </a:extLst>
          </cdr:cNvPr>
          <cdr:cNvCxnSpPr/>
        </cdr:nvCxnSpPr>
        <cdr:spPr>
          <a:xfrm xmlns:a="http://schemas.openxmlformats.org/drawingml/2006/main" flipH="1">
            <a:off x="178262" y="0"/>
            <a:ext cx="115828" cy="284107"/>
          </a:xfrm>
          <a:prstGeom xmlns:a="http://schemas.openxmlformats.org/drawingml/2006/main" prst="line">
            <a:avLst/>
          </a:prstGeom>
          <a:ln xmlns:a="http://schemas.openxmlformats.org/drawingml/2006/main" w="9525">
            <a:solidFill>
              <a:schemeClr val="bg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2.xml><?xml version="1.0" encoding="utf-8"?>
<c:userShapes xmlns:c="http://schemas.openxmlformats.org/drawingml/2006/chart">
  <cdr:relSizeAnchor xmlns:cdr="http://schemas.openxmlformats.org/drawingml/2006/chartDrawing">
    <cdr:from>
      <cdr:x>0.71227</cdr:x>
      <cdr:y>0.57879</cdr:y>
    </cdr:from>
    <cdr:to>
      <cdr:x>0.80128</cdr:x>
      <cdr:y>0.76344</cdr:y>
    </cdr:to>
    <cdr:sp macro="" textlink="">
      <cdr:nvSpPr>
        <cdr:cNvPr id="2" name="CuadroTexto 1"/>
        <cdr:cNvSpPr txBox="1"/>
      </cdr:nvSpPr>
      <cdr:spPr>
        <a:xfrm xmlns:a="http://schemas.openxmlformats.org/drawingml/2006/main">
          <a:off x="1974424" y="2085720"/>
          <a:ext cx="246732" cy="665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31182-0987-4AD7-B93D-39D45B15E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21447</Words>
  <Characters>117963</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2</cp:revision>
  <cp:lastPrinted>2026-01-23T00:15:00Z</cp:lastPrinted>
  <dcterms:created xsi:type="dcterms:W3CDTF">2026-01-23T19:08:00Z</dcterms:created>
  <dcterms:modified xsi:type="dcterms:W3CDTF">2026-01-23T19:08:00Z</dcterms:modified>
</cp:coreProperties>
</file>