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3DCA" w14:textId="3BED0135" w:rsidR="005269BE" w:rsidRDefault="005269BE" w:rsidP="00386C8E"/>
    <w:bookmarkStart w:id="0" w:name="_MON_1710873757"/>
    <w:bookmarkEnd w:id="0"/>
    <w:p w14:paraId="7EB5FBF0" w14:textId="4DF8CFCC" w:rsidR="00CF470D" w:rsidRDefault="00BE76B8" w:rsidP="00386C8E">
      <w:r>
        <w:object w:dxaOrig="14184" w:dyaOrig="17047" w14:anchorId="6A7E5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5pt;height:615.5pt" o:ole="">
            <v:imagedata r:id="rId8" o:title=""/>
          </v:shape>
          <o:OLEObject Type="Embed" ProgID="Excel.Sheet.12" ShapeID="_x0000_i1025" DrawAspect="Content" ObjectID="_1821017151" r:id="rId9"/>
        </w:object>
      </w:r>
    </w:p>
    <w:p w14:paraId="350D9B86" w14:textId="77777777" w:rsidR="004B1B7D" w:rsidRDefault="004B1B7D" w:rsidP="00386C8E"/>
    <w:p w14:paraId="39DE606D" w14:textId="77777777" w:rsidR="00772307" w:rsidRDefault="00772307" w:rsidP="00386C8E"/>
    <w:bookmarkStart w:id="1" w:name="_MON_1710875082"/>
    <w:bookmarkEnd w:id="1"/>
    <w:p w14:paraId="3EE4BB9C" w14:textId="686796F4" w:rsidR="005265D0" w:rsidRDefault="00BE76B8" w:rsidP="00AC4CEB">
      <w:pPr>
        <w:tabs>
          <w:tab w:val="left" w:pos="5387"/>
          <w:tab w:val="left" w:pos="5850"/>
        </w:tabs>
      </w:pPr>
      <w:r>
        <w:object w:dxaOrig="17865" w:dyaOrig="18195" w14:anchorId="67FE2CBB">
          <v:shape id="_x0000_i1026" type="#_x0000_t75" style="width:445.5pt;height:624pt" o:ole="">
            <v:imagedata r:id="rId10" o:title=""/>
          </v:shape>
          <o:OLEObject Type="Embed" ProgID="Excel.Sheet.12" ShapeID="_x0000_i1026" DrawAspect="Content" ObjectID="_1821017152" r:id="rId11"/>
        </w:object>
      </w:r>
    </w:p>
    <w:p w14:paraId="1D71C997" w14:textId="2867FE39" w:rsidR="00D06BDA" w:rsidRDefault="00DE2F50" w:rsidP="00927BA4">
      <w:pPr>
        <w:tabs>
          <w:tab w:val="left" w:pos="2430"/>
        </w:tabs>
      </w:pPr>
      <w:r>
        <w:lastRenderedPageBreak/>
        <w:br w:type="textWrapping" w:clear="all"/>
      </w:r>
      <w:bookmarkStart w:id="2" w:name="_MON_1710876009"/>
      <w:bookmarkEnd w:id="2"/>
      <w:r w:rsidR="00BE76B8">
        <w:object w:dxaOrig="13641" w:dyaOrig="18302" w14:anchorId="314F73A2">
          <v:shape id="_x0000_i1027" type="#_x0000_t75" style="width:492pt;height:649pt" o:ole="">
            <v:imagedata r:id="rId12" o:title=""/>
          </v:shape>
          <o:OLEObject Type="Embed" ProgID="Excel.Sheet.12" ShapeID="_x0000_i1027" DrawAspect="Content" ObjectID="_1821017153" r:id="rId13"/>
        </w:object>
      </w:r>
    </w:p>
    <w:p w14:paraId="0399468B" w14:textId="77777777" w:rsidR="00772307" w:rsidRDefault="00772307" w:rsidP="00927BA4">
      <w:pPr>
        <w:tabs>
          <w:tab w:val="left" w:pos="2430"/>
        </w:tabs>
      </w:pPr>
    </w:p>
    <w:bookmarkStart w:id="3" w:name="_MON_1710876893"/>
    <w:bookmarkEnd w:id="3"/>
    <w:p w14:paraId="7FA68173" w14:textId="425ECBF9" w:rsidR="005E0241" w:rsidRDefault="00BE76B8" w:rsidP="00927BA4">
      <w:pPr>
        <w:tabs>
          <w:tab w:val="left" w:pos="2430"/>
        </w:tabs>
      </w:pPr>
      <w:r>
        <w:object w:dxaOrig="15219" w:dyaOrig="11836" w14:anchorId="31C11C34">
          <v:shape id="_x0000_i1028" type="#_x0000_t75" style="width:497.5pt;height:579pt" o:ole="">
            <v:imagedata r:id="rId14" o:title=""/>
          </v:shape>
          <o:OLEObject Type="Embed" ProgID="Excel.Sheet.12" ShapeID="_x0000_i1028" DrawAspect="Content" ObjectID="_1821017154" r:id="rId15"/>
        </w:object>
      </w:r>
    </w:p>
    <w:p w14:paraId="21B041C6" w14:textId="77777777" w:rsidR="00217C35" w:rsidRDefault="00217C35" w:rsidP="00927BA4">
      <w:pPr>
        <w:tabs>
          <w:tab w:val="left" w:pos="2430"/>
        </w:tabs>
      </w:pPr>
    </w:p>
    <w:p w14:paraId="56F4B212" w14:textId="77777777" w:rsidR="0066441E" w:rsidRDefault="0066441E" w:rsidP="00927BA4">
      <w:pPr>
        <w:tabs>
          <w:tab w:val="left" w:pos="2430"/>
        </w:tabs>
      </w:pPr>
    </w:p>
    <w:p w14:paraId="163D7F2B" w14:textId="77777777" w:rsidR="00D5446D" w:rsidRDefault="00D5446D" w:rsidP="00927BA4">
      <w:pPr>
        <w:tabs>
          <w:tab w:val="left" w:pos="2430"/>
        </w:tabs>
      </w:pPr>
    </w:p>
    <w:p w14:paraId="6D76C1C6" w14:textId="77777777" w:rsidR="000A3323" w:rsidRDefault="000A3323" w:rsidP="00927BA4">
      <w:pPr>
        <w:tabs>
          <w:tab w:val="left" w:pos="2430"/>
        </w:tabs>
      </w:pPr>
    </w:p>
    <w:bookmarkStart w:id="4" w:name="_MON_1710877543"/>
    <w:bookmarkEnd w:id="4"/>
    <w:p w14:paraId="4B232D1A" w14:textId="11562B3A" w:rsidR="002106D1" w:rsidRDefault="00C37D65" w:rsidP="00927BA4">
      <w:pPr>
        <w:tabs>
          <w:tab w:val="left" w:pos="2430"/>
        </w:tabs>
      </w:pPr>
      <w:r>
        <w:object w:dxaOrig="14107" w:dyaOrig="14515" w14:anchorId="7DB57369">
          <v:shape id="_x0000_i1029" type="#_x0000_t75" style="width:500pt;height:509.5pt" o:ole="">
            <v:imagedata r:id="rId16" o:title=""/>
          </v:shape>
          <o:OLEObject Type="Embed" ProgID="Excel.Sheet.12" ShapeID="_x0000_i1029" DrawAspect="Content" ObjectID="_1821017155" r:id="rId17"/>
        </w:object>
      </w:r>
    </w:p>
    <w:p w14:paraId="25D0122E" w14:textId="77777777" w:rsidR="0070003A" w:rsidRDefault="0070003A" w:rsidP="00927BA4">
      <w:pPr>
        <w:tabs>
          <w:tab w:val="left" w:pos="2430"/>
        </w:tabs>
      </w:pPr>
    </w:p>
    <w:p w14:paraId="4D124111" w14:textId="77777777" w:rsidR="00E06A0E" w:rsidRDefault="00E06A0E" w:rsidP="00927BA4">
      <w:pPr>
        <w:tabs>
          <w:tab w:val="left" w:pos="2430"/>
        </w:tabs>
      </w:pPr>
    </w:p>
    <w:p w14:paraId="2AFFE39F" w14:textId="77777777" w:rsidR="00772307" w:rsidRDefault="00772307" w:rsidP="00927BA4">
      <w:pPr>
        <w:tabs>
          <w:tab w:val="left" w:pos="2430"/>
        </w:tabs>
      </w:pPr>
    </w:p>
    <w:p w14:paraId="73BBF894" w14:textId="77777777" w:rsidR="00772307" w:rsidRDefault="00772307" w:rsidP="00927BA4">
      <w:pPr>
        <w:tabs>
          <w:tab w:val="left" w:pos="2430"/>
        </w:tabs>
      </w:pPr>
    </w:p>
    <w:p w14:paraId="7EB405DB" w14:textId="77777777" w:rsidR="006B0367" w:rsidRDefault="006B0367" w:rsidP="00927BA4">
      <w:pPr>
        <w:tabs>
          <w:tab w:val="left" w:pos="2430"/>
        </w:tabs>
      </w:pPr>
    </w:p>
    <w:p w14:paraId="5B519B44" w14:textId="77777777" w:rsidR="006B0367" w:rsidRDefault="006B0367" w:rsidP="00927BA4">
      <w:pPr>
        <w:tabs>
          <w:tab w:val="left" w:pos="2430"/>
        </w:tabs>
      </w:pPr>
    </w:p>
    <w:bookmarkStart w:id="5" w:name="_MON_1710877960"/>
    <w:bookmarkEnd w:id="5"/>
    <w:p w14:paraId="503A043D" w14:textId="766FD6FA" w:rsidR="00287D01" w:rsidRDefault="00C37D65" w:rsidP="00927BA4">
      <w:pPr>
        <w:tabs>
          <w:tab w:val="left" w:pos="2430"/>
        </w:tabs>
      </w:pPr>
      <w:r>
        <w:object w:dxaOrig="18485" w:dyaOrig="18116" w14:anchorId="5CC17CA3">
          <v:shape id="_x0000_i1030" type="#_x0000_t75" style="width:480.5pt;height:573.5pt" o:ole="">
            <v:imagedata r:id="rId18" o:title=""/>
          </v:shape>
          <o:OLEObject Type="Embed" ProgID="Excel.Sheet.12" ShapeID="_x0000_i1030" DrawAspect="Content" ObjectID="_1821017156" r:id="rId19"/>
        </w:object>
      </w:r>
    </w:p>
    <w:p w14:paraId="732A43B7" w14:textId="77777777" w:rsidR="002202FB" w:rsidRDefault="002202FB" w:rsidP="00927BA4">
      <w:pPr>
        <w:tabs>
          <w:tab w:val="left" w:pos="2430"/>
        </w:tabs>
      </w:pPr>
    </w:p>
    <w:p w14:paraId="6AB56EFE" w14:textId="77777777" w:rsidR="00F409CD" w:rsidRDefault="00F409CD" w:rsidP="00927BA4">
      <w:pPr>
        <w:tabs>
          <w:tab w:val="left" w:pos="2430"/>
        </w:tabs>
      </w:pPr>
    </w:p>
    <w:bookmarkStart w:id="6" w:name="_MON_1710878808"/>
    <w:bookmarkEnd w:id="6"/>
    <w:p w14:paraId="159B73F8" w14:textId="6E53A9A6" w:rsidR="007C37A3" w:rsidRDefault="00C37D65" w:rsidP="009E4661">
      <w:pPr>
        <w:tabs>
          <w:tab w:val="left" w:pos="2430"/>
          <w:tab w:val="left" w:pos="5529"/>
        </w:tabs>
      </w:pPr>
      <w:r>
        <w:object w:dxaOrig="13332" w:dyaOrig="16676" w14:anchorId="05F27B4F">
          <v:shape id="_x0000_i1031" type="#_x0000_t75" style="width:486.5pt;height:623pt" o:ole="">
            <v:imagedata r:id="rId20" o:title=""/>
          </v:shape>
          <o:OLEObject Type="Embed" ProgID="Excel.Sheet.12" ShapeID="_x0000_i1031" DrawAspect="Content" ObjectID="_1821017157" r:id="rId21"/>
        </w:object>
      </w:r>
    </w:p>
    <w:p w14:paraId="45EE96FC" w14:textId="77777777" w:rsidR="00774FB0" w:rsidRPr="004219A4" w:rsidRDefault="00774FB0" w:rsidP="00005869">
      <w:pPr>
        <w:rPr>
          <w:rFonts w:ascii="Arial" w:hAnsi="Arial" w:cs="Arial"/>
          <w:sz w:val="18"/>
          <w:szCs w:val="18"/>
        </w:rPr>
      </w:pPr>
    </w:p>
    <w:p w14:paraId="78B61299" w14:textId="77777777" w:rsidR="005B0A72" w:rsidRDefault="005B0A72" w:rsidP="00005869">
      <w:pPr>
        <w:jc w:val="center"/>
        <w:rPr>
          <w:rFonts w:ascii="Arial" w:hAnsi="Arial" w:cs="Arial"/>
          <w:sz w:val="18"/>
          <w:szCs w:val="18"/>
        </w:rPr>
      </w:pPr>
    </w:p>
    <w:p w14:paraId="51292A3E" w14:textId="77777777" w:rsidR="00005869" w:rsidRPr="004219A4" w:rsidRDefault="00005869" w:rsidP="00005869">
      <w:pPr>
        <w:jc w:val="center"/>
        <w:rPr>
          <w:rFonts w:ascii="Arial" w:hAnsi="Arial" w:cs="Arial"/>
          <w:sz w:val="18"/>
          <w:szCs w:val="18"/>
        </w:rPr>
      </w:pPr>
      <w:r w:rsidRPr="004219A4">
        <w:rPr>
          <w:rFonts w:ascii="Arial" w:hAnsi="Arial" w:cs="Arial"/>
          <w:sz w:val="18"/>
          <w:szCs w:val="18"/>
        </w:rPr>
        <w:t>Informe de Pasivos Contingentes</w:t>
      </w:r>
    </w:p>
    <w:p w14:paraId="33466371" w14:textId="78E3DDE0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política y operatividad del Instituto de Catastro al 3</w:t>
      </w:r>
      <w:r w:rsidR="00110A10">
        <w:rPr>
          <w:rFonts w:ascii="Arial" w:hAnsi="Arial" w:cs="Arial"/>
          <w:sz w:val="18"/>
          <w:szCs w:val="18"/>
        </w:rPr>
        <w:t>0</w:t>
      </w:r>
      <w:r w:rsidR="005B0A72">
        <w:rPr>
          <w:rFonts w:ascii="Arial" w:hAnsi="Arial" w:cs="Arial"/>
          <w:sz w:val="18"/>
          <w:szCs w:val="18"/>
        </w:rPr>
        <w:t xml:space="preserve"> de </w:t>
      </w:r>
      <w:r w:rsidR="00C37D65">
        <w:rPr>
          <w:rFonts w:ascii="Arial" w:hAnsi="Arial" w:cs="Arial"/>
          <w:sz w:val="18"/>
          <w:szCs w:val="18"/>
        </w:rPr>
        <w:t>septiembre</w:t>
      </w:r>
      <w:r w:rsidR="00F409CD">
        <w:rPr>
          <w:rFonts w:ascii="Arial" w:hAnsi="Arial" w:cs="Arial"/>
          <w:sz w:val="18"/>
          <w:szCs w:val="18"/>
        </w:rPr>
        <w:t xml:space="preserve"> </w:t>
      </w:r>
      <w:r w:rsidR="00AE4D36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el Ejercicio Fiscal 202</w:t>
      </w:r>
      <w:r w:rsidR="00F409C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, no cuenta con saldos en Pasivos Contingentes, ya que se trata de un ente descentralizado tal y como lo establece el Decreto de Creación, sin embargo cabe la posibilidad que se presente alguna situación de esta naturaleza, misma que será reconocida e informada en los Estados Financieros en el momento en que nazca dicha probabilidad. </w:t>
      </w:r>
    </w:p>
    <w:p w14:paraId="2E61B481" w14:textId="1C7A535A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1BDC6BEE" w14:textId="722540D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A350E23" w14:textId="006C17C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DD8F693" w14:textId="1778319C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913E232" w14:textId="0AD97EAB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54DD2C2E" w14:textId="43F4B42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DB12FE4" w14:textId="3186F5E0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2193671F" w14:textId="2EE7D473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0ECDFE7F" w14:textId="0FA902E4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1E09382" w14:textId="7F87C24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6353F1E" w14:textId="13C3183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E8510A2" w14:textId="11DBED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D238E2E" w14:textId="18125A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3172D54" w14:textId="7B32A47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0DD395B" w14:textId="21EE524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ED6DE5B" w14:textId="241D393A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0293CB1" w14:textId="190A04E1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069F685" w14:textId="6C230A6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7540E0E" w14:textId="0EABFEB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7584F5B" w14:textId="77777777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5567328" w14:textId="77777777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55A8" w14:paraId="5FA48B38" w14:textId="77777777" w:rsidTr="007F55A8">
        <w:tc>
          <w:tcPr>
            <w:tcW w:w="4675" w:type="dxa"/>
          </w:tcPr>
          <w:p w14:paraId="751C2137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A2FE1C" w14:textId="7B6ADD2E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69B7A5AB" w14:textId="5333432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540D119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B6E55" w14:textId="436DA85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</w:tc>
      </w:tr>
      <w:tr w:rsidR="007F55A8" w14:paraId="1C057724" w14:textId="77777777" w:rsidTr="007F55A8">
        <w:tc>
          <w:tcPr>
            <w:tcW w:w="4675" w:type="dxa"/>
          </w:tcPr>
          <w:p w14:paraId="10636CBF" w14:textId="23A3505A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Rafael Rogelio Espinosa Osorio</w:t>
            </w:r>
          </w:p>
          <w:p w14:paraId="467DC31A" w14:textId="111BD26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General del I.D.C.</w:t>
            </w:r>
          </w:p>
        </w:tc>
        <w:tc>
          <w:tcPr>
            <w:tcW w:w="4675" w:type="dxa"/>
          </w:tcPr>
          <w:p w14:paraId="37C85363" w14:textId="28D73DC3" w:rsidR="007F55A8" w:rsidRDefault="005B0A72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 María Carolina Hernández Pozos</w:t>
            </w:r>
          </w:p>
          <w:p w14:paraId="61B29B87" w14:textId="4309D5EF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 de Departamento Administrativo del I.D.C.</w:t>
            </w:r>
          </w:p>
        </w:tc>
      </w:tr>
    </w:tbl>
    <w:p w14:paraId="108CAB83" w14:textId="6349F49B" w:rsidR="00005869" w:rsidRDefault="00005869" w:rsidP="007F55A8">
      <w:pPr>
        <w:jc w:val="center"/>
        <w:rPr>
          <w:rFonts w:ascii="Arial" w:hAnsi="Arial" w:cs="Arial"/>
          <w:sz w:val="18"/>
          <w:szCs w:val="18"/>
        </w:rPr>
      </w:pPr>
    </w:p>
    <w:p w14:paraId="6F687EB3" w14:textId="77777777" w:rsidR="00E90C87" w:rsidRPr="00E04013" w:rsidRDefault="00E90C87" w:rsidP="00005869">
      <w:pPr>
        <w:jc w:val="both"/>
        <w:rPr>
          <w:rFonts w:ascii="Soberana Sans Light" w:hAnsi="Soberana Sans Light"/>
          <w:b/>
        </w:rPr>
      </w:pPr>
    </w:p>
    <w:p w14:paraId="694DE293" w14:textId="77777777" w:rsidR="00F409CD" w:rsidRDefault="00F409CD" w:rsidP="00E04013">
      <w:pPr>
        <w:jc w:val="center"/>
        <w:rPr>
          <w:rFonts w:ascii="Soberana Sans Light" w:hAnsi="Soberana Sans Light"/>
          <w:b/>
        </w:rPr>
      </w:pPr>
    </w:p>
    <w:p w14:paraId="1F953FBB" w14:textId="77777777" w:rsidR="009E6F61" w:rsidRDefault="009E6F61" w:rsidP="00E04013">
      <w:pPr>
        <w:jc w:val="center"/>
        <w:rPr>
          <w:rFonts w:ascii="Soberana Sans Light" w:hAnsi="Soberana Sans Light"/>
          <w:b/>
        </w:rPr>
      </w:pPr>
    </w:p>
    <w:p w14:paraId="2BFA21E5" w14:textId="0139A77D" w:rsidR="00A630CE" w:rsidRDefault="00E04013" w:rsidP="00E04013">
      <w:pPr>
        <w:jc w:val="center"/>
        <w:rPr>
          <w:rFonts w:ascii="Soberana Sans Light" w:hAnsi="Soberana Sans Light"/>
          <w:b/>
        </w:rPr>
      </w:pPr>
      <w:r w:rsidRPr="00E04013">
        <w:rPr>
          <w:rFonts w:ascii="Soberana Sans Light" w:hAnsi="Soberana Sans Light"/>
          <w:b/>
        </w:rPr>
        <w:t>INSTITUTO DE CATASTRO</w:t>
      </w:r>
      <w:r>
        <w:rPr>
          <w:rFonts w:ascii="Soberana Sans Light" w:hAnsi="Soberana Sans Light"/>
          <w:b/>
        </w:rPr>
        <w:t xml:space="preserve"> DEL ESTADO DE TLAXCALA</w:t>
      </w:r>
    </w:p>
    <w:p w14:paraId="3B993C2B" w14:textId="2C28E63B" w:rsidR="00E04013" w:rsidRDefault="00E04013" w:rsidP="00E04013">
      <w:pPr>
        <w:jc w:val="center"/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 xml:space="preserve">DEL 01 DE ENERO AL </w:t>
      </w:r>
      <w:r w:rsidR="002106D1">
        <w:rPr>
          <w:rFonts w:ascii="Soberana Sans Light" w:hAnsi="Soberana Sans Light"/>
          <w:b/>
        </w:rPr>
        <w:t>3</w:t>
      </w:r>
      <w:r w:rsidR="00110A10">
        <w:rPr>
          <w:rFonts w:ascii="Soberana Sans Light" w:hAnsi="Soberana Sans Light"/>
          <w:b/>
        </w:rPr>
        <w:t>0</w:t>
      </w:r>
      <w:r>
        <w:rPr>
          <w:rFonts w:ascii="Soberana Sans Light" w:hAnsi="Soberana Sans Light"/>
          <w:b/>
        </w:rPr>
        <w:t xml:space="preserve"> DE </w:t>
      </w:r>
      <w:r w:rsidR="00C37D65">
        <w:rPr>
          <w:rFonts w:ascii="Soberana Sans Light" w:hAnsi="Soberana Sans Light"/>
          <w:b/>
        </w:rPr>
        <w:t>SEPTIEMBRE</w:t>
      </w:r>
      <w:r w:rsidR="00110A10">
        <w:rPr>
          <w:rFonts w:ascii="Soberana Sans Light" w:hAnsi="Soberana Sans Light"/>
          <w:b/>
        </w:rPr>
        <w:t xml:space="preserve"> </w:t>
      </w:r>
      <w:r>
        <w:rPr>
          <w:rFonts w:ascii="Soberana Sans Light" w:hAnsi="Soberana Sans Light"/>
          <w:b/>
        </w:rPr>
        <w:t>DE 202</w:t>
      </w:r>
      <w:r w:rsidR="00F409CD">
        <w:rPr>
          <w:rFonts w:ascii="Soberana Sans Light" w:hAnsi="Soberana Sans Light"/>
          <w:b/>
        </w:rPr>
        <w:t>5</w:t>
      </w:r>
    </w:p>
    <w:p w14:paraId="425467EA" w14:textId="3F0B62EF" w:rsidR="00FC5E9D" w:rsidRPr="00FC5E9D" w:rsidRDefault="00FC5E9D" w:rsidP="00FA57A1">
      <w:pPr>
        <w:pStyle w:val="Prrafodelista"/>
        <w:numPr>
          <w:ilvl w:val="0"/>
          <w:numId w:val="15"/>
        </w:numPr>
        <w:jc w:val="center"/>
        <w:rPr>
          <w:rFonts w:ascii="Soberana Sans Light" w:hAnsi="Soberana Sans Light"/>
          <w:b/>
        </w:rPr>
      </w:pPr>
      <w:r w:rsidRPr="00FC5E9D">
        <w:rPr>
          <w:rFonts w:ascii="Soberana Sans Light" w:hAnsi="Soberana Sans Light"/>
          <w:b/>
        </w:rPr>
        <w:t>NOTAS A LOS ESTADOS FINANCIEROS</w:t>
      </w:r>
    </w:p>
    <w:p w14:paraId="5227C1FC" w14:textId="5A49C2ED" w:rsidR="00B149B9" w:rsidRPr="000F6B3C" w:rsidRDefault="001B2D8B" w:rsidP="00B149B9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0F6B3C">
        <w:rPr>
          <w:b/>
          <w:szCs w:val="18"/>
        </w:rPr>
        <w:t xml:space="preserve">a) </w:t>
      </w:r>
      <w:r w:rsidR="00B149B9">
        <w:rPr>
          <w:b/>
          <w:szCs w:val="18"/>
        </w:rPr>
        <w:t>N</w:t>
      </w:r>
      <w:r w:rsidR="00B149B9" w:rsidRPr="000F6B3C">
        <w:rPr>
          <w:b/>
          <w:szCs w:val="18"/>
          <w:lang w:val="es-MX"/>
        </w:rPr>
        <w:t>OTAS DE GESTIÓN ADMINISTRATIVA</w:t>
      </w:r>
    </w:p>
    <w:p w14:paraId="3A033697" w14:textId="77777777" w:rsidR="00B149B9" w:rsidRDefault="00B149B9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28520211" w14:textId="3D33A855" w:rsidR="00B149B9" w:rsidRDefault="00B149B9" w:rsidP="003B39C5">
      <w:pPr>
        <w:pStyle w:val="Texto"/>
        <w:numPr>
          <w:ilvl w:val="0"/>
          <w:numId w:val="7"/>
        </w:numPr>
        <w:spacing w:after="0" w:line="240" w:lineRule="exact"/>
        <w:rPr>
          <w:szCs w:val="18"/>
          <w:lang w:val="es-MX"/>
        </w:rPr>
      </w:pPr>
      <w:r w:rsidRPr="000F6B3C">
        <w:rPr>
          <w:b/>
          <w:szCs w:val="18"/>
          <w:lang w:val="es-MX"/>
        </w:rPr>
        <w:t>Autorización e Historia</w:t>
      </w:r>
    </w:p>
    <w:p w14:paraId="6A426FA6" w14:textId="77777777" w:rsidR="00B149B9" w:rsidRPr="000F6B3C" w:rsidRDefault="00B149B9" w:rsidP="00B149B9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informará sobre:</w:t>
      </w:r>
    </w:p>
    <w:p w14:paraId="11C229EB" w14:textId="77777777" w:rsidR="00B149B9" w:rsidRPr="000F6B3C" w:rsidRDefault="00B149B9" w:rsidP="00B149B9">
      <w:pPr>
        <w:pStyle w:val="INCISO"/>
        <w:spacing w:after="0" w:line="240" w:lineRule="exact"/>
      </w:pPr>
      <w:r w:rsidRPr="000F6B3C">
        <w:t>a)</w:t>
      </w:r>
      <w:r w:rsidRPr="000F6B3C">
        <w:tab/>
        <w:t>El Instituto de Catastro fu</w:t>
      </w:r>
      <w:r>
        <w:t>e creado el 13 de enero de 2005</w:t>
      </w:r>
      <w:r w:rsidRPr="000F6B3C">
        <w:t>, tal y como lo establece el Decreto que crea el Instituto de Catastro del Estado de Tlaxcala, publicado en el Periódico Oficial del Gobierno del Estado de Tlaxcala.</w:t>
      </w:r>
    </w:p>
    <w:p w14:paraId="60CEE473" w14:textId="77777777" w:rsidR="00B149B9" w:rsidRDefault="00B149B9" w:rsidP="00B149B9">
      <w:pPr>
        <w:pStyle w:val="INCISO"/>
        <w:spacing w:after="0" w:line="240" w:lineRule="exact"/>
      </w:pPr>
      <w:r w:rsidRPr="000F6B3C">
        <w:t>b)</w:t>
      </w:r>
      <w:r w:rsidRPr="000F6B3C">
        <w:tab/>
        <w:t>No ha presentado cambios en su estructura.</w:t>
      </w:r>
    </w:p>
    <w:p w14:paraId="0DC1C21C" w14:textId="77777777" w:rsidR="00B149B9" w:rsidRDefault="00B149B9" w:rsidP="00B149B9">
      <w:pPr>
        <w:pStyle w:val="INCISO"/>
        <w:spacing w:after="0" w:line="240" w:lineRule="exact"/>
        <w:ind w:left="0" w:firstLine="0"/>
      </w:pPr>
    </w:p>
    <w:p w14:paraId="494E4602" w14:textId="35062878" w:rsidR="00B149B9" w:rsidRDefault="00B149B9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Panorama Económico y Financiero</w:t>
      </w:r>
    </w:p>
    <w:p w14:paraId="484B5A49" w14:textId="77777777" w:rsidR="00B149B9" w:rsidRPr="000F6B3C" w:rsidRDefault="00B149B9" w:rsidP="00B149B9">
      <w:pPr>
        <w:pStyle w:val="Texto"/>
        <w:spacing w:after="0" w:line="240" w:lineRule="exact"/>
        <w:ind w:left="648" w:firstLine="0"/>
        <w:rPr>
          <w:b/>
          <w:szCs w:val="18"/>
          <w:lang w:val="es-MX"/>
        </w:rPr>
      </w:pPr>
    </w:p>
    <w:p w14:paraId="5AE08E92" w14:textId="5CC9531E" w:rsidR="00B149B9" w:rsidRDefault="00B149B9" w:rsidP="00B149B9">
      <w:pPr>
        <w:ind w:left="426"/>
        <w:jc w:val="both"/>
        <w:rPr>
          <w:b/>
          <w:szCs w:val="20"/>
        </w:rPr>
      </w:pP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>El Instituto de Catastro del Estado de Tlaxcala cuenta con un presupuesto autorizado</w:t>
      </w:r>
      <w:r w:rsidR="00F409CD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para el ejercicio fiscal 2025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por un importe de</w:t>
      </w: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$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11,026,748.00 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(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>Once millones veintiséis mil setecientos cuarenta y ocho p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esos 00/100 M.N.)</w:t>
      </w:r>
      <w:r w:rsidRPr="00281A15">
        <w:rPr>
          <w:rFonts w:ascii="Arial" w:eastAsia="Times New Roman" w:hAnsi="Arial" w:cs="Arial"/>
          <w:b/>
          <w:sz w:val="18"/>
          <w:szCs w:val="18"/>
          <w:lang w:val="es-ES" w:eastAsia="es-ES"/>
        </w:rPr>
        <w:t>,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mismo que se encuentra en </w:t>
      </w:r>
      <w:r w:rsidRPr="0099184A">
        <w:rPr>
          <w:b/>
          <w:szCs w:val="20"/>
        </w:rPr>
        <w:t>publicado</w:t>
      </w:r>
      <w:r>
        <w:rPr>
          <w:b/>
          <w:szCs w:val="20"/>
        </w:rPr>
        <w:t xml:space="preserve"> en el periódico oficia</w:t>
      </w:r>
      <w:r w:rsidR="00F409CD">
        <w:rPr>
          <w:b/>
          <w:szCs w:val="20"/>
        </w:rPr>
        <w:t>l el Decreto No. 117 de fecha 13</w:t>
      </w:r>
      <w:r>
        <w:rPr>
          <w:b/>
          <w:szCs w:val="20"/>
        </w:rPr>
        <w:t xml:space="preserve"> de diciembre de 202</w:t>
      </w:r>
      <w:r w:rsidR="00F409CD">
        <w:rPr>
          <w:b/>
          <w:szCs w:val="20"/>
        </w:rPr>
        <w:t>4</w:t>
      </w:r>
      <w:r>
        <w:rPr>
          <w:b/>
          <w:szCs w:val="20"/>
        </w:rPr>
        <w:t>.</w:t>
      </w:r>
    </w:p>
    <w:p w14:paraId="6DC9F9A5" w14:textId="3F32EC0B" w:rsidR="00B94935" w:rsidRDefault="00B94935" w:rsidP="00B94935">
      <w:pPr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El presupuesto anual del Instituto de Catastro </w:t>
      </w:r>
      <w:r w:rsidR="003C60F1">
        <w:rPr>
          <w:rFonts w:ascii="Arial" w:eastAsia="Times New Roman" w:hAnsi="Arial" w:cs="Arial"/>
          <w:sz w:val="18"/>
          <w:szCs w:val="18"/>
          <w:lang w:val="es-ES" w:eastAsia="es-ES"/>
        </w:rPr>
        <w:t>fue modificado por ampliación</w:t>
      </w:r>
      <w:r w:rsidR="0096420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presupuestal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>por la cantidad de $</w:t>
      </w:r>
      <w:r w:rsidR="003C60F1">
        <w:rPr>
          <w:rFonts w:ascii="Arial" w:eastAsia="Times New Roman" w:hAnsi="Arial" w:cs="Arial"/>
          <w:sz w:val="18"/>
          <w:szCs w:val="18"/>
          <w:lang w:val="es-ES" w:eastAsia="es-ES"/>
        </w:rPr>
        <w:t>110,427.00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(</w:t>
      </w:r>
      <w:r w:rsidR="00964209">
        <w:rPr>
          <w:rFonts w:ascii="Arial" w:eastAsia="Times New Roman" w:hAnsi="Arial" w:cs="Arial"/>
          <w:sz w:val="18"/>
          <w:szCs w:val="18"/>
          <w:lang w:val="es-ES" w:eastAsia="es-ES"/>
        </w:rPr>
        <w:t>Ci</w:t>
      </w:r>
      <w:r w:rsidR="004965A8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ento </w:t>
      </w:r>
      <w:r w:rsidR="003C60F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diez mil cuatrocientos veintisiete </w:t>
      </w:r>
      <w:r w:rsidR="004965A8">
        <w:rPr>
          <w:rFonts w:ascii="Arial" w:eastAsia="Times New Roman" w:hAnsi="Arial" w:cs="Arial"/>
          <w:sz w:val="18"/>
          <w:szCs w:val="18"/>
          <w:lang w:val="es-ES" w:eastAsia="es-ES"/>
        </w:rPr>
        <w:t xml:space="preserve">pesos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00/100 M.N), por lo que el </w:t>
      </w:r>
      <w:r w:rsidR="001133D7" w:rsidRPr="001133D7">
        <w:rPr>
          <w:rFonts w:ascii="Arial" w:eastAsia="Times New Roman" w:hAnsi="Arial" w:cs="Arial"/>
          <w:sz w:val="18"/>
          <w:szCs w:val="18"/>
          <w:lang w:val="es-ES" w:eastAsia="es-ES"/>
        </w:rPr>
        <w:t>presupuesto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modificado al </w:t>
      </w:r>
      <w:r w:rsidR="004965A8">
        <w:rPr>
          <w:rFonts w:ascii="Arial" w:eastAsia="Times New Roman" w:hAnsi="Arial" w:cs="Arial"/>
          <w:sz w:val="18"/>
          <w:szCs w:val="18"/>
          <w:lang w:val="es-ES" w:eastAsia="es-ES"/>
        </w:rPr>
        <w:t>30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de </w:t>
      </w:r>
      <w:r w:rsidR="003C60F1">
        <w:rPr>
          <w:rFonts w:ascii="Arial" w:eastAsia="Times New Roman" w:hAnsi="Arial" w:cs="Arial"/>
          <w:sz w:val="18"/>
          <w:szCs w:val="18"/>
          <w:lang w:val="es-ES" w:eastAsia="es-ES"/>
        </w:rPr>
        <w:t>septiembre</w:t>
      </w:r>
      <w:r w:rsidR="004965A8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E13B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de 2025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es por el importe de 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$</w:t>
      </w:r>
      <w:r w:rsidR="003C60F1">
        <w:rPr>
          <w:rFonts w:ascii="Arial" w:eastAsia="Times New Roman" w:hAnsi="Arial" w:cs="Arial"/>
          <w:b/>
          <w:sz w:val="18"/>
          <w:szCs w:val="18"/>
          <w:lang w:val="es-ES" w:eastAsia="es-ES"/>
        </w:rPr>
        <w:t>11</w:t>
      </w:r>
      <w:proofErr w:type="gramStart"/>
      <w:r w:rsidR="003C60F1">
        <w:rPr>
          <w:rFonts w:ascii="Arial" w:eastAsia="Times New Roman" w:hAnsi="Arial" w:cs="Arial"/>
          <w:b/>
          <w:sz w:val="18"/>
          <w:szCs w:val="18"/>
          <w:lang w:val="es-ES" w:eastAsia="es-ES"/>
        </w:rPr>
        <w:t>,137,175.00</w:t>
      </w:r>
      <w:proofErr w:type="gramEnd"/>
      <w:r w:rsidR="00964209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(</w:t>
      </w:r>
      <w:r w:rsidR="003C60F1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Once millones ciento treinta y siete mil ciento setenta y cinco 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>p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esos 00/100 M.N.)</w:t>
      </w:r>
      <w:r w:rsid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; </w:t>
      </w:r>
      <w:r w:rsidR="001133D7" w:rsidRPr="001133D7">
        <w:rPr>
          <w:rFonts w:ascii="Arial" w:eastAsia="Times New Roman" w:hAnsi="Arial" w:cs="Arial"/>
          <w:sz w:val="18"/>
          <w:szCs w:val="18"/>
          <w:lang w:val="es-ES" w:eastAsia="es-ES"/>
        </w:rPr>
        <w:t>quedando como a continuación se detalla:</w:t>
      </w:r>
    </w:p>
    <w:tbl>
      <w:tblPr>
        <w:tblStyle w:val="Tablaconcuadrcula"/>
        <w:tblW w:w="9603" w:type="dxa"/>
        <w:tblLook w:val="04A0" w:firstRow="1" w:lastRow="0" w:firstColumn="1" w:lastColumn="0" w:noHBand="0" w:noVBand="1"/>
      </w:tblPr>
      <w:tblGrid>
        <w:gridCol w:w="661"/>
        <w:gridCol w:w="1348"/>
        <w:gridCol w:w="987"/>
        <w:gridCol w:w="1512"/>
        <w:gridCol w:w="1321"/>
        <w:gridCol w:w="1240"/>
        <w:gridCol w:w="1240"/>
        <w:gridCol w:w="1294"/>
      </w:tblGrid>
      <w:tr w:rsidR="00032C36" w:rsidRPr="00497078" w14:paraId="793A063D" w14:textId="65144D20" w:rsidTr="00E13B06">
        <w:trPr>
          <w:trHeight w:val="198"/>
        </w:trPr>
        <w:tc>
          <w:tcPr>
            <w:tcW w:w="661" w:type="dxa"/>
            <w:vMerge w:val="restart"/>
            <w:shd w:val="clear" w:color="auto" w:fill="D9D9D9" w:themeFill="background1" w:themeFillShade="D9"/>
          </w:tcPr>
          <w:p w14:paraId="436F4505" w14:textId="47542890" w:rsidR="001133D7" w:rsidRPr="00497078" w:rsidRDefault="001133D7" w:rsidP="00B949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1348" w:type="dxa"/>
            <w:vMerge w:val="restart"/>
            <w:shd w:val="clear" w:color="auto" w:fill="D9D9D9" w:themeFill="background1" w:themeFillShade="D9"/>
          </w:tcPr>
          <w:p w14:paraId="1EB7A4AA" w14:textId="1F52BAC7" w:rsidR="001133D7" w:rsidRPr="00497078" w:rsidRDefault="001133D7" w:rsidP="00B949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987" w:type="dxa"/>
            <w:vMerge w:val="restart"/>
            <w:shd w:val="clear" w:color="auto" w:fill="D9D9D9" w:themeFill="background1" w:themeFillShade="D9"/>
          </w:tcPr>
          <w:p w14:paraId="0634CB0E" w14:textId="6DFCD0E4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Fuente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</w:tcPr>
          <w:p w14:paraId="325E7B87" w14:textId="0E37A982" w:rsidR="001133D7" w:rsidRPr="00497078" w:rsidRDefault="001133D7" w:rsidP="00B949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Sub-Fuente</w:t>
            </w:r>
          </w:p>
        </w:tc>
        <w:tc>
          <w:tcPr>
            <w:tcW w:w="5095" w:type="dxa"/>
            <w:gridSpan w:val="4"/>
            <w:shd w:val="clear" w:color="auto" w:fill="D9D9D9" w:themeFill="background1" w:themeFillShade="D9"/>
          </w:tcPr>
          <w:p w14:paraId="56DFB1A5" w14:textId="14AFB029" w:rsidR="001133D7" w:rsidRPr="00497078" w:rsidRDefault="001133D7" w:rsidP="001133D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Presupuesto</w:t>
            </w:r>
          </w:p>
        </w:tc>
      </w:tr>
      <w:tr w:rsidR="00E13B06" w:rsidRPr="00497078" w14:paraId="00D94580" w14:textId="77777777" w:rsidTr="00E13B06">
        <w:trPr>
          <w:trHeight w:val="136"/>
        </w:trPr>
        <w:tc>
          <w:tcPr>
            <w:tcW w:w="661" w:type="dxa"/>
            <w:vMerge/>
            <w:shd w:val="clear" w:color="auto" w:fill="D9D9D9" w:themeFill="background1" w:themeFillShade="D9"/>
          </w:tcPr>
          <w:p w14:paraId="45206AC7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48" w:type="dxa"/>
            <w:vMerge/>
            <w:shd w:val="clear" w:color="auto" w:fill="D9D9D9" w:themeFill="background1" w:themeFillShade="D9"/>
          </w:tcPr>
          <w:p w14:paraId="07AD2140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</w:tcPr>
          <w:p w14:paraId="17E13645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12" w:type="dxa"/>
            <w:vMerge/>
            <w:shd w:val="clear" w:color="auto" w:fill="D9D9D9" w:themeFill="background1" w:themeFillShade="D9"/>
          </w:tcPr>
          <w:p w14:paraId="35EBBA60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2F59CF64" w14:textId="3B085029" w:rsidR="001133D7" w:rsidRPr="00497078" w:rsidRDefault="001133D7" w:rsidP="0077230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Autorizado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2375F2FE" w14:textId="3FA1B43A" w:rsidR="001133D7" w:rsidRPr="00497078" w:rsidRDefault="001133D7" w:rsidP="0077230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Ampliación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EF7AE92" w14:textId="398BE9BD" w:rsidR="001133D7" w:rsidRPr="00497078" w:rsidRDefault="001133D7" w:rsidP="0077230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Reducción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EF10EFF" w14:textId="4792DB3D" w:rsidR="001133D7" w:rsidRPr="00497078" w:rsidRDefault="001133D7" w:rsidP="001133D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Modificado.</w:t>
            </w:r>
          </w:p>
        </w:tc>
      </w:tr>
      <w:tr w:rsidR="00E13B06" w:rsidRPr="00497078" w14:paraId="545D72D3" w14:textId="54E5F538" w:rsidTr="00E13B06">
        <w:trPr>
          <w:trHeight w:val="507"/>
        </w:trPr>
        <w:tc>
          <w:tcPr>
            <w:tcW w:w="661" w:type="dxa"/>
          </w:tcPr>
          <w:p w14:paraId="420E451A" w14:textId="18440D7C" w:rsidR="001133D7" w:rsidRPr="00497078" w:rsidRDefault="00E13B06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91/2J</w:t>
            </w:r>
          </w:p>
        </w:tc>
        <w:tc>
          <w:tcPr>
            <w:tcW w:w="1348" w:type="dxa"/>
          </w:tcPr>
          <w:p w14:paraId="387DC280" w14:textId="511E9543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Modernización y Vinculación Catastral</w:t>
            </w:r>
          </w:p>
        </w:tc>
        <w:tc>
          <w:tcPr>
            <w:tcW w:w="987" w:type="dxa"/>
          </w:tcPr>
          <w:p w14:paraId="4B9B69FD" w14:textId="36878BDD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  <w:r w:rsidR="00032C36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Recursos Federales</w:t>
            </w:r>
          </w:p>
        </w:tc>
        <w:tc>
          <w:tcPr>
            <w:tcW w:w="1512" w:type="dxa"/>
          </w:tcPr>
          <w:p w14:paraId="243DDF4F" w14:textId="2C5C4C83" w:rsidR="001133D7" w:rsidRPr="00497078" w:rsidRDefault="001133D7" w:rsidP="00032C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 w:rsidR="00032C36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/01 Fondo General de Participaciones</w:t>
            </w:r>
          </w:p>
        </w:tc>
        <w:tc>
          <w:tcPr>
            <w:tcW w:w="1321" w:type="dxa"/>
          </w:tcPr>
          <w:p w14:paraId="74ACAFB7" w14:textId="3757CE11" w:rsidR="001133D7" w:rsidRPr="00497078" w:rsidRDefault="00E13B0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7,801,464.00</w:t>
            </w:r>
          </w:p>
        </w:tc>
        <w:tc>
          <w:tcPr>
            <w:tcW w:w="1240" w:type="dxa"/>
          </w:tcPr>
          <w:p w14:paraId="1FDDED67" w14:textId="650A79A7" w:rsidR="001133D7" w:rsidRPr="00497078" w:rsidRDefault="00032C3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</w:t>
            </w:r>
            <w:r w:rsidR="00497078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.00</w:t>
            </w:r>
          </w:p>
        </w:tc>
        <w:tc>
          <w:tcPr>
            <w:tcW w:w="1240" w:type="dxa"/>
          </w:tcPr>
          <w:p w14:paraId="1FE94DE1" w14:textId="5DE9F281" w:rsidR="001133D7" w:rsidRPr="00497078" w:rsidRDefault="00032C3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</w:t>
            </w:r>
            <w:r w:rsidR="00497078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.00</w:t>
            </w:r>
          </w:p>
        </w:tc>
        <w:tc>
          <w:tcPr>
            <w:tcW w:w="1294" w:type="dxa"/>
          </w:tcPr>
          <w:p w14:paraId="14FD5969" w14:textId="62405372" w:rsidR="001133D7" w:rsidRPr="00497078" w:rsidRDefault="00E13B0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7,801,464.00</w:t>
            </w:r>
          </w:p>
        </w:tc>
      </w:tr>
      <w:tr w:rsidR="00E13B06" w:rsidRPr="00497078" w14:paraId="36028464" w14:textId="77777777" w:rsidTr="00E13B06">
        <w:trPr>
          <w:trHeight w:val="854"/>
        </w:trPr>
        <w:tc>
          <w:tcPr>
            <w:tcW w:w="661" w:type="dxa"/>
          </w:tcPr>
          <w:p w14:paraId="1AFE727B" w14:textId="1732E997" w:rsidR="001133D7" w:rsidRPr="00497078" w:rsidRDefault="00E13B06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91/2J</w:t>
            </w:r>
          </w:p>
        </w:tc>
        <w:tc>
          <w:tcPr>
            <w:tcW w:w="1348" w:type="dxa"/>
          </w:tcPr>
          <w:p w14:paraId="2E7A9647" w14:textId="47381348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Modernización y Vinculación Catastral</w:t>
            </w:r>
          </w:p>
        </w:tc>
        <w:tc>
          <w:tcPr>
            <w:tcW w:w="987" w:type="dxa"/>
          </w:tcPr>
          <w:p w14:paraId="2FE3E11C" w14:textId="42FDD1C8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14</w:t>
            </w:r>
            <w:r w:rsidR="00032C36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Ingresos Propios</w:t>
            </w:r>
          </w:p>
        </w:tc>
        <w:tc>
          <w:tcPr>
            <w:tcW w:w="1512" w:type="dxa"/>
          </w:tcPr>
          <w:p w14:paraId="543FB54E" w14:textId="745F4488" w:rsidR="001133D7" w:rsidRPr="00497078" w:rsidRDefault="00032C36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714/Ju Ingresos por ventas de bienes de organismos descentralizados</w:t>
            </w:r>
          </w:p>
        </w:tc>
        <w:tc>
          <w:tcPr>
            <w:tcW w:w="1321" w:type="dxa"/>
          </w:tcPr>
          <w:p w14:paraId="2B1B4BC7" w14:textId="55EB4890" w:rsidR="001133D7" w:rsidRPr="00497078" w:rsidRDefault="00E13B0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2,618,834.00</w:t>
            </w:r>
          </w:p>
        </w:tc>
        <w:tc>
          <w:tcPr>
            <w:tcW w:w="1240" w:type="dxa"/>
          </w:tcPr>
          <w:p w14:paraId="5136CDFC" w14:textId="67799810" w:rsidR="001133D7" w:rsidRPr="00497078" w:rsidRDefault="003C60F1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C60F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306,771.00</w:t>
            </w:r>
          </w:p>
        </w:tc>
        <w:tc>
          <w:tcPr>
            <w:tcW w:w="1240" w:type="dxa"/>
          </w:tcPr>
          <w:p w14:paraId="3E891B55" w14:textId="1320CF71" w:rsidR="001133D7" w:rsidRPr="00497078" w:rsidRDefault="003C60F1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C60F1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196,344.00</w:t>
            </w:r>
          </w:p>
        </w:tc>
        <w:tc>
          <w:tcPr>
            <w:tcW w:w="1294" w:type="dxa"/>
          </w:tcPr>
          <w:p w14:paraId="2CEA5D1A" w14:textId="0D9F05AD" w:rsidR="001133D7" w:rsidRPr="00497078" w:rsidRDefault="00AC5247" w:rsidP="003C60F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2,</w:t>
            </w:r>
            <w:r w:rsidR="003C60F1">
              <w:rPr>
                <w:rFonts w:ascii="Arial" w:hAnsi="Arial" w:cs="Arial"/>
                <w:sz w:val="16"/>
                <w:szCs w:val="16"/>
              </w:rPr>
              <w:t>729,261.00</w:t>
            </w:r>
          </w:p>
        </w:tc>
      </w:tr>
      <w:tr w:rsidR="00E13B06" w:rsidRPr="00497078" w14:paraId="467DA77B" w14:textId="22F770C6" w:rsidTr="00E13B06">
        <w:trPr>
          <w:trHeight w:val="507"/>
        </w:trPr>
        <w:tc>
          <w:tcPr>
            <w:tcW w:w="661" w:type="dxa"/>
          </w:tcPr>
          <w:p w14:paraId="200AEA70" w14:textId="3AA62311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94/2M</w:t>
            </w:r>
          </w:p>
        </w:tc>
        <w:tc>
          <w:tcPr>
            <w:tcW w:w="1348" w:type="dxa"/>
          </w:tcPr>
          <w:p w14:paraId="5DD07FBC" w14:textId="724B72D7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Control Administrativo del I.D.C.</w:t>
            </w:r>
          </w:p>
        </w:tc>
        <w:tc>
          <w:tcPr>
            <w:tcW w:w="987" w:type="dxa"/>
          </w:tcPr>
          <w:p w14:paraId="22C14037" w14:textId="24697F7B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 Recursos Federales</w:t>
            </w:r>
          </w:p>
        </w:tc>
        <w:tc>
          <w:tcPr>
            <w:tcW w:w="1512" w:type="dxa"/>
          </w:tcPr>
          <w:p w14:paraId="6AC94D8D" w14:textId="7E4C611B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1/01 Fondo General de Participaciones</w:t>
            </w:r>
          </w:p>
        </w:tc>
        <w:tc>
          <w:tcPr>
            <w:tcW w:w="1321" w:type="dxa"/>
          </w:tcPr>
          <w:p w14:paraId="47B116AE" w14:textId="4F76E4B7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535,050.00</w:t>
            </w:r>
          </w:p>
        </w:tc>
        <w:tc>
          <w:tcPr>
            <w:tcW w:w="1240" w:type="dxa"/>
          </w:tcPr>
          <w:p w14:paraId="6FBFDFCF" w14:textId="73091BD9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40" w:type="dxa"/>
          </w:tcPr>
          <w:p w14:paraId="2EF9F6CB" w14:textId="3F7E3DA2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94" w:type="dxa"/>
            <w:shd w:val="clear" w:color="auto" w:fill="auto"/>
          </w:tcPr>
          <w:p w14:paraId="09AE19E6" w14:textId="6F8C7D4C" w:rsidR="00E13B06" w:rsidRPr="00E13B06" w:rsidRDefault="00E13B06" w:rsidP="00E13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535,050.00</w:t>
            </w:r>
          </w:p>
        </w:tc>
      </w:tr>
      <w:tr w:rsidR="00E13B06" w:rsidRPr="00497078" w14:paraId="4119E33F" w14:textId="0DB39915" w:rsidTr="00E13B06">
        <w:trPr>
          <w:trHeight w:val="680"/>
        </w:trPr>
        <w:tc>
          <w:tcPr>
            <w:tcW w:w="661" w:type="dxa"/>
          </w:tcPr>
          <w:p w14:paraId="5D8EFC70" w14:textId="089C44F1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93/2L</w:t>
            </w:r>
          </w:p>
        </w:tc>
        <w:tc>
          <w:tcPr>
            <w:tcW w:w="1348" w:type="dxa"/>
          </w:tcPr>
          <w:p w14:paraId="51773DF6" w14:textId="7A784C37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Actualización del Padrón y Cartografía Catastral</w:t>
            </w:r>
          </w:p>
        </w:tc>
        <w:tc>
          <w:tcPr>
            <w:tcW w:w="987" w:type="dxa"/>
          </w:tcPr>
          <w:p w14:paraId="6690E812" w14:textId="61F5685B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 Recursos Federales</w:t>
            </w:r>
          </w:p>
        </w:tc>
        <w:tc>
          <w:tcPr>
            <w:tcW w:w="1512" w:type="dxa"/>
          </w:tcPr>
          <w:p w14:paraId="6023F558" w14:textId="1EB158E8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1/01 Fondo General de Participaciones</w:t>
            </w:r>
          </w:p>
        </w:tc>
        <w:tc>
          <w:tcPr>
            <w:tcW w:w="1321" w:type="dxa"/>
          </w:tcPr>
          <w:p w14:paraId="5E882601" w14:textId="2E04DDE1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iCs/>
                <w:sz w:val="16"/>
                <w:szCs w:val="16"/>
              </w:rPr>
              <w:t>71,400.00</w:t>
            </w:r>
          </w:p>
        </w:tc>
        <w:tc>
          <w:tcPr>
            <w:tcW w:w="1240" w:type="dxa"/>
          </w:tcPr>
          <w:p w14:paraId="2826E9ED" w14:textId="690F359C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40" w:type="dxa"/>
          </w:tcPr>
          <w:p w14:paraId="77E902B5" w14:textId="07887FA3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94" w:type="dxa"/>
            <w:shd w:val="clear" w:color="auto" w:fill="auto"/>
          </w:tcPr>
          <w:p w14:paraId="3E046F3B" w14:textId="7BAFBB46" w:rsidR="00E13B06" w:rsidRPr="00E13B06" w:rsidRDefault="00E13B06" w:rsidP="00E13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71,400.00</w:t>
            </w:r>
          </w:p>
        </w:tc>
      </w:tr>
      <w:tr w:rsidR="00E13B06" w:rsidRPr="00497078" w14:paraId="386F8B5C" w14:textId="77AC8377" w:rsidTr="00E13B06">
        <w:trPr>
          <w:trHeight w:val="334"/>
        </w:trPr>
        <w:tc>
          <w:tcPr>
            <w:tcW w:w="4508" w:type="dxa"/>
            <w:gridSpan w:val="4"/>
          </w:tcPr>
          <w:p w14:paraId="177574AE" w14:textId="353259F0" w:rsidR="00E13B06" w:rsidRPr="00497078" w:rsidRDefault="00E13B06" w:rsidP="00E13B0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321" w:type="dxa"/>
          </w:tcPr>
          <w:p w14:paraId="3FD503F0" w14:textId="77777777" w:rsidR="00E13B06" w:rsidRPr="00E13B06" w:rsidRDefault="00E13B06" w:rsidP="00E13B06">
            <w:pPr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13B06">
              <w:rPr>
                <w:rFonts w:ascii="Arial" w:hAnsi="Arial" w:cs="Arial"/>
                <w:b/>
                <w:iCs/>
                <w:sz w:val="16"/>
                <w:szCs w:val="16"/>
              </w:rPr>
              <w:t>11,026,748.00</w:t>
            </w:r>
          </w:p>
          <w:p w14:paraId="1009E898" w14:textId="77777777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40" w:type="dxa"/>
          </w:tcPr>
          <w:p w14:paraId="672CB73A" w14:textId="427263D1" w:rsidR="00E13B06" w:rsidRPr="00E13B06" w:rsidRDefault="003C60F1" w:rsidP="00E13B06">
            <w:pPr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306,771.00</w:t>
            </w:r>
          </w:p>
        </w:tc>
        <w:tc>
          <w:tcPr>
            <w:tcW w:w="1240" w:type="dxa"/>
          </w:tcPr>
          <w:p w14:paraId="397E2C20" w14:textId="213BEE84" w:rsidR="00E13B06" w:rsidRPr="00E13B06" w:rsidRDefault="003C60F1" w:rsidP="00E13B06">
            <w:pPr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196,344.00</w:t>
            </w:r>
          </w:p>
        </w:tc>
        <w:tc>
          <w:tcPr>
            <w:tcW w:w="1294" w:type="dxa"/>
          </w:tcPr>
          <w:p w14:paraId="303C6517" w14:textId="340C16D0" w:rsidR="00E13B06" w:rsidRPr="00497078" w:rsidRDefault="003C60F1" w:rsidP="003C60F1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11,137,175.00</w:t>
            </w:r>
          </w:p>
        </w:tc>
      </w:tr>
    </w:tbl>
    <w:p w14:paraId="0CC4D41E" w14:textId="77777777" w:rsidR="001133D7" w:rsidRDefault="001133D7" w:rsidP="00B94935">
      <w:pPr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26B5833" w14:textId="77777777" w:rsidR="00B149B9" w:rsidRPr="000F6B3C" w:rsidRDefault="00B149B9" w:rsidP="003B39C5">
      <w:pPr>
        <w:pStyle w:val="Texto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center" w:pos="4824"/>
        </w:tabs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Organización y Objeto Social</w:t>
      </w:r>
      <w:r>
        <w:rPr>
          <w:b/>
          <w:szCs w:val="18"/>
          <w:lang w:val="es-MX"/>
        </w:rPr>
        <w:tab/>
      </w:r>
    </w:p>
    <w:p w14:paraId="1B239996" w14:textId="77777777" w:rsidR="00B149B9" w:rsidRPr="000F6B3C" w:rsidRDefault="00B149B9" w:rsidP="00B149B9">
      <w:pPr>
        <w:pStyle w:val="Texto"/>
        <w:spacing w:after="0" w:line="240" w:lineRule="exact"/>
        <w:ind w:left="648" w:firstLine="0"/>
        <w:rPr>
          <w:szCs w:val="18"/>
        </w:rPr>
      </w:pPr>
      <w:r w:rsidRPr="000F6B3C">
        <w:rPr>
          <w:szCs w:val="18"/>
        </w:rPr>
        <w:t>Se informará sobre:</w:t>
      </w:r>
    </w:p>
    <w:p w14:paraId="3FC7C91D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a)</w:t>
      </w:r>
      <w:r w:rsidRPr="000F6B3C">
        <w:tab/>
        <w:t>Objeto social: Coadyuvar al fortalecimiento de las haciendas públicas estatales, municipales a través de la modernización del catastro de la entidad.</w:t>
      </w:r>
    </w:p>
    <w:p w14:paraId="6E7B2B29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b)</w:t>
      </w:r>
      <w:r w:rsidRPr="000F6B3C">
        <w:tab/>
        <w:t>Principal actividad: Mantener actualizado el inventario de los bienes Inmuebles del Estado.</w:t>
      </w:r>
    </w:p>
    <w:p w14:paraId="0633A4A1" w14:textId="31A8ACB1" w:rsidR="00B149B9" w:rsidRDefault="00B149B9" w:rsidP="00B149B9">
      <w:pPr>
        <w:pStyle w:val="INCISO"/>
        <w:spacing w:after="0" w:line="240" w:lineRule="exact"/>
        <w:ind w:left="648" w:firstLine="0"/>
      </w:pPr>
      <w:r>
        <w:t>c)</w:t>
      </w:r>
      <w:r>
        <w:tab/>
        <w:t>Ejercicio fiscal: 202</w:t>
      </w:r>
      <w:r w:rsidR="000B4443">
        <w:t>5</w:t>
      </w:r>
    </w:p>
    <w:p w14:paraId="063F7B26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d)</w:t>
      </w:r>
      <w:r w:rsidRPr="000F6B3C">
        <w:tab/>
        <w:t>Régimen jurídico: Organismo público desc</w:t>
      </w:r>
      <w:r>
        <w:t>entralizado</w:t>
      </w:r>
      <w:r w:rsidRPr="000F6B3C">
        <w:t>.</w:t>
      </w:r>
    </w:p>
    <w:p w14:paraId="4C641F4B" w14:textId="77777777" w:rsidR="00B149B9" w:rsidRDefault="00B149B9" w:rsidP="00B149B9">
      <w:pPr>
        <w:pStyle w:val="INCISO"/>
        <w:spacing w:after="0" w:line="240" w:lineRule="exact"/>
        <w:ind w:left="648" w:firstLine="0"/>
      </w:pPr>
      <w:r w:rsidRPr="000F6B3C">
        <w:t>e)</w:t>
      </w:r>
      <w:r w:rsidRPr="000F6B3C">
        <w:tab/>
        <w:t>Consideraciones fiscales del ente: El Instituto de Ca</w:t>
      </w:r>
      <w:r>
        <w:t>tastro está obligado a cumplir con los impuestos Federales (Impuesto Sobre la Renta) e impuestos estatales (3% sobre nómina).</w:t>
      </w:r>
    </w:p>
    <w:p w14:paraId="0EF4770B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53878782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11666E01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2196E5CC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0F886F56" w14:textId="34FA76E3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f)</w:t>
      </w:r>
      <w:r w:rsidRPr="000F6B3C">
        <w:tab/>
        <w:t xml:space="preserve">Estructura organizacional básica: </w:t>
      </w:r>
    </w:p>
    <w:p w14:paraId="0023EED1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1 Director General</w:t>
      </w:r>
    </w:p>
    <w:p w14:paraId="7D8D80B8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5</w:t>
      </w:r>
      <w:r w:rsidRPr="000F6B3C">
        <w:t xml:space="preserve"> Jefes de departamento</w:t>
      </w:r>
      <w:r>
        <w:t xml:space="preserve">: </w:t>
      </w:r>
      <w:r w:rsidRPr="000F6B3C">
        <w:t xml:space="preserve">Administrativo, </w:t>
      </w:r>
      <w:r>
        <w:t>Valuación, T</w:t>
      </w:r>
      <w:r w:rsidRPr="000F6B3C">
        <w:t>opografía</w:t>
      </w:r>
      <w:r>
        <w:t xml:space="preserve"> y Cartografía, Jurídico, Gestión y Coordinación</w:t>
      </w:r>
      <w:r w:rsidRPr="000F6B3C">
        <w:t>.</w:t>
      </w:r>
    </w:p>
    <w:p w14:paraId="389006E9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2</w:t>
      </w:r>
      <w:r w:rsidRPr="000F6B3C">
        <w:t xml:space="preserve"> Jefes de Oficina</w:t>
      </w:r>
    </w:p>
    <w:p w14:paraId="0865E872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5</w:t>
      </w:r>
      <w:r w:rsidRPr="000F6B3C">
        <w:t xml:space="preserve"> </w:t>
      </w:r>
      <w:r>
        <w:t>A</w:t>
      </w:r>
      <w:r w:rsidRPr="000F6B3C">
        <w:t>nalistas</w:t>
      </w:r>
      <w:r>
        <w:t xml:space="preserve"> </w:t>
      </w:r>
    </w:p>
    <w:p w14:paraId="4893220C" w14:textId="77777777" w:rsidR="00B149B9" w:rsidRDefault="00B149B9" w:rsidP="00B149B9">
      <w:pPr>
        <w:pStyle w:val="INCISO"/>
        <w:spacing w:after="0" w:line="240" w:lineRule="exact"/>
        <w:ind w:left="648" w:firstLine="0"/>
      </w:pPr>
      <w:r>
        <w:t>1 A</w:t>
      </w:r>
      <w:r w:rsidRPr="000F6B3C">
        <w:t>uxiliar de mantenimiento</w:t>
      </w:r>
    </w:p>
    <w:p w14:paraId="4F8E0EE2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</w:p>
    <w:p w14:paraId="17DDDCDB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g)   El Instituto de Catastro no tiene ni forma parte de Fideicomisos, mandatos y análogos de los cuales es fideicomitente o fiduciario, por lo que no hay información a revelar.</w:t>
      </w:r>
    </w:p>
    <w:p w14:paraId="5D4071B4" w14:textId="3D88EF3A" w:rsidR="00B149B9" w:rsidRDefault="00B149B9" w:rsidP="003B1371">
      <w:pPr>
        <w:pStyle w:val="INCISO"/>
        <w:spacing w:after="0" w:line="240" w:lineRule="exact"/>
        <w:ind w:left="648" w:firstLine="0"/>
      </w:pPr>
    </w:p>
    <w:p w14:paraId="4FDF57E4" w14:textId="594F3D41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Bases de Preparación de los Estados Financieros</w:t>
      </w:r>
    </w:p>
    <w:p w14:paraId="463BB506" w14:textId="77777777" w:rsidR="003B1371" w:rsidRPr="000F6B3C" w:rsidRDefault="003B1371" w:rsidP="003B1371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7B9C6FEF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a)</w:t>
      </w:r>
      <w:r w:rsidRPr="000F6B3C">
        <w:tab/>
        <w:t>Los Estado</w:t>
      </w:r>
      <w:r>
        <w:t>s</w:t>
      </w:r>
      <w:r w:rsidRPr="000F6B3C">
        <w:t xml:space="preserve"> Financieros se han elaborado en base a la normatividad emitida por el CONAC y las disposiciones legales aplicables.</w:t>
      </w:r>
    </w:p>
    <w:p w14:paraId="3B7F0BFA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b)   El reconocimiento y valuación de los diferentes rubros de la información financiera, ha sido en base a costo histórico.</w:t>
      </w:r>
    </w:p>
    <w:p w14:paraId="13FB3BE2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c)</w:t>
      </w:r>
      <w:r w:rsidRPr="000F6B3C">
        <w:tab/>
        <w:t>Se han observado los Postulados básicos emitidos por el CONAC para la elaboración y presentación de la información financiera.</w:t>
      </w:r>
    </w:p>
    <w:p w14:paraId="2834FA36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d)</w:t>
      </w:r>
      <w:r w:rsidRPr="000F6B3C">
        <w:tab/>
        <w:t xml:space="preserve">No se aplica Normatividad supletoria. </w:t>
      </w:r>
    </w:p>
    <w:p w14:paraId="136FAA6F" w14:textId="77777777" w:rsidR="003B1371" w:rsidRDefault="003B1371" w:rsidP="003B1371">
      <w:pPr>
        <w:pStyle w:val="INCISO"/>
        <w:spacing w:after="0" w:line="240" w:lineRule="exact"/>
      </w:pPr>
      <w:r w:rsidRPr="000F6B3C">
        <w:t>e)</w:t>
      </w:r>
      <w:r w:rsidRPr="000F6B3C">
        <w:tab/>
        <w:t>El Instituto de Catastro ha venido implementando la base devengado de acuerdo a la Ley General de Contabilidad Gubernamental.</w:t>
      </w:r>
    </w:p>
    <w:p w14:paraId="01757C3D" w14:textId="77777777" w:rsidR="003B1371" w:rsidRDefault="003B1371" w:rsidP="003B1371">
      <w:pPr>
        <w:pStyle w:val="INCISO"/>
        <w:spacing w:after="0" w:line="240" w:lineRule="exact"/>
        <w:ind w:left="648" w:firstLine="0"/>
      </w:pPr>
    </w:p>
    <w:p w14:paraId="18C19EAF" w14:textId="77777777" w:rsidR="00B149B9" w:rsidRDefault="00B149B9" w:rsidP="00B149B9">
      <w:pPr>
        <w:pStyle w:val="INCISO"/>
        <w:spacing w:after="0" w:line="240" w:lineRule="exact"/>
      </w:pPr>
    </w:p>
    <w:p w14:paraId="2D2E1CA9" w14:textId="563E2B95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Políticas de Contabilidad Significativas</w:t>
      </w:r>
    </w:p>
    <w:p w14:paraId="5D0E3FD5" w14:textId="77777777" w:rsidR="003B1371" w:rsidRPr="000F6B3C" w:rsidRDefault="003B1371" w:rsidP="003B1371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06B3B050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a)</w:t>
      </w:r>
      <w:r w:rsidRPr="000F6B3C">
        <w:tab/>
        <w:t xml:space="preserve">No se ha implementado algún método de Actualización del valor de los activos, pasivos y Hacienda Pública y/o patrimonio </w:t>
      </w:r>
    </w:p>
    <w:p w14:paraId="367FB00D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b)</w:t>
      </w:r>
      <w:r w:rsidRPr="000F6B3C">
        <w:tab/>
        <w:t>No se realizan operaciones en el extranjero por lo que no afecta la información financiera del IDC.</w:t>
      </w:r>
    </w:p>
    <w:p w14:paraId="5B91A508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c)</w:t>
      </w:r>
      <w:r w:rsidRPr="000F6B3C">
        <w:tab/>
        <w:t>No se tienen inversiones en acciones en el Sector Paraestatal.</w:t>
      </w:r>
    </w:p>
    <w:p w14:paraId="7D751A97" w14:textId="77777777" w:rsidR="003B1371" w:rsidRPr="000F6B3C" w:rsidRDefault="003B1371" w:rsidP="003B1371">
      <w:pPr>
        <w:pStyle w:val="INCISO"/>
        <w:spacing w:after="0" w:line="240" w:lineRule="exact"/>
      </w:pPr>
      <w:r>
        <w:t>d)</w:t>
      </w:r>
      <w:r>
        <w:tab/>
        <w:t xml:space="preserve">Se registra el valor de bienes en contabilidad en observancia a las Reglas Específicas del Registro y Valoración del Patrimonio, emitidas por la Secretaría de Hacienda y Crédito Público; mismos con son considerados en los resguardos que emite el </w:t>
      </w:r>
      <w:r w:rsidRPr="00CC00D0">
        <w:t>Sistema de “Control de Inventarios Armonizados” (CIA)</w:t>
      </w:r>
      <w:r>
        <w:t xml:space="preserve"> administrado por la </w:t>
      </w:r>
      <w:r w:rsidRPr="00CC00D0">
        <w:t>Dirección de Recursos Materiales, Servicios Generales e Inmuebles perteneciente a la Oficialía Mayor de Gobierno</w:t>
      </w:r>
    </w:p>
    <w:p w14:paraId="108A0845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e)</w:t>
      </w:r>
      <w:r w:rsidRPr="000F6B3C">
        <w:tab/>
        <w:t>No se manejan Beneficios a empleados, toda vez que la nómina es calculada y pagada por el Gobierno del Estado a través de la Dirección de Recursos Humanos.</w:t>
      </w:r>
    </w:p>
    <w:p w14:paraId="1A6C0AD2" w14:textId="77777777" w:rsidR="003B1371" w:rsidRPr="000F6B3C" w:rsidRDefault="003B1371" w:rsidP="003B1371">
      <w:pPr>
        <w:pStyle w:val="INCISO"/>
        <w:spacing w:after="0" w:line="240" w:lineRule="exact"/>
      </w:pPr>
      <w:r>
        <w:t>f)</w:t>
      </w:r>
      <w:r>
        <w:tab/>
        <w:t>No</w:t>
      </w:r>
      <w:r w:rsidRPr="000F6B3C">
        <w:t xml:space="preserve"> cuenta con pasivos por concepto de Provisiones</w:t>
      </w:r>
      <w:r>
        <w:t xml:space="preserve"> de gasto médico</w:t>
      </w:r>
      <w:r w:rsidRPr="000F6B3C">
        <w:t>.</w:t>
      </w:r>
    </w:p>
    <w:p w14:paraId="3DE7E644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g)</w:t>
      </w:r>
      <w:r w:rsidRPr="000F6B3C">
        <w:tab/>
        <w:t>No se cuenta con Reservas</w:t>
      </w:r>
      <w:r>
        <w:t>.</w:t>
      </w:r>
    </w:p>
    <w:p w14:paraId="04799F97" w14:textId="77777777" w:rsidR="003B1371" w:rsidRDefault="003B1371" w:rsidP="003B1371">
      <w:pPr>
        <w:pStyle w:val="INCISO"/>
        <w:spacing w:after="0" w:line="240" w:lineRule="exact"/>
      </w:pPr>
      <w:r w:rsidRPr="000F6B3C">
        <w:t>h)</w:t>
      </w:r>
      <w:r w:rsidRPr="000F6B3C">
        <w:tab/>
        <w:t xml:space="preserve">No existieron Cambios en políticas contables ni corrección de errores. </w:t>
      </w:r>
    </w:p>
    <w:p w14:paraId="01E8D9DE" w14:textId="13FFD3B5" w:rsidR="003B1371" w:rsidRPr="000F6B3C" w:rsidRDefault="003B1371" w:rsidP="003B1371">
      <w:pPr>
        <w:pStyle w:val="INCISO"/>
        <w:spacing w:after="0" w:line="240" w:lineRule="exact"/>
      </w:pPr>
      <w:r w:rsidRPr="000F6B3C">
        <w:t>i)</w:t>
      </w:r>
      <w:r w:rsidRPr="000F6B3C">
        <w:tab/>
        <w:t xml:space="preserve">No se registraron reclasificaciones </w:t>
      </w:r>
      <w:r w:rsidR="002202FB">
        <w:t>durante el ejercicio fiscal 2025</w:t>
      </w:r>
      <w:r>
        <w:t>.</w:t>
      </w:r>
    </w:p>
    <w:p w14:paraId="5CFAD2E4" w14:textId="77777777" w:rsidR="003B1371" w:rsidRDefault="003B1371" w:rsidP="003B1371">
      <w:pPr>
        <w:pStyle w:val="INCISO"/>
        <w:spacing w:after="0" w:line="240" w:lineRule="exact"/>
      </w:pPr>
      <w:r w:rsidRPr="000F6B3C">
        <w:t>j)</w:t>
      </w:r>
      <w:r w:rsidRPr="000F6B3C">
        <w:tab/>
        <w:t>No fue necesario depuración y cancelación de saldos.</w:t>
      </w:r>
    </w:p>
    <w:p w14:paraId="22CC5367" w14:textId="77777777" w:rsidR="003B1371" w:rsidRDefault="003B1371" w:rsidP="003B1371">
      <w:pPr>
        <w:pStyle w:val="INCISO"/>
        <w:spacing w:after="0" w:line="240" w:lineRule="exact"/>
        <w:ind w:left="0" w:firstLine="0"/>
      </w:pPr>
    </w:p>
    <w:p w14:paraId="3D13063D" w14:textId="0CEE7DB0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Posición en Moneda Extranjera y Protección por Riesgo Cambiario</w:t>
      </w:r>
    </w:p>
    <w:p w14:paraId="14A5F2F9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  <w:r>
        <w:rPr>
          <w:szCs w:val="18"/>
        </w:rPr>
        <w:t xml:space="preserve">Se informa sobre: </w:t>
      </w:r>
    </w:p>
    <w:p w14:paraId="3260A8E0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CA74BCC" w14:textId="5EE6E4CC" w:rsidR="003B1371" w:rsidRDefault="003B1371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existen activos expresados monera extranjera.</w:t>
      </w:r>
    </w:p>
    <w:p w14:paraId="48771A0E" w14:textId="7FD84ECF" w:rsidR="003B1371" w:rsidRDefault="003B1371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</w:t>
      </w:r>
      <w:r w:rsidR="000E78F7">
        <w:rPr>
          <w:szCs w:val="18"/>
        </w:rPr>
        <w:t>o ex</w:t>
      </w:r>
      <w:r>
        <w:rPr>
          <w:szCs w:val="18"/>
        </w:rPr>
        <w:t>isten pasivos en monera extranjera</w:t>
      </w:r>
      <w:r w:rsidR="000E78F7">
        <w:rPr>
          <w:szCs w:val="18"/>
        </w:rPr>
        <w:t>.</w:t>
      </w:r>
    </w:p>
    <w:p w14:paraId="3B0D1480" w14:textId="634775A9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posición en monera extranjera.</w:t>
      </w:r>
    </w:p>
    <w:p w14:paraId="47748E85" w14:textId="77777777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tipo de cambio.</w:t>
      </w:r>
    </w:p>
    <w:p w14:paraId="0BBB28A6" w14:textId="77777777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equivalentes en moneda nacional.</w:t>
      </w:r>
    </w:p>
    <w:p w14:paraId="66BFFC26" w14:textId="77777777" w:rsidR="000E78F7" w:rsidRDefault="000E78F7" w:rsidP="000E78F7">
      <w:pPr>
        <w:pStyle w:val="Texto"/>
        <w:spacing w:after="0" w:line="240" w:lineRule="exact"/>
        <w:rPr>
          <w:szCs w:val="18"/>
        </w:rPr>
      </w:pPr>
    </w:p>
    <w:p w14:paraId="647EAD6E" w14:textId="77777777" w:rsidR="00AA59CA" w:rsidRDefault="00AA59CA" w:rsidP="000E78F7">
      <w:pPr>
        <w:pStyle w:val="Texto"/>
        <w:spacing w:after="0" w:line="240" w:lineRule="exact"/>
        <w:rPr>
          <w:szCs w:val="18"/>
        </w:rPr>
      </w:pPr>
    </w:p>
    <w:p w14:paraId="64BE7184" w14:textId="77777777" w:rsidR="006B0367" w:rsidRDefault="006B0367" w:rsidP="000E78F7">
      <w:pPr>
        <w:pStyle w:val="Texto"/>
        <w:spacing w:after="0" w:line="240" w:lineRule="exact"/>
        <w:rPr>
          <w:szCs w:val="18"/>
        </w:rPr>
      </w:pPr>
    </w:p>
    <w:p w14:paraId="7915D1C8" w14:textId="77777777" w:rsidR="006B0367" w:rsidRDefault="006B0367" w:rsidP="000E78F7">
      <w:pPr>
        <w:pStyle w:val="Texto"/>
        <w:spacing w:after="0" w:line="240" w:lineRule="exact"/>
        <w:rPr>
          <w:szCs w:val="18"/>
        </w:rPr>
      </w:pPr>
    </w:p>
    <w:p w14:paraId="21ED829C" w14:textId="77C5CC5A" w:rsidR="003B1371" w:rsidRPr="000E78F7" w:rsidRDefault="000E78F7" w:rsidP="000E78F7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Derivado de lo anterior no existe información a revelar por métodos de protección de riesgo por variaciones en el tipo de cambio ya que la</w:t>
      </w:r>
      <w:r w:rsidR="003B1371" w:rsidRPr="000E78F7">
        <w:rPr>
          <w:szCs w:val="18"/>
        </w:rPr>
        <w:t>s operaciones que realiza el Instituto de Catastro, son en Moneda Nacional (</w:t>
      </w:r>
      <w:r>
        <w:rPr>
          <w:szCs w:val="18"/>
        </w:rPr>
        <w:t>peso Mexicano</w:t>
      </w:r>
      <w:r w:rsidR="003B1371" w:rsidRPr="000E78F7">
        <w:rPr>
          <w:szCs w:val="18"/>
        </w:rPr>
        <w:t>)</w:t>
      </w:r>
      <w:r>
        <w:rPr>
          <w:szCs w:val="18"/>
        </w:rPr>
        <w:t>.</w:t>
      </w:r>
    </w:p>
    <w:p w14:paraId="2F7209CB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31FA4F0" w14:textId="706F0AA3" w:rsidR="000E78F7" w:rsidRPr="000F6B3C" w:rsidRDefault="000E78F7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Reporte Analítico del Activo</w:t>
      </w:r>
    </w:p>
    <w:p w14:paraId="20077583" w14:textId="77777777" w:rsidR="000E78F7" w:rsidRPr="000F6B3C" w:rsidRDefault="000E78F7" w:rsidP="000E78F7">
      <w:pPr>
        <w:pStyle w:val="Texto"/>
        <w:spacing w:after="0" w:line="240" w:lineRule="exact"/>
        <w:ind w:left="288"/>
        <w:rPr>
          <w:szCs w:val="18"/>
        </w:rPr>
      </w:pPr>
      <w:r w:rsidRPr="000F6B3C">
        <w:rPr>
          <w:szCs w:val="18"/>
        </w:rPr>
        <w:t>Se informa lo siguiente:</w:t>
      </w:r>
    </w:p>
    <w:p w14:paraId="32361ABE" w14:textId="3B647A40" w:rsidR="004B65EC" w:rsidRPr="004B65EC" w:rsidRDefault="004B65EC" w:rsidP="00C56E25">
      <w:pPr>
        <w:pStyle w:val="TableParagraph"/>
        <w:numPr>
          <w:ilvl w:val="0"/>
          <w:numId w:val="20"/>
        </w:numPr>
        <w:spacing w:before="35"/>
        <w:ind w:right="991"/>
        <w:rPr>
          <w:rFonts w:eastAsia="Times New Roman"/>
          <w:sz w:val="18"/>
          <w:szCs w:val="18"/>
          <w:lang w:eastAsia="es-ES"/>
        </w:rPr>
      </w:pPr>
      <w:r w:rsidRPr="004B65EC">
        <w:rPr>
          <w:rFonts w:eastAsia="Times New Roman"/>
          <w:sz w:val="18"/>
          <w:szCs w:val="18"/>
          <w:lang w:eastAsia="es-ES"/>
        </w:rPr>
        <w:t xml:space="preserve">Se aplicó </w:t>
      </w:r>
      <w:r w:rsidR="000E78F7" w:rsidRPr="004B65EC">
        <w:rPr>
          <w:rFonts w:eastAsia="Times New Roman"/>
          <w:sz w:val="18"/>
          <w:szCs w:val="18"/>
          <w:lang w:eastAsia="es-ES"/>
        </w:rPr>
        <w:t>un método de depreciación en los diferentes tipos de activos</w:t>
      </w:r>
      <w:r w:rsidRPr="004B65EC">
        <w:rPr>
          <w:rFonts w:eastAsia="Times New Roman"/>
          <w:sz w:val="18"/>
          <w:szCs w:val="18"/>
          <w:lang w:eastAsia="es-ES"/>
        </w:rPr>
        <w:t>: (Costo de adquisición del activo depreciable o amortizable - Valor de deshecho) / Vida útil</w:t>
      </w:r>
    </w:p>
    <w:p w14:paraId="5933F2D6" w14:textId="35D9CCF8" w:rsidR="000E78F7" w:rsidRPr="004B65EC" w:rsidRDefault="004B65EC" w:rsidP="000E78F7">
      <w:pPr>
        <w:pStyle w:val="INCISO"/>
        <w:spacing w:after="0" w:line="240" w:lineRule="exact"/>
      </w:pPr>
      <w:r>
        <w:t xml:space="preserve">      </w:t>
      </w:r>
      <w:r w:rsidR="00C56E25">
        <w:t xml:space="preserve"> </w:t>
      </w:r>
      <w:r w:rsidRPr="004B65EC">
        <w:t>Cabe señalar que se realizó de manera automática en el sistema Contable SAACG.Net</w:t>
      </w:r>
    </w:p>
    <w:p w14:paraId="38F7EA30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b)</w:t>
      </w:r>
      <w:r w:rsidRPr="000F6B3C">
        <w:tab/>
        <w:t>No aplica cambios en el porcentaje de depreciación o valor residual de los activos.</w:t>
      </w:r>
    </w:p>
    <w:p w14:paraId="19E0033D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c)</w:t>
      </w:r>
      <w:r w:rsidRPr="000F6B3C">
        <w:tab/>
        <w:t>No se realizan gastos capitalizados en el ejercicio, tanto financieros como de investigación y desarrollo.</w:t>
      </w:r>
    </w:p>
    <w:p w14:paraId="41E8FFCB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d)</w:t>
      </w:r>
      <w:r w:rsidRPr="000F6B3C">
        <w:tab/>
        <w:t>No se registran inversiones financieras.</w:t>
      </w:r>
    </w:p>
    <w:p w14:paraId="22A9F746" w14:textId="77777777" w:rsidR="000E78F7" w:rsidRDefault="000E78F7" w:rsidP="000E78F7">
      <w:pPr>
        <w:pStyle w:val="INCISO"/>
        <w:spacing w:after="0" w:line="240" w:lineRule="exact"/>
      </w:pPr>
      <w:r>
        <w:t>e)</w:t>
      </w:r>
      <w:r>
        <w:tab/>
        <w:t>No se adquirieron bienes muebles.</w:t>
      </w:r>
    </w:p>
    <w:p w14:paraId="6D7FFAD0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f)</w:t>
      </w:r>
      <w:r w:rsidRPr="000F6B3C">
        <w:tab/>
        <w:t>No se tiene bienes en garantía, señalados en embargos, litigios, títulos de inversiones entregados en garantías, baja significativa del valor de inversiones financieras, etc.</w:t>
      </w:r>
    </w:p>
    <w:p w14:paraId="61C5FB37" w14:textId="77777777" w:rsidR="000E78F7" w:rsidRPr="000F6B3C" w:rsidRDefault="000E78F7" w:rsidP="000E78F7">
      <w:pPr>
        <w:pStyle w:val="INCISO"/>
        <w:spacing w:after="0" w:line="240" w:lineRule="exact"/>
      </w:pPr>
      <w:r>
        <w:t>g)</w:t>
      </w:r>
      <w:r>
        <w:tab/>
        <w:t xml:space="preserve">No se realizaron </w:t>
      </w:r>
      <w:r w:rsidRPr="000F6B3C">
        <w:t>el Desmantelamiento de Activos, procedimientos, implicaciones, efectos contables</w:t>
      </w:r>
      <w:r>
        <w:t>.</w:t>
      </w:r>
    </w:p>
    <w:p w14:paraId="03435E5A" w14:textId="77777777" w:rsidR="000E78F7" w:rsidRDefault="000E78F7" w:rsidP="000E78F7">
      <w:pPr>
        <w:pStyle w:val="Texto"/>
        <w:spacing w:after="0" w:line="240" w:lineRule="exact"/>
        <w:ind w:firstLine="706"/>
        <w:rPr>
          <w:szCs w:val="18"/>
          <w:lang w:val="es-MX"/>
        </w:rPr>
      </w:pPr>
      <w:r w:rsidRPr="000F6B3C">
        <w:rPr>
          <w:szCs w:val="18"/>
        </w:rPr>
        <w:t xml:space="preserve">h)   El IDC cuenta con activos como </w:t>
      </w:r>
      <w:r w:rsidRPr="000F6B3C">
        <w:rPr>
          <w:szCs w:val="18"/>
          <w:lang w:val="es-MX"/>
        </w:rPr>
        <w:t>Efectivo y Equivalentes, mismos que serán utilizados de manera eficiente para la operación del Instituto.</w:t>
      </w:r>
    </w:p>
    <w:p w14:paraId="4A874F5A" w14:textId="77777777" w:rsidR="000E78F7" w:rsidRDefault="000E78F7" w:rsidP="000E78F7">
      <w:pPr>
        <w:pStyle w:val="Texto"/>
        <w:spacing w:after="0" w:line="240" w:lineRule="exact"/>
        <w:ind w:firstLine="706"/>
        <w:rPr>
          <w:szCs w:val="18"/>
          <w:lang w:val="es-MX"/>
        </w:rPr>
      </w:pPr>
    </w:p>
    <w:p w14:paraId="43FC136D" w14:textId="77777777" w:rsidR="000E78F7" w:rsidRDefault="000E78F7" w:rsidP="000E78F7">
      <w:pPr>
        <w:pStyle w:val="Texto"/>
        <w:spacing w:after="0" w:line="240" w:lineRule="exact"/>
        <w:ind w:firstLine="0"/>
        <w:rPr>
          <w:szCs w:val="18"/>
        </w:rPr>
      </w:pPr>
      <w:r w:rsidRPr="000F6B3C">
        <w:rPr>
          <w:szCs w:val="18"/>
        </w:rPr>
        <w:t>Adicionalmente, se deben incluir las explicaciones de las principales variaciones en el activo, en cuadros comparativos como sigue:</w:t>
      </w:r>
    </w:p>
    <w:p w14:paraId="38822460" w14:textId="3B522631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regi</w:t>
      </w:r>
      <w:r>
        <w:t>straron Inversiones en valores.</w:t>
      </w:r>
    </w:p>
    <w:p w14:paraId="13462740" w14:textId="77777777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>
        <w:t>No se cuenta con patrimonio de organismos descentralizados de control presupuestario indirecto.</w:t>
      </w:r>
    </w:p>
    <w:p w14:paraId="63BFCBA4" w14:textId="77777777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tienen inversiones en empresas de participación mayoritaria.</w:t>
      </w:r>
    </w:p>
    <w:p w14:paraId="4B41CA79" w14:textId="4FF44C56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tienen inversiones en empresas de participación minoritaria.</w:t>
      </w:r>
    </w:p>
    <w:p w14:paraId="51A384BA" w14:textId="6FAE2CB9" w:rsidR="00C56E25" w:rsidRDefault="000E78F7" w:rsidP="00C56E25">
      <w:pPr>
        <w:pStyle w:val="INCISO"/>
        <w:numPr>
          <w:ilvl w:val="0"/>
          <w:numId w:val="9"/>
        </w:numPr>
        <w:spacing w:after="0" w:line="240" w:lineRule="exact"/>
      </w:pPr>
      <w:r>
        <w:t>El patrimoni</w:t>
      </w:r>
      <w:r w:rsidR="00F33723">
        <w:t>o de organismos descentralizado</w:t>
      </w:r>
      <w:r>
        <w:t xml:space="preserve"> de control Presupuestario directo del Instituto de Catastro es por el importe de $</w:t>
      </w:r>
      <w:r w:rsidR="00C56E25">
        <w:t>1</w:t>
      </w:r>
      <w:proofErr w:type="gramStart"/>
      <w:r w:rsidR="00C56E25">
        <w:t>,428,139.00</w:t>
      </w:r>
      <w:proofErr w:type="gramEnd"/>
      <w:r>
        <w:t xml:space="preserve"> (Diez millones setecientos noventa y cinco mil setecientos cinc</w:t>
      </w:r>
      <w:r w:rsidR="00C56E25">
        <w:t>uenta y siete pesos 00/100 M.N), saldo resultante después de la aplicación de depreciación.</w:t>
      </w:r>
    </w:p>
    <w:p w14:paraId="7A3D8B2F" w14:textId="77777777" w:rsidR="000E78F7" w:rsidRDefault="000E78F7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8C8D593" w14:textId="77777777" w:rsidR="008E18B6" w:rsidRPr="000F6B3C" w:rsidRDefault="008E18B6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Fideicomisos, Mandatos y Análogos</w:t>
      </w:r>
    </w:p>
    <w:p w14:paraId="6D261D64" w14:textId="48AD164E" w:rsidR="00B149B9" w:rsidRDefault="008E18B6" w:rsidP="008E18B6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>Se informa:</w:t>
      </w:r>
    </w:p>
    <w:p w14:paraId="1EAF2BBD" w14:textId="77777777" w:rsidR="008E18B6" w:rsidRDefault="008E18B6" w:rsidP="008E18B6">
      <w:pPr>
        <w:pStyle w:val="INCISO"/>
        <w:spacing w:after="0" w:line="240" w:lineRule="auto"/>
        <w:ind w:left="0" w:firstLine="0"/>
      </w:pPr>
    </w:p>
    <w:p w14:paraId="30E00F13" w14:textId="1D8761BD" w:rsidR="008E18B6" w:rsidRDefault="008E18B6" w:rsidP="008E18B6">
      <w:pPr>
        <w:pStyle w:val="INCISO"/>
        <w:spacing w:after="0" w:line="240" w:lineRule="auto"/>
        <w:ind w:left="0" w:firstLine="709"/>
      </w:pPr>
      <w:r>
        <w:t>No se cuentan con Fideicomisos, Mandatos y Análogos</w:t>
      </w:r>
    </w:p>
    <w:p w14:paraId="333D7A8A" w14:textId="6BC99EDA" w:rsidR="008E18B6" w:rsidRDefault="008E18B6" w:rsidP="008E18B6">
      <w:pPr>
        <w:pStyle w:val="Texto"/>
        <w:spacing w:after="0" w:line="240" w:lineRule="exact"/>
        <w:ind w:firstLine="709"/>
        <w:rPr>
          <w:szCs w:val="18"/>
        </w:rPr>
      </w:pPr>
    </w:p>
    <w:p w14:paraId="4CDD7A4D" w14:textId="77777777" w:rsidR="008E18B6" w:rsidRPr="000F6B3C" w:rsidRDefault="008E18B6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Reporte de la Recaudación</w:t>
      </w:r>
    </w:p>
    <w:p w14:paraId="67A9BA9B" w14:textId="77777777" w:rsidR="008E18B6" w:rsidRDefault="008E18B6" w:rsidP="008E18B6">
      <w:pPr>
        <w:pStyle w:val="INCISO"/>
        <w:spacing w:after="0" w:line="240" w:lineRule="auto"/>
        <w:ind w:left="0" w:firstLine="709"/>
      </w:pPr>
      <w:r>
        <w:t>El Instituto de Catastro no registra recaudación.</w:t>
      </w:r>
    </w:p>
    <w:p w14:paraId="30FEA034" w14:textId="49BC2A07" w:rsidR="008E18B6" w:rsidRDefault="008E18B6" w:rsidP="003B39C5">
      <w:pPr>
        <w:pStyle w:val="Texto"/>
        <w:numPr>
          <w:ilvl w:val="0"/>
          <w:numId w:val="10"/>
        </w:numPr>
        <w:spacing w:after="0" w:line="240" w:lineRule="exact"/>
        <w:rPr>
          <w:szCs w:val="18"/>
        </w:rPr>
      </w:pPr>
      <w:r>
        <w:rPr>
          <w:szCs w:val="18"/>
        </w:rPr>
        <w:t>El Instituto de Catastro proporciona servicios en materia catastral a usuarios, contribuyentes, de los cuales se generan ingresos mismos que éstos no son recaudados directamente por el Instituto ya que una vez recaudos en cuentas de Gobierno del E</w:t>
      </w:r>
      <w:r w:rsidR="00554D64">
        <w:rPr>
          <w:szCs w:val="18"/>
        </w:rPr>
        <w:t>stado, la S</w:t>
      </w:r>
      <w:r>
        <w:rPr>
          <w:szCs w:val="18"/>
        </w:rPr>
        <w:t xml:space="preserve">ecretaría de Finanzas </w:t>
      </w:r>
      <w:r w:rsidR="00554D64">
        <w:rPr>
          <w:szCs w:val="18"/>
        </w:rPr>
        <w:t>los transferirá vía ministración como parte de las participaciones del Instituto.</w:t>
      </w:r>
    </w:p>
    <w:p w14:paraId="6ED4398D" w14:textId="5CF68CB8" w:rsidR="00554D64" w:rsidRPr="000B4443" w:rsidRDefault="00554D64" w:rsidP="000B4443">
      <w:pPr>
        <w:pStyle w:val="Texto"/>
        <w:numPr>
          <w:ilvl w:val="0"/>
          <w:numId w:val="10"/>
        </w:numPr>
        <w:spacing w:after="0" w:line="240" w:lineRule="exact"/>
        <w:rPr>
          <w:szCs w:val="18"/>
        </w:rPr>
      </w:pPr>
      <w:r w:rsidRPr="000B4443">
        <w:rPr>
          <w:szCs w:val="18"/>
        </w:rPr>
        <w:t>Se estimó una recaudación por la prestación de los servicios correspondientes al ejercicio fiscal 202</w:t>
      </w:r>
      <w:r w:rsidR="000B4443" w:rsidRPr="000B4443">
        <w:rPr>
          <w:szCs w:val="18"/>
        </w:rPr>
        <w:t>5</w:t>
      </w:r>
      <w:r w:rsidRPr="000B4443">
        <w:rPr>
          <w:szCs w:val="18"/>
        </w:rPr>
        <w:t xml:space="preserve"> por el importe de $</w:t>
      </w:r>
      <w:r w:rsidR="000B4443" w:rsidRPr="000B4443">
        <w:rPr>
          <w:szCs w:val="18"/>
        </w:rPr>
        <w:t>2,618,834.00 (D</w:t>
      </w:r>
      <w:r w:rsidRPr="000B4443">
        <w:rPr>
          <w:szCs w:val="18"/>
        </w:rPr>
        <w:t>os millones</w:t>
      </w:r>
      <w:r w:rsidR="000B4443" w:rsidRPr="000B4443">
        <w:rPr>
          <w:szCs w:val="18"/>
        </w:rPr>
        <w:t xml:space="preserve"> seiscientos dieciocho mil ochocientos treinta y cuatro </w:t>
      </w:r>
      <w:r w:rsidRPr="000B4443">
        <w:rPr>
          <w:szCs w:val="18"/>
        </w:rPr>
        <w:t>pesos 00/100 M.N.).</w:t>
      </w:r>
      <w:r w:rsidR="00497078" w:rsidRPr="000B4443">
        <w:rPr>
          <w:szCs w:val="18"/>
        </w:rPr>
        <w:t xml:space="preserve">, de los cuales </w:t>
      </w:r>
      <w:r w:rsidR="003C60F1">
        <w:rPr>
          <w:szCs w:val="18"/>
        </w:rPr>
        <w:t xml:space="preserve">fue modificado por ampliación </w:t>
      </w:r>
      <w:r w:rsidR="00502359" w:rsidRPr="000B4443">
        <w:rPr>
          <w:szCs w:val="18"/>
        </w:rPr>
        <w:t xml:space="preserve">presupuestal por el </w:t>
      </w:r>
      <w:r w:rsidR="00497078" w:rsidRPr="000B4443">
        <w:rPr>
          <w:szCs w:val="18"/>
        </w:rPr>
        <w:t xml:space="preserve"> importe de  </w:t>
      </w:r>
      <w:r w:rsidR="00502359" w:rsidRPr="000B4443">
        <w:rPr>
          <w:szCs w:val="18"/>
        </w:rPr>
        <w:t>$</w:t>
      </w:r>
      <w:r w:rsidR="003C60F1">
        <w:rPr>
          <w:szCs w:val="18"/>
        </w:rPr>
        <w:t>110,427.00</w:t>
      </w:r>
      <w:r w:rsidR="00502359" w:rsidRPr="000B4443">
        <w:rPr>
          <w:szCs w:val="18"/>
        </w:rPr>
        <w:t xml:space="preserve"> (</w:t>
      </w:r>
      <w:r w:rsidR="003C60F1">
        <w:rPr>
          <w:szCs w:val="18"/>
        </w:rPr>
        <w:t xml:space="preserve">Ciento diez mil cuatrocientos veintisiete </w:t>
      </w:r>
      <w:r w:rsidR="00502359" w:rsidRPr="000B4443">
        <w:rPr>
          <w:szCs w:val="18"/>
        </w:rPr>
        <w:t xml:space="preserve">pesos 00/100 M.N), </w:t>
      </w:r>
      <w:r w:rsidR="00497078" w:rsidRPr="000B4443">
        <w:rPr>
          <w:szCs w:val="18"/>
        </w:rPr>
        <w:t xml:space="preserve">dando una </w:t>
      </w:r>
      <w:r w:rsidR="00015F96" w:rsidRPr="000B4443">
        <w:rPr>
          <w:szCs w:val="18"/>
        </w:rPr>
        <w:t>estimación modificada al 3</w:t>
      </w:r>
      <w:r w:rsidR="00C56E25">
        <w:rPr>
          <w:szCs w:val="18"/>
        </w:rPr>
        <w:t>0</w:t>
      </w:r>
      <w:r w:rsidR="00015F96" w:rsidRPr="000B4443">
        <w:rPr>
          <w:szCs w:val="18"/>
        </w:rPr>
        <w:t xml:space="preserve"> de </w:t>
      </w:r>
      <w:r w:rsidR="003C60F1">
        <w:rPr>
          <w:szCs w:val="18"/>
        </w:rPr>
        <w:t xml:space="preserve">septiembre </w:t>
      </w:r>
      <w:r w:rsidR="00497078" w:rsidRPr="000B4443">
        <w:rPr>
          <w:szCs w:val="18"/>
        </w:rPr>
        <w:t xml:space="preserve">por la cantidad de </w:t>
      </w:r>
      <w:r w:rsidR="000B4443" w:rsidRPr="000B4443">
        <w:rPr>
          <w:b/>
          <w:szCs w:val="18"/>
        </w:rPr>
        <w:t>$2,</w:t>
      </w:r>
      <w:r w:rsidR="003C60F1">
        <w:rPr>
          <w:b/>
          <w:szCs w:val="18"/>
        </w:rPr>
        <w:t>729,261.00</w:t>
      </w:r>
      <w:r w:rsidR="00C56E25">
        <w:rPr>
          <w:b/>
          <w:szCs w:val="18"/>
        </w:rPr>
        <w:t xml:space="preserve"> (Dos millones </w:t>
      </w:r>
      <w:r w:rsidR="00FD5622">
        <w:rPr>
          <w:b/>
          <w:szCs w:val="18"/>
        </w:rPr>
        <w:t xml:space="preserve">setecientos veintinueve mil doscientos sesenta y uno </w:t>
      </w:r>
      <w:r w:rsidR="000B4443" w:rsidRPr="000B4443">
        <w:rPr>
          <w:b/>
          <w:szCs w:val="18"/>
        </w:rPr>
        <w:t>pesos 00/100 M.N.).</w:t>
      </w:r>
    </w:p>
    <w:p w14:paraId="1824C724" w14:textId="77777777" w:rsidR="000B4443" w:rsidRPr="000B4443" w:rsidRDefault="000B4443" w:rsidP="000B4443">
      <w:pPr>
        <w:pStyle w:val="Texto"/>
        <w:spacing w:after="0" w:line="240" w:lineRule="exact"/>
        <w:ind w:left="648" w:firstLine="0"/>
        <w:rPr>
          <w:szCs w:val="18"/>
        </w:rPr>
      </w:pPr>
    </w:p>
    <w:p w14:paraId="01C5E0A7" w14:textId="4799E4A6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Información sobre la Deuda y el Reporte Analítico de la Deuda</w:t>
      </w:r>
    </w:p>
    <w:p w14:paraId="1F481C65" w14:textId="77777777" w:rsidR="00554D64" w:rsidRDefault="00554D64" w:rsidP="00554D64">
      <w:pPr>
        <w:pStyle w:val="INCISO"/>
        <w:spacing w:after="0" w:line="240" w:lineRule="auto"/>
        <w:rPr>
          <w:lang w:val="es-MX"/>
        </w:rPr>
      </w:pPr>
      <w:r>
        <w:rPr>
          <w:lang w:val="es-MX"/>
        </w:rPr>
        <w:t>No se cuenta con Deuda.</w:t>
      </w:r>
    </w:p>
    <w:p w14:paraId="5BD3AFAB" w14:textId="77777777" w:rsidR="00554D64" w:rsidRDefault="00554D64" w:rsidP="00554D64">
      <w:pPr>
        <w:pStyle w:val="Texto"/>
        <w:spacing w:after="0" w:line="240" w:lineRule="auto"/>
        <w:ind w:firstLine="0"/>
        <w:rPr>
          <w:szCs w:val="18"/>
          <w:lang w:val="es-MX"/>
        </w:rPr>
      </w:pPr>
    </w:p>
    <w:p w14:paraId="48E448E0" w14:textId="219CFEA0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Calificaciones otorgadas</w:t>
      </w:r>
    </w:p>
    <w:p w14:paraId="78CC9742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  <w:r>
        <w:rPr>
          <w:szCs w:val="18"/>
        </w:rPr>
        <w:t xml:space="preserve">        </w:t>
      </w:r>
      <w:r w:rsidRPr="000F6B3C">
        <w:rPr>
          <w:szCs w:val="18"/>
        </w:rPr>
        <w:t>El Instituto de Catastro no ha sido sujeto a una calificación crediticia.</w:t>
      </w:r>
    </w:p>
    <w:p w14:paraId="1EE10D87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</w:p>
    <w:p w14:paraId="5633F952" w14:textId="77777777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Proceso de Mejora</w:t>
      </w:r>
    </w:p>
    <w:p w14:paraId="22F0B1F5" w14:textId="77777777" w:rsidR="00554D64" w:rsidRDefault="00554D64" w:rsidP="00554D64">
      <w:pPr>
        <w:pStyle w:val="Texto"/>
        <w:spacing w:after="0" w:line="240" w:lineRule="auto"/>
        <w:ind w:left="288" w:firstLine="0"/>
        <w:rPr>
          <w:szCs w:val="18"/>
        </w:rPr>
      </w:pPr>
      <w:r w:rsidRPr="000F6B3C">
        <w:rPr>
          <w:szCs w:val="18"/>
        </w:rPr>
        <w:t>Se informa de:</w:t>
      </w:r>
    </w:p>
    <w:p w14:paraId="3AD7C7F2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031E5DF8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3F079869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216EB928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58698D09" w14:textId="77777777" w:rsidR="002202FB" w:rsidRDefault="002202FB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64547AA5" w14:textId="77777777" w:rsidR="002202FB" w:rsidRDefault="002202FB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31869328" w14:textId="77777777" w:rsidR="00554D64" w:rsidRDefault="00554D64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24C70D1F" w14:textId="77C07FBD" w:rsidR="00554D64" w:rsidRDefault="00554D64" w:rsidP="00502359">
      <w:pPr>
        <w:pStyle w:val="INCISO"/>
        <w:numPr>
          <w:ilvl w:val="0"/>
          <w:numId w:val="19"/>
        </w:numPr>
        <w:spacing w:after="0" w:line="240" w:lineRule="auto"/>
      </w:pPr>
      <w:r>
        <w:t>El instituto de Catastro observa lo establecido en los LINEAMIENTOS GENERALES DE CONTROL INTERNO Y SUS NORMAS DE APLICACIÓN PARA LA ADMINISTRACIÓN PÚBLICA ESTATAL, publicados en el periódico oficial el 29 de enero de 2016.</w:t>
      </w:r>
    </w:p>
    <w:p w14:paraId="2F9FC271" w14:textId="77777777" w:rsidR="00502359" w:rsidRDefault="00502359" w:rsidP="00502359">
      <w:pPr>
        <w:pStyle w:val="INCISO"/>
        <w:spacing w:after="0" w:line="240" w:lineRule="auto"/>
        <w:ind w:left="1110" w:firstLine="0"/>
      </w:pPr>
    </w:p>
    <w:p w14:paraId="034F1916" w14:textId="77777777" w:rsidR="00554D64" w:rsidRDefault="00554D64" w:rsidP="00554D64">
      <w:pPr>
        <w:pStyle w:val="INCISO"/>
        <w:spacing w:after="0" w:line="240" w:lineRule="auto"/>
      </w:pPr>
      <w:r>
        <w:t xml:space="preserve"> b)</w:t>
      </w:r>
      <w:r>
        <w:tab/>
        <w:t>Indicadores presupuestales que revela las m</w:t>
      </w:r>
      <w:r w:rsidRPr="000F6B3C">
        <w:t>edidas de desempeño financiero,</w:t>
      </w:r>
      <w:r>
        <w:t xml:space="preserve"> e indicadores programáticos que revela el cumplimiento de</w:t>
      </w:r>
      <w:r w:rsidRPr="000F6B3C">
        <w:t xml:space="preserve"> metas y alcance.</w:t>
      </w:r>
    </w:p>
    <w:p w14:paraId="28BE36DE" w14:textId="77777777" w:rsidR="00554D64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</w:p>
    <w:p w14:paraId="171E893F" w14:textId="056BBD0A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Información por Segmentos</w:t>
      </w:r>
    </w:p>
    <w:p w14:paraId="098404F1" w14:textId="77777777" w:rsidR="00554D64" w:rsidRDefault="00554D64" w:rsidP="00554D64">
      <w:pPr>
        <w:pStyle w:val="Texto"/>
        <w:spacing w:after="0" w:line="240" w:lineRule="auto"/>
        <w:rPr>
          <w:szCs w:val="18"/>
          <w:lang w:val="es-MX"/>
        </w:rPr>
      </w:pPr>
      <w:r>
        <w:rPr>
          <w:szCs w:val="18"/>
          <w:lang w:val="es-MX"/>
        </w:rPr>
        <w:t xml:space="preserve">Cuando </w:t>
      </w:r>
      <w:r w:rsidRPr="000F6B3C">
        <w:rPr>
          <w:szCs w:val="18"/>
          <w:lang w:val="es-MX"/>
        </w:rPr>
        <w:t>es necesario revelar la información financiera de manera segmentada.</w:t>
      </w:r>
    </w:p>
    <w:p w14:paraId="113FD66B" w14:textId="77777777" w:rsidR="00554D64" w:rsidRDefault="00554D64" w:rsidP="00554D64">
      <w:pPr>
        <w:pStyle w:val="Texto"/>
        <w:spacing w:after="0" w:line="240" w:lineRule="auto"/>
        <w:rPr>
          <w:szCs w:val="18"/>
          <w:lang w:val="es-MX"/>
        </w:rPr>
      </w:pPr>
    </w:p>
    <w:p w14:paraId="5E935296" w14:textId="77777777" w:rsidR="00554D64" w:rsidRPr="000F6B3C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Eventos Posteriores al Cierre</w:t>
      </w:r>
    </w:p>
    <w:p w14:paraId="54D41D6E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  <w:r w:rsidRPr="000F6B3C">
        <w:rPr>
          <w:szCs w:val="18"/>
        </w:rPr>
        <w:t>No hay hechos a revelar del período posterior al que informa.</w:t>
      </w:r>
    </w:p>
    <w:p w14:paraId="6879F61A" w14:textId="77777777" w:rsidR="00554D64" w:rsidRPr="000F6B3C" w:rsidRDefault="00554D64" w:rsidP="00554D64">
      <w:pPr>
        <w:pStyle w:val="Texto"/>
        <w:spacing w:after="0" w:line="240" w:lineRule="auto"/>
        <w:rPr>
          <w:szCs w:val="18"/>
        </w:rPr>
      </w:pPr>
    </w:p>
    <w:p w14:paraId="29E327ED" w14:textId="77777777" w:rsidR="00554D64" w:rsidRPr="000F6B3C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16.</w:t>
      </w:r>
      <w:r w:rsidRPr="000F6B3C">
        <w:rPr>
          <w:b/>
          <w:szCs w:val="18"/>
          <w:lang w:val="es-MX"/>
        </w:rPr>
        <w:tab/>
        <w:t>Partes Relacionadas</w:t>
      </w:r>
    </w:p>
    <w:p w14:paraId="0A7F78D5" w14:textId="77777777" w:rsidR="00554D64" w:rsidRDefault="00554D64" w:rsidP="00554D64">
      <w:pPr>
        <w:pStyle w:val="Texto"/>
        <w:spacing w:after="0" w:line="240" w:lineRule="auto"/>
        <w:ind w:firstLine="708"/>
        <w:rPr>
          <w:szCs w:val="18"/>
        </w:rPr>
      </w:pPr>
      <w:r>
        <w:rPr>
          <w:szCs w:val="18"/>
        </w:rPr>
        <w:t>El Instituto de Catastro no tiene operaciones con Partes Relacionadas</w:t>
      </w:r>
      <w:r w:rsidRPr="000F6B3C">
        <w:rPr>
          <w:szCs w:val="18"/>
        </w:rPr>
        <w:t>.</w:t>
      </w:r>
    </w:p>
    <w:p w14:paraId="574B2CAA" w14:textId="77777777" w:rsidR="00554D64" w:rsidRPr="000F6B3C" w:rsidRDefault="00554D64" w:rsidP="00554D64">
      <w:pPr>
        <w:pStyle w:val="Texto"/>
        <w:spacing w:after="0" w:line="240" w:lineRule="auto"/>
        <w:ind w:firstLine="708"/>
        <w:rPr>
          <w:szCs w:val="18"/>
        </w:rPr>
      </w:pPr>
    </w:p>
    <w:p w14:paraId="79FD52D1" w14:textId="456CA88E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17.</w:t>
      </w:r>
      <w:r w:rsidRPr="000F6B3C">
        <w:rPr>
          <w:b/>
          <w:szCs w:val="18"/>
          <w:lang w:val="es-MX"/>
        </w:rPr>
        <w:tab/>
        <w:t>Responsabilidad Sobre la Presentación Razonable de la Información Contable</w:t>
      </w:r>
    </w:p>
    <w:p w14:paraId="065F0CB2" w14:textId="77777777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</w:p>
    <w:p w14:paraId="0776CA61" w14:textId="77777777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</w:p>
    <w:p w14:paraId="2AB5550E" w14:textId="77777777" w:rsidR="00554D64" w:rsidRDefault="00554D64" w:rsidP="00554D64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50CEC">
        <w:rPr>
          <w:rFonts w:ascii="Arial" w:eastAsia="Times New Roman" w:hAnsi="Arial" w:cs="Arial"/>
          <w:sz w:val="18"/>
          <w:szCs w:val="18"/>
          <w:lang w:eastAsia="es-ES"/>
        </w:rPr>
        <w:t>La Información Contable está firmada en cada página de la misma e incluye al final la siguiente leyenda: “Bajo protesta de decir verdad declaramos que los Estados Financieros y sus notas, son razonablemente correctos y son responsabilidad del emisor”. Lo anterior, no será aplicable para la información contable consolidada.</w:t>
      </w:r>
    </w:p>
    <w:p w14:paraId="591179AC" w14:textId="748B20F5" w:rsidR="00554D64" w:rsidRDefault="00BE76B8" w:rsidP="00554D64">
      <w:pPr>
        <w:pStyle w:val="Texto"/>
        <w:spacing w:after="0" w:line="240" w:lineRule="auto"/>
        <w:rPr>
          <w:szCs w:val="18"/>
          <w:lang w:val="es-MX"/>
        </w:rPr>
      </w:pPr>
      <w:r>
        <w:rPr>
          <w:noProof/>
          <w:szCs w:val="18"/>
          <w:lang w:val="es-MX" w:eastAsia="es-MX"/>
        </w:rPr>
        <w:object w:dxaOrig="14184" w:dyaOrig="17047" w14:anchorId="797D5920">
          <v:shape id="_x0000_s1101" type="#_x0000_t75" style="position:absolute;left:0;text-align:left;margin-left:-41.9pt;margin-top:75.6pt;width:571.65pt;height:79.15pt;z-index:251670528">
            <v:imagedata r:id="rId22" o:title=""/>
            <w10:wrap type="topAndBottom"/>
          </v:shape>
          <o:OLEObject Type="Embed" ProgID="Excel.Sheet.12" ShapeID="_x0000_s1101" DrawAspect="Content" ObjectID="_1821017158" r:id="rId23"/>
        </w:object>
      </w:r>
    </w:p>
    <w:p w14:paraId="2F92E348" w14:textId="77777777" w:rsidR="00554D64" w:rsidRPr="00554D64" w:rsidRDefault="00554D64" w:rsidP="00554D64">
      <w:pPr>
        <w:pStyle w:val="INCISO"/>
        <w:spacing w:after="0" w:line="240" w:lineRule="auto"/>
        <w:ind w:left="0" w:firstLine="0"/>
        <w:rPr>
          <w:lang w:val="es-MX"/>
        </w:rPr>
      </w:pPr>
    </w:p>
    <w:p w14:paraId="31260BDC" w14:textId="17BC78A5" w:rsidR="00554D64" w:rsidRDefault="00554D64" w:rsidP="00554D64">
      <w:pPr>
        <w:pStyle w:val="Texto"/>
        <w:spacing w:after="0" w:line="240" w:lineRule="auto"/>
        <w:rPr>
          <w:szCs w:val="18"/>
        </w:rPr>
      </w:pPr>
    </w:p>
    <w:p w14:paraId="0120C36A" w14:textId="77777777" w:rsidR="00554D64" w:rsidRPr="00554D64" w:rsidRDefault="00554D64" w:rsidP="00554D64">
      <w:pPr>
        <w:pStyle w:val="INCISO"/>
        <w:spacing w:after="0" w:line="240" w:lineRule="auto"/>
      </w:pPr>
    </w:p>
    <w:p w14:paraId="3C6D5B67" w14:textId="77777777" w:rsidR="00554D64" w:rsidRPr="00554D64" w:rsidRDefault="00554D64" w:rsidP="00554D64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37388420" w14:textId="77777777" w:rsidR="008E18B6" w:rsidRDefault="008E18B6" w:rsidP="001B2D8B">
      <w:pPr>
        <w:pStyle w:val="Texto"/>
        <w:spacing w:after="0" w:line="240" w:lineRule="exact"/>
        <w:rPr>
          <w:szCs w:val="18"/>
        </w:rPr>
      </w:pPr>
    </w:p>
    <w:p w14:paraId="098CBAE7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76EAE7F6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2CD1C37A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1BDB90D1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7127719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13D4A8E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7761F2F0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03B1DABA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920B6A9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70C47DC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0D2DB44B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2D6A4DE8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623B7AA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EDD0314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FCBE8C4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6CAD5A27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16877CA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2FC8505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7F1E6C2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362E59A6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2B31FF7C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38230B25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55F7DF0F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7DC22B0" w14:textId="01E3B2F6" w:rsidR="00445780" w:rsidRPr="000F6B3C" w:rsidRDefault="00445780" w:rsidP="00FC5E9D">
      <w:pPr>
        <w:pStyle w:val="Texto"/>
        <w:numPr>
          <w:ilvl w:val="0"/>
          <w:numId w:val="16"/>
        </w:numPr>
        <w:spacing w:after="0" w:line="240" w:lineRule="exact"/>
        <w:jc w:val="center"/>
        <w:rPr>
          <w:szCs w:val="18"/>
        </w:rPr>
      </w:pPr>
      <w:r w:rsidRPr="000F6B3C">
        <w:rPr>
          <w:b/>
          <w:szCs w:val="18"/>
        </w:rPr>
        <w:t>NOTAS DE DESGLOSE</w:t>
      </w:r>
    </w:p>
    <w:p w14:paraId="332BA9CE" w14:textId="77777777" w:rsidR="00445780" w:rsidRPr="000F6B3C" w:rsidRDefault="00445780" w:rsidP="00445780">
      <w:pPr>
        <w:pStyle w:val="Texto"/>
        <w:spacing w:after="0" w:line="240" w:lineRule="exact"/>
        <w:rPr>
          <w:szCs w:val="18"/>
          <w:lang w:val="es-MX"/>
        </w:rPr>
      </w:pPr>
    </w:p>
    <w:p w14:paraId="514F528E" w14:textId="407D65BC" w:rsidR="00554D64" w:rsidRDefault="00445780" w:rsidP="00445780">
      <w:pPr>
        <w:pStyle w:val="INCISO"/>
        <w:spacing w:after="0" w:line="240" w:lineRule="exact"/>
        <w:ind w:left="648"/>
      </w:pPr>
      <w:r w:rsidRPr="000F6B3C">
        <w:rPr>
          <w:b/>
          <w:smallCaps/>
        </w:rPr>
        <w:t>I)</w:t>
      </w:r>
      <w:r w:rsidRPr="000F6B3C">
        <w:rPr>
          <w:b/>
          <w:smallCaps/>
        </w:rPr>
        <w:tab/>
        <w:t xml:space="preserve">Notas al </w:t>
      </w:r>
      <w:r>
        <w:rPr>
          <w:b/>
          <w:smallCaps/>
        </w:rPr>
        <w:t xml:space="preserve">estado de actividades </w:t>
      </w:r>
    </w:p>
    <w:p w14:paraId="301707D4" w14:textId="77777777" w:rsidR="00445780" w:rsidRPr="000F6B3C" w:rsidRDefault="00445780" w:rsidP="00445780">
      <w:pPr>
        <w:pStyle w:val="INCISO"/>
        <w:spacing w:after="0" w:line="240" w:lineRule="exact"/>
        <w:ind w:left="360"/>
        <w:rPr>
          <w:b/>
          <w:smallCaps/>
        </w:rPr>
      </w:pPr>
    </w:p>
    <w:p w14:paraId="73805ECA" w14:textId="38FFD7E4" w:rsidR="00445780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0F6B3C">
        <w:rPr>
          <w:b/>
          <w:lang w:val="es-MX"/>
        </w:rPr>
        <w:t xml:space="preserve">Ingresos </w:t>
      </w:r>
      <w:r>
        <w:rPr>
          <w:b/>
          <w:lang w:val="es-MX"/>
        </w:rPr>
        <w:t>y otros beneficios</w:t>
      </w:r>
    </w:p>
    <w:p w14:paraId="4F0B2B73" w14:textId="50E1CC7E" w:rsidR="00445780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016EE9E6" w14:textId="516A8A08" w:rsidR="00445780" w:rsidRDefault="00445780" w:rsidP="003B39C5">
      <w:pPr>
        <w:pStyle w:val="ROMANOS"/>
        <w:numPr>
          <w:ilvl w:val="0"/>
          <w:numId w:val="11"/>
        </w:numPr>
        <w:spacing w:after="0" w:line="240" w:lineRule="exact"/>
        <w:rPr>
          <w:b/>
          <w:lang w:val="es-MX"/>
        </w:rPr>
      </w:pPr>
      <w:r>
        <w:rPr>
          <w:b/>
          <w:lang w:val="es-MX"/>
        </w:rPr>
        <w:t xml:space="preserve">Ingresos de gestión: </w:t>
      </w:r>
    </w:p>
    <w:p w14:paraId="38E8AE11" w14:textId="77777777" w:rsidR="00445780" w:rsidRPr="00445780" w:rsidRDefault="00445780" w:rsidP="00445780">
      <w:pPr>
        <w:pStyle w:val="ROMANOS"/>
        <w:spacing w:after="0" w:line="240" w:lineRule="exact"/>
        <w:ind w:left="360" w:firstLine="0"/>
        <w:rPr>
          <w:b/>
          <w:lang w:val="es-MX"/>
        </w:rPr>
      </w:pPr>
    </w:p>
    <w:p w14:paraId="1EC16B10" w14:textId="65B1A67E" w:rsidR="00445780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571BB">
        <w:rPr>
          <w:rFonts w:ascii="Arial" w:eastAsia="Times New Roman" w:hAnsi="Arial" w:cs="Arial"/>
          <w:sz w:val="18"/>
          <w:szCs w:val="18"/>
          <w:lang w:eastAsia="es-ES"/>
        </w:rPr>
        <w:t xml:space="preserve">Se registraron ingresos </w:t>
      </w:r>
      <w:r>
        <w:rPr>
          <w:rFonts w:ascii="Arial" w:eastAsia="Times New Roman" w:hAnsi="Arial" w:cs="Arial"/>
          <w:sz w:val="18"/>
          <w:szCs w:val="18"/>
          <w:lang w:eastAsia="es-ES"/>
        </w:rPr>
        <w:t>al 3</w:t>
      </w:r>
      <w:r w:rsidR="000A3323">
        <w:rPr>
          <w:rFonts w:ascii="Arial" w:eastAsia="Times New Roman" w:hAnsi="Arial" w:cs="Arial"/>
          <w:sz w:val="18"/>
          <w:szCs w:val="18"/>
          <w:lang w:eastAsia="es-ES"/>
        </w:rPr>
        <w:t>0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0A3323">
        <w:rPr>
          <w:rFonts w:ascii="Arial" w:eastAsia="Times New Roman" w:hAnsi="Arial" w:cs="Arial"/>
          <w:sz w:val="18"/>
          <w:szCs w:val="18"/>
          <w:lang w:eastAsia="es-ES"/>
        </w:rPr>
        <w:t xml:space="preserve">Junio </w:t>
      </w:r>
      <w:r w:rsidR="000B4443">
        <w:rPr>
          <w:rFonts w:ascii="Arial" w:eastAsia="Times New Roman" w:hAnsi="Arial" w:cs="Arial"/>
          <w:sz w:val="18"/>
          <w:szCs w:val="18"/>
          <w:lang w:eastAsia="es-ES"/>
        </w:rPr>
        <w:t>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202</w:t>
      </w:r>
      <w:r w:rsidR="000B4443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Pr="009636B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>de la siguiente manera:</w:t>
      </w:r>
    </w:p>
    <w:p w14:paraId="336F4EC7" w14:textId="77777777" w:rsidR="002202FB" w:rsidRDefault="002202FB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119"/>
      </w:tblGrid>
      <w:tr w:rsidR="008F1AA7" w:rsidRPr="0059597A" w14:paraId="2DE65A65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50C11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DE69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FINANCIERO</w:t>
            </w:r>
          </w:p>
        </w:tc>
      </w:tr>
      <w:tr w:rsidR="008F1AA7" w:rsidRPr="0059597A" w14:paraId="7681F23A" w14:textId="77777777" w:rsidTr="008F1AA7">
        <w:trPr>
          <w:trHeight w:val="326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962D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 (Ministración de capítulo 1000).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331C" w14:textId="6F415995" w:rsidR="008F1AA7" w:rsidRPr="0059597A" w:rsidRDefault="001A7C45" w:rsidP="00FD5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FD5622">
              <w:rPr>
                <w:rFonts w:ascii="Calibri" w:eastAsia="Times New Roman" w:hAnsi="Calibri" w:cs="Calibri"/>
                <w:color w:val="000000"/>
                <w:lang w:eastAsia="es-MX"/>
              </w:rPr>
              <w:t>5,109,755.00</w:t>
            </w:r>
          </w:p>
        </w:tc>
      </w:tr>
      <w:tr w:rsidR="008F1AA7" w:rsidRPr="0059597A" w14:paraId="31C17B39" w14:textId="77777777" w:rsidTr="008F1AA7">
        <w:trPr>
          <w:trHeight w:val="326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82B2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 (Ministración de capítulos 2000, 3000 y 5000).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C899" w14:textId="375EAEB2" w:rsidR="008F1AA7" w:rsidRPr="0059597A" w:rsidRDefault="00FD5622" w:rsidP="00CA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2,593,675.00</w:t>
            </w:r>
          </w:p>
        </w:tc>
      </w:tr>
      <w:tr w:rsidR="008F1AA7" w:rsidRPr="0059597A" w14:paraId="527C842E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7AD6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financieros.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4CA6" w14:textId="483E03E8" w:rsidR="009E6F61" w:rsidRPr="0059597A" w:rsidRDefault="00FD5622" w:rsidP="009E6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1,122.00</w:t>
            </w:r>
          </w:p>
        </w:tc>
      </w:tr>
      <w:tr w:rsidR="008F1AA7" w:rsidRPr="0059597A" w14:paraId="6472371E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CCB4" w14:textId="3EF810BF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CFC3" w14:textId="2AA5D3B9" w:rsidR="008F1AA7" w:rsidRPr="0059597A" w:rsidRDefault="008F1AA7" w:rsidP="00FD5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9597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FD562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7,704,552.00</w:t>
            </w:r>
          </w:p>
        </w:tc>
      </w:tr>
    </w:tbl>
    <w:p w14:paraId="0CB96A98" w14:textId="77777777" w:rsidR="00445780" w:rsidRDefault="00445780" w:rsidP="00445780">
      <w:pPr>
        <w:jc w:val="both"/>
      </w:pPr>
    </w:p>
    <w:p w14:paraId="4AAFD347" w14:textId="180A37BD" w:rsidR="00C61A62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735C9">
        <w:rPr>
          <w:rFonts w:ascii="Arial" w:eastAsia="Times New Roman" w:hAnsi="Arial" w:cs="Arial"/>
          <w:sz w:val="18"/>
          <w:szCs w:val="18"/>
          <w:lang w:eastAsia="es-ES"/>
        </w:rPr>
        <w:t>Ingresos po</w:t>
      </w:r>
      <w:r>
        <w:rPr>
          <w:rFonts w:ascii="Arial" w:eastAsia="Times New Roman" w:hAnsi="Arial" w:cs="Arial"/>
          <w:sz w:val="18"/>
          <w:szCs w:val="18"/>
          <w:lang w:eastAsia="es-ES"/>
        </w:rPr>
        <w:t>r concepto de Ministraciones de recursos realizadas por la Secretaría de Finanzas vía transferencia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de los capítulos 1000 “Servicios personales”, 2000 “Materiales y Suministros”, 3000 “Servicios Generales” y 5000 “Bienes Muebles, Inmuebles e Intangibles” 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>por la cantidad de $</w:t>
      </w:r>
      <w:r w:rsidR="00FD5622">
        <w:rPr>
          <w:rFonts w:ascii="Arial" w:eastAsia="Times New Roman" w:hAnsi="Arial" w:cs="Arial"/>
          <w:sz w:val="18"/>
          <w:szCs w:val="18"/>
          <w:lang w:eastAsia="es-ES"/>
        </w:rPr>
        <w:t>7</w:t>
      </w:r>
      <w:proofErr w:type="gramStart"/>
      <w:r w:rsidR="00FD5622">
        <w:rPr>
          <w:rFonts w:ascii="Arial" w:eastAsia="Times New Roman" w:hAnsi="Arial" w:cs="Arial"/>
          <w:sz w:val="18"/>
          <w:szCs w:val="18"/>
          <w:lang w:eastAsia="es-ES"/>
        </w:rPr>
        <w:t>,703,430.00</w:t>
      </w:r>
      <w:proofErr w:type="gramEnd"/>
    </w:p>
    <w:p w14:paraId="3310FDEC" w14:textId="214D7493" w:rsidR="00445780" w:rsidRPr="0059597A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97A">
        <w:rPr>
          <w:rFonts w:ascii="Arial" w:eastAsia="Times New Roman" w:hAnsi="Arial" w:cs="Arial"/>
          <w:sz w:val="18"/>
          <w:szCs w:val="18"/>
          <w:lang w:eastAsia="es-ES"/>
        </w:rPr>
        <w:t>Productos financieros por la cantidad de $</w:t>
      </w:r>
      <w:r w:rsidR="00FD5622">
        <w:rPr>
          <w:rFonts w:ascii="Arial" w:eastAsia="Times New Roman" w:hAnsi="Arial" w:cs="Arial"/>
          <w:sz w:val="18"/>
          <w:szCs w:val="18"/>
          <w:lang w:eastAsia="es-ES"/>
        </w:rPr>
        <w:t>1,122.00</w:t>
      </w:r>
    </w:p>
    <w:p w14:paraId="2DEA1423" w14:textId="32C54BA9" w:rsidR="00445780" w:rsidRPr="00281A15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7E46DD">
        <w:rPr>
          <w:b/>
          <w:lang w:val="es-MX"/>
        </w:rPr>
        <w:t>Un total de ingresos</w:t>
      </w:r>
      <w:r>
        <w:rPr>
          <w:b/>
          <w:lang w:val="es-MX"/>
        </w:rPr>
        <w:t xml:space="preserve"> (incluye transferencias y productos financieros)</w:t>
      </w:r>
      <w:r w:rsidRPr="007E46DD">
        <w:rPr>
          <w:b/>
          <w:lang w:val="es-MX"/>
        </w:rPr>
        <w:t xml:space="preserve"> por el importe de $</w:t>
      </w:r>
      <w:r w:rsidR="00FD5622">
        <w:rPr>
          <w:b/>
          <w:lang w:val="es-MX"/>
        </w:rPr>
        <w:t>7</w:t>
      </w:r>
      <w:proofErr w:type="gramStart"/>
      <w:r w:rsidR="00FD5622">
        <w:rPr>
          <w:b/>
          <w:lang w:val="es-MX"/>
        </w:rPr>
        <w:t>,704,552.00</w:t>
      </w:r>
      <w:proofErr w:type="gramEnd"/>
      <w:r w:rsidR="00F12D36">
        <w:rPr>
          <w:b/>
          <w:lang w:val="es-MX"/>
        </w:rPr>
        <w:t xml:space="preserve"> (</w:t>
      </w:r>
      <w:r w:rsidR="00FD5622">
        <w:rPr>
          <w:b/>
          <w:lang w:val="es-MX"/>
        </w:rPr>
        <w:t xml:space="preserve">Siete millones setecientos cuatro mil quinientos cincuenta y dos </w:t>
      </w:r>
      <w:r w:rsidR="00446985">
        <w:rPr>
          <w:b/>
          <w:lang w:val="es-MX"/>
        </w:rPr>
        <w:t xml:space="preserve">pesos </w:t>
      </w:r>
      <w:r w:rsidR="00F12D36">
        <w:rPr>
          <w:b/>
          <w:lang w:val="es-MX"/>
        </w:rPr>
        <w:t>00/100 M.N.)</w:t>
      </w:r>
    </w:p>
    <w:p w14:paraId="6B1EE700" w14:textId="77777777" w:rsidR="00554D64" w:rsidRDefault="00554D64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502DF4F2" w14:textId="77777777" w:rsidR="002202FB" w:rsidRDefault="002202FB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1B559204" w14:textId="17B62D77" w:rsidR="008F1AA7" w:rsidRPr="00120AA1" w:rsidRDefault="008F1AA7" w:rsidP="00F12D36">
      <w:pPr>
        <w:pStyle w:val="ROMANOS"/>
        <w:numPr>
          <w:ilvl w:val="0"/>
          <w:numId w:val="11"/>
        </w:numPr>
        <w:spacing w:after="0" w:line="240" w:lineRule="exact"/>
        <w:rPr>
          <w:b/>
          <w:lang w:val="es-MX"/>
        </w:rPr>
      </w:pPr>
      <w:r w:rsidRPr="00120AA1">
        <w:rPr>
          <w:b/>
          <w:lang w:val="es-MX"/>
        </w:rPr>
        <w:t>Gastos y Otras Pérdidas:</w:t>
      </w:r>
    </w:p>
    <w:p w14:paraId="3CCF75F3" w14:textId="77777777" w:rsidR="008F1AA7" w:rsidRDefault="008F1AA7" w:rsidP="008F1AA7">
      <w:pPr>
        <w:pStyle w:val="ROMANOS"/>
        <w:spacing w:after="0" w:line="240" w:lineRule="exact"/>
        <w:rPr>
          <w:lang w:val="es-MX"/>
        </w:rPr>
      </w:pPr>
      <w:r w:rsidRPr="007E46DD">
        <w:rPr>
          <w:lang w:val="es-MX"/>
        </w:rPr>
        <w:t>Se registraron gastos de la siguiente manera:</w:t>
      </w:r>
    </w:p>
    <w:p w14:paraId="0E1ABACA" w14:textId="77777777" w:rsidR="002202FB" w:rsidRDefault="002202FB" w:rsidP="008F1AA7">
      <w:pPr>
        <w:pStyle w:val="ROMANOS"/>
        <w:spacing w:after="0" w:line="240" w:lineRule="exact"/>
        <w:rPr>
          <w:lang w:val="es-MX"/>
        </w:rPr>
      </w:pPr>
    </w:p>
    <w:p w14:paraId="7DECC497" w14:textId="77777777" w:rsidR="008F1AA7" w:rsidRDefault="008F1AA7" w:rsidP="008F1AA7">
      <w:pPr>
        <w:pStyle w:val="ROMANOS"/>
        <w:spacing w:after="0" w:line="240" w:lineRule="exact"/>
        <w:rPr>
          <w:b/>
          <w:lang w:val="es-MX"/>
        </w:rPr>
      </w:pPr>
    </w:p>
    <w:tbl>
      <w:tblPr>
        <w:tblW w:w="6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2994"/>
      </w:tblGrid>
      <w:tr w:rsidR="008F1AA7" w:rsidRPr="0059597A" w14:paraId="7493B45E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C279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CAPÍTULO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9245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FINANCIERO</w:t>
            </w:r>
          </w:p>
        </w:tc>
      </w:tr>
      <w:tr w:rsidR="008F1AA7" w:rsidRPr="0059597A" w14:paraId="16E930A9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5F86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8EBD" w14:textId="5F717950" w:rsidR="008F1AA7" w:rsidRPr="0059597A" w:rsidRDefault="008F1AA7" w:rsidP="00FD5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FD562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4,762,910.00</w:t>
            </w:r>
          </w:p>
        </w:tc>
      </w:tr>
      <w:tr w:rsidR="008F1AA7" w:rsidRPr="0059597A" w14:paraId="0DFBEA7A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8A48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9931" w14:textId="772A9FB8" w:rsidR="008F1AA7" w:rsidRPr="0059597A" w:rsidRDefault="00FD5622" w:rsidP="001A7C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212,888.00</w:t>
            </w:r>
          </w:p>
        </w:tc>
      </w:tr>
      <w:tr w:rsidR="008F1AA7" w:rsidRPr="0059597A" w14:paraId="43FD01FC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EF867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C5618" w14:textId="03C8A203" w:rsidR="008F1AA7" w:rsidRPr="0059597A" w:rsidRDefault="00FD5622" w:rsidP="00CA2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331,688.00</w:t>
            </w:r>
          </w:p>
        </w:tc>
      </w:tr>
      <w:tr w:rsidR="008F1AA7" w:rsidRPr="0059597A" w14:paraId="4BA450C0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03AD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E999" w14:textId="4C4E5519" w:rsidR="008F1AA7" w:rsidRPr="0059597A" w:rsidRDefault="008F1AA7" w:rsidP="00FD5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FD56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5,307,486.00</w:t>
            </w:r>
          </w:p>
        </w:tc>
      </w:tr>
    </w:tbl>
    <w:p w14:paraId="79BAC025" w14:textId="77777777" w:rsidR="008F1AA7" w:rsidRDefault="008F1AA7" w:rsidP="008F1AA7">
      <w:pPr>
        <w:pStyle w:val="ROMANOS"/>
        <w:spacing w:after="0" w:line="240" w:lineRule="exact"/>
        <w:rPr>
          <w:b/>
          <w:lang w:val="es-MX"/>
        </w:rPr>
      </w:pPr>
    </w:p>
    <w:p w14:paraId="327C86D0" w14:textId="77777777" w:rsidR="002202FB" w:rsidRDefault="002202FB" w:rsidP="008F1AA7">
      <w:pPr>
        <w:pStyle w:val="ROMANOS"/>
        <w:spacing w:after="0" w:line="240" w:lineRule="exact"/>
        <w:rPr>
          <w:b/>
          <w:lang w:val="es-MX"/>
        </w:rPr>
      </w:pPr>
    </w:p>
    <w:p w14:paraId="0C6A48F3" w14:textId="77777777" w:rsidR="008F1AA7" w:rsidRPr="00F559EC" w:rsidRDefault="008F1AA7" w:rsidP="008F1AA7">
      <w:pPr>
        <w:pStyle w:val="ROMANOS"/>
        <w:spacing w:after="0" w:line="240" w:lineRule="exact"/>
        <w:rPr>
          <w:lang w:val="es-MX"/>
        </w:rPr>
      </w:pPr>
    </w:p>
    <w:p w14:paraId="0E318862" w14:textId="499AA23A" w:rsidR="008E18B6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7E46DD">
        <w:rPr>
          <w:b/>
          <w:lang w:val="es-MX"/>
        </w:rPr>
        <w:t xml:space="preserve">Un total de </w:t>
      </w:r>
      <w:r>
        <w:rPr>
          <w:b/>
          <w:lang w:val="es-MX"/>
        </w:rPr>
        <w:t>gastos po</w:t>
      </w:r>
      <w:r w:rsidRPr="007E46DD">
        <w:rPr>
          <w:b/>
          <w:lang w:val="es-MX"/>
        </w:rPr>
        <w:t>r el importe de $</w:t>
      </w:r>
      <w:r w:rsidR="00FD5622">
        <w:rPr>
          <w:b/>
          <w:lang w:val="es-MX"/>
        </w:rPr>
        <w:t>5</w:t>
      </w:r>
      <w:proofErr w:type="gramStart"/>
      <w:r w:rsidR="00FD5622">
        <w:rPr>
          <w:b/>
          <w:lang w:val="es-MX"/>
        </w:rPr>
        <w:t>,307,486.00</w:t>
      </w:r>
      <w:proofErr w:type="gramEnd"/>
      <w:r w:rsidR="00F12D36">
        <w:rPr>
          <w:b/>
          <w:lang w:val="es-MX"/>
        </w:rPr>
        <w:t xml:space="preserve"> (</w:t>
      </w:r>
      <w:r w:rsidR="00FD5622">
        <w:rPr>
          <w:b/>
          <w:lang w:val="es-MX"/>
        </w:rPr>
        <w:t xml:space="preserve">Cinco millones trescientos siete mil cuatrocientos ochenta y seis pesos </w:t>
      </w:r>
      <w:r w:rsidR="00097DCE">
        <w:rPr>
          <w:b/>
          <w:lang w:val="es-MX"/>
        </w:rPr>
        <w:t>00/100 M.N.).</w:t>
      </w:r>
    </w:p>
    <w:p w14:paraId="27229B5B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9905C42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2301D88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AE99DCF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5F57D8E7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4828F36E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60F90CF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E334AD5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48390D3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657E9E9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5B561C5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A747909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0CAD454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5040533C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7FEB2A8" w14:textId="4E765E65" w:rsidR="008F1AA7" w:rsidRDefault="008F1AA7" w:rsidP="00F12D36">
      <w:pPr>
        <w:pStyle w:val="ROMANOS"/>
        <w:spacing w:after="0" w:line="240" w:lineRule="exact"/>
        <w:ind w:left="0" w:firstLine="0"/>
        <w:jc w:val="center"/>
        <w:rPr>
          <w:b/>
          <w:lang w:val="es-MX"/>
        </w:rPr>
      </w:pPr>
      <w:r>
        <w:rPr>
          <w:b/>
          <w:lang w:val="es-MX"/>
        </w:rPr>
        <w:t>I</w:t>
      </w:r>
      <w:r w:rsidR="00FC5E9D">
        <w:rPr>
          <w:b/>
          <w:lang w:val="es-MX"/>
        </w:rPr>
        <w:t>I</w:t>
      </w:r>
      <w:r>
        <w:rPr>
          <w:b/>
          <w:lang w:val="es-MX"/>
        </w:rPr>
        <w:t>) NOTAS AL ESTADO DE SITUACIÓN FINANCIERA.</w:t>
      </w:r>
    </w:p>
    <w:p w14:paraId="137BFE56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9CBE2AE" w14:textId="00688D6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  <w:r>
        <w:rPr>
          <w:b/>
          <w:lang w:val="es-MX"/>
        </w:rPr>
        <w:t>Activo</w:t>
      </w:r>
    </w:p>
    <w:p w14:paraId="7B9CC7AD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B34D3FB" w14:textId="77777777" w:rsidR="004B2E32" w:rsidRPr="000F6B3C" w:rsidRDefault="004B2E32" w:rsidP="004B2E32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Efectivo y Equivalentes</w:t>
      </w:r>
    </w:p>
    <w:p w14:paraId="24B51EA0" w14:textId="508A7178" w:rsidR="004B2E32" w:rsidRDefault="004B2E32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 xml:space="preserve">El </w:t>
      </w:r>
      <w:r w:rsidRPr="00F7452E">
        <w:rPr>
          <w:lang w:val="es-MX"/>
        </w:rPr>
        <w:t xml:space="preserve">saldo </w:t>
      </w:r>
      <w:r w:rsidRPr="00E3285D">
        <w:rPr>
          <w:lang w:val="es-MX"/>
        </w:rPr>
        <w:t xml:space="preserve">por </w:t>
      </w:r>
      <w:r w:rsidRPr="00F12D36">
        <w:rPr>
          <w:b/>
          <w:lang w:val="es-MX"/>
        </w:rPr>
        <w:t>$</w:t>
      </w:r>
      <w:r w:rsidR="00FD5622">
        <w:rPr>
          <w:b/>
          <w:lang w:val="es-MX"/>
        </w:rPr>
        <w:t>4</w:t>
      </w:r>
      <w:proofErr w:type="gramStart"/>
      <w:r w:rsidR="00FD5622">
        <w:rPr>
          <w:b/>
          <w:lang w:val="es-MX"/>
        </w:rPr>
        <w:t>,320,376.00</w:t>
      </w:r>
      <w:proofErr w:type="gramEnd"/>
      <w:r w:rsidR="00F12D36">
        <w:rPr>
          <w:lang w:val="es-MX"/>
        </w:rPr>
        <w:t xml:space="preserve"> </w:t>
      </w:r>
      <w:r w:rsidR="00F12D36" w:rsidRPr="00F12D36">
        <w:rPr>
          <w:b/>
          <w:lang w:val="es-MX"/>
        </w:rPr>
        <w:t>(</w:t>
      </w:r>
      <w:r w:rsidR="00FD5622">
        <w:rPr>
          <w:b/>
          <w:lang w:val="es-MX"/>
        </w:rPr>
        <w:t>Cuatro millones trescientos veinte mil trescientos setenta y seis pesos</w:t>
      </w:r>
      <w:r w:rsidR="00097DCE">
        <w:rPr>
          <w:b/>
          <w:lang w:val="es-MX"/>
        </w:rPr>
        <w:t xml:space="preserve">  </w:t>
      </w:r>
      <w:r w:rsidR="00F12D36" w:rsidRPr="00F12D36">
        <w:rPr>
          <w:b/>
          <w:lang w:val="es-MX"/>
        </w:rPr>
        <w:t>00/100 M.N.)</w:t>
      </w:r>
      <w:r w:rsidR="00F12D36">
        <w:rPr>
          <w:lang w:val="es-MX"/>
        </w:rPr>
        <w:t xml:space="preserve"> </w:t>
      </w:r>
      <w:r w:rsidRPr="00E3285D">
        <w:rPr>
          <w:lang w:val="es-MX"/>
        </w:rPr>
        <w:t xml:space="preserve"> </w:t>
      </w:r>
      <w:r w:rsidRPr="000F6B3C">
        <w:rPr>
          <w:lang w:val="es-MX"/>
        </w:rPr>
        <w:t>correspo</w:t>
      </w:r>
      <w:r>
        <w:rPr>
          <w:lang w:val="es-MX"/>
        </w:rPr>
        <w:t>nde a transferencias recibidas por ministración de recursos y productos financieros.</w:t>
      </w:r>
    </w:p>
    <w:p w14:paraId="78142D8B" w14:textId="77777777" w:rsidR="004B2E32" w:rsidRPr="000F6B3C" w:rsidRDefault="004B2E32" w:rsidP="004B2E32">
      <w:pPr>
        <w:pStyle w:val="ROMANOS"/>
        <w:spacing w:after="0" w:line="240" w:lineRule="exact"/>
        <w:ind w:left="414" w:firstLine="0"/>
        <w:rPr>
          <w:lang w:val="es-MX"/>
        </w:rPr>
      </w:pPr>
    </w:p>
    <w:p w14:paraId="53649CD1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  <w:t>Derechos a recibir Efectivo y Equivalentes y Bienes o Servicios a Recibir</w:t>
      </w:r>
    </w:p>
    <w:p w14:paraId="6918EE8F" w14:textId="5FA7FF5B" w:rsidR="00097DCE" w:rsidRDefault="00097DCE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>
        <w:t xml:space="preserve">Se informa que se cuenta con un saldo </w:t>
      </w:r>
      <w:r w:rsidRPr="00097DCE">
        <w:t>de</w:t>
      </w:r>
      <w:r w:rsidR="00FD5622">
        <w:rPr>
          <w:b/>
        </w:rPr>
        <w:t xml:space="preserve"> $239</w:t>
      </w:r>
      <w:r w:rsidR="00C61A62">
        <w:rPr>
          <w:b/>
        </w:rPr>
        <w:t>.</w:t>
      </w:r>
      <w:r w:rsidRPr="00097DCE">
        <w:rPr>
          <w:b/>
        </w:rPr>
        <w:t xml:space="preserve">00 </w:t>
      </w:r>
      <w:r w:rsidR="00C61A62">
        <w:rPr>
          <w:b/>
        </w:rPr>
        <w:t xml:space="preserve">(Seiscientos diez pesos </w:t>
      </w:r>
      <w:r w:rsidRPr="00097DCE">
        <w:rPr>
          <w:b/>
        </w:rPr>
        <w:t>00/100 M.N.)</w:t>
      </w:r>
      <w:r>
        <w:t xml:space="preserve"> en el rubro Derecho a Recibir Efectivo o Equivalentes, mismos que corresponden al Subsidio para el Empleo, el cual fue otorgado a un servidor público en el mes de</w:t>
      </w:r>
      <w:r w:rsidR="00FD5622">
        <w:t xml:space="preserve"> septiembre </w:t>
      </w:r>
      <w:r>
        <w:t xml:space="preserve"> y será acreditado en las retenciones por salarios a pagar  (ISR) al SAT en mes inmediato siguiente.</w:t>
      </w:r>
    </w:p>
    <w:p w14:paraId="55E0DCB6" w14:textId="104CB5F3" w:rsidR="004B2E32" w:rsidRDefault="004B2E32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>
        <w:rPr>
          <w:lang w:val="es-MX"/>
        </w:rPr>
        <w:t>No se tiene saldo que se encuentre pendiente de cobro y/o por recuperar por concepto de contribuciones.</w:t>
      </w:r>
    </w:p>
    <w:p w14:paraId="69ECD7B5" w14:textId="5B669097" w:rsidR="004B2E32" w:rsidRDefault="004B2E32" w:rsidP="00097DCE">
      <w:pPr>
        <w:pStyle w:val="ROMANOS"/>
        <w:spacing w:after="0" w:line="240" w:lineRule="exact"/>
        <w:ind w:left="414" w:firstLine="0"/>
        <w:rPr>
          <w:lang w:val="es-MX"/>
        </w:rPr>
      </w:pPr>
      <w:r w:rsidRPr="000E3154">
        <w:rPr>
          <w:lang w:val="es-MX"/>
        </w:rPr>
        <w:t>Se informa que el IDC al 3</w:t>
      </w:r>
      <w:r w:rsidR="00C61A62">
        <w:rPr>
          <w:lang w:val="es-MX"/>
        </w:rPr>
        <w:t>0</w:t>
      </w:r>
      <w:r w:rsidRPr="000E3154">
        <w:rPr>
          <w:lang w:val="es-MX"/>
        </w:rPr>
        <w:t xml:space="preserve"> de </w:t>
      </w:r>
      <w:r w:rsidR="00FD5622">
        <w:rPr>
          <w:lang w:val="es-MX"/>
        </w:rPr>
        <w:t xml:space="preserve">septiembre </w:t>
      </w:r>
      <w:r w:rsidR="005D096A">
        <w:rPr>
          <w:lang w:val="es-MX"/>
        </w:rPr>
        <w:t xml:space="preserve">de 2025 </w:t>
      </w:r>
      <w:r w:rsidR="000E3154" w:rsidRPr="000E3154">
        <w:rPr>
          <w:lang w:val="es-MX"/>
        </w:rPr>
        <w:t xml:space="preserve">no </w:t>
      </w:r>
      <w:r w:rsidRPr="000E3154">
        <w:rPr>
          <w:lang w:val="es-MX"/>
        </w:rPr>
        <w:t>cuenta con Derechos a recibir efectivo y Equivalentes y Bienes y Servicios a Recib</w:t>
      </w:r>
      <w:r w:rsidR="00F12D36" w:rsidRPr="000E3154">
        <w:rPr>
          <w:lang w:val="es-MX"/>
        </w:rPr>
        <w:t>ir</w:t>
      </w:r>
      <w:r w:rsidR="000E3154">
        <w:rPr>
          <w:lang w:val="es-MX"/>
        </w:rPr>
        <w:t>.</w:t>
      </w:r>
    </w:p>
    <w:p w14:paraId="3C973EA0" w14:textId="77777777" w:rsidR="000E3154" w:rsidRPr="000E3154" w:rsidRDefault="000E3154" w:rsidP="000E3154">
      <w:pPr>
        <w:pStyle w:val="ROMANOS"/>
        <w:spacing w:after="0" w:line="240" w:lineRule="exact"/>
        <w:ind w:left="414" w:firstLine="0"/>
        <w:rPr>
          <w:lang w:val="es-MX"/>
        </w:rPr>
      </w:pPr>
    </w:p>
    <w:p w14:paraId="2E800357" w14:textId="45F252CF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</w:r>
      <w:r>
        <w:rPr>
          <w:b/>
          <w:lang w:val="es-MX"/>
        </w:rPr>
        <w:t>Inventarios</w:t>
      </w:r>
    </w:p>
    <w:p w14:paraId="000CF68D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4.</w:t>
      </w:r>
      <w:r w:rsidRPr="000F6B3C">
        <w:rPr>
          <w:lang w:val="es-MX"/>
        </w:rPr>
        <w:tab/>
        <w:t>No existen bienes disponibles para su transformación, por lo que no aplica revelar información alguna.</w:t>
      </w:r>
    </w:p>
    <w:p w14:paraId="7AF92C6B" w14:textId="77777777" w:rsidR="004B2E32" w:rsidRDefault="004B2E32" w:rsidP="004B2E32">
      <w:pPr>
        <w:pStyle w:val="ROMANOS"/>
        <w:spacing w:after="0" w:line="240" w:lineRule="exact"/>
        <w:ind w:left="0" w:firstLine="0"/>
        <w:rPr>
          <w:lang w:val="es-MX"/>
        </w:rPr>
      </w:pPr>
    </w:p>
    <w:p w14:paraId="2A37758A" w14:textId="77777777" w:rsidR="004B2E32" w:rsidRDefault="004B2E32" w:rsidP="004B2E32">
      <w:pPr>
        <w:pStyle w:val="ROMANOS"/>
        <w:spacing w:after="0" w:line="240" w:lineRule="exact"/>
        <w:ind w:left="0" w:firstLine="426"/>
        <w:rPr>
          <w:b/>
          <w:lang w:val="es-MX"/>
        </w:rPr>
      </w:pPr>
      <w:r>
        <w:rPr>
          <w:b/>
          <w:lang w:val="es-MX"/>
        </w:rPr>
        <w:t>Almacenes</w:t>
      </w:r>
    </w:p>
    <w:p w14:paraId="0C5B3FD0" w14:textId="38461608" w:rsidR="004B2E32" w:rsidRDefault="004B2E32" w:rsidP="004B2E32">
      <w:pPr>
        <w:pStyle w:val="ROMANOS"/>
        <w:spacing w:after="0" w:line="240" w:lineRule="exact"/>
        <w:ind w:left="0" w:firstLine="0"/>
        <w:rPr>
          <w:lang w:val="es-MX"/>
        </w:rPr>
      </w:pPr>
      <w:r w:rsidRPr="004B2E32">
        <w:rPr>
          <w:lang w:val="es-MX"/>
        </w:rPr>
        <w:t>5.</w:t>
      </w:r>
      <w:r>
        <w:rPr>
          <w:lang w:val="es-MX"/>
        </w:rPr>
        <w:t xml:space="preserve">      </w:t>
      </w:r>
      <w:r w:rsidRPr="000F6B3C">
        <w:rPr>
          <w:lang w:val="es-MX"/>
        </w:rPr>
        <w:t>No se tiene la cuenta de Almacén.</w:t>
      </w:r>
    </w:p>
    <w:p w14:paraId="73C80845" w14:textId="77777777" w:rsidR="004B2E32" w:rsidRPr="004B2E32" w:rsidRDefault="004B2E32" w:rsidP="004B2E32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3ABD812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  <w:t>Inversiones Financieras</w:t>
      </w:r>
    </w:p>
    <w:p w14:paraId="128CF2F1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6.</w:t>
      </w:r>
      <w:r w:rsidRPr="000F6B3C">
        <w:rPr>
          <w:lang w:val="es-MX"/>
        </w:rPr>
        <w:tab/>
        <w:t>No se cuenta con Inversiones financieras, por lo que no aplica.</w:t>
      </w:r>
    </w:p>
    <w:p w14:paraId="4450C4FE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7.</w:t>
      </w:r>
      <w:r w:rsidRPr="000F6B3C">
        <w:rPr>
          <w:lang w:val="es-MX"/>
        </w:rPr>
        <w:tab/>
        <w:t>No aplica presentar información de las inversiones financieras, ni saldos de las participaciones y aportaciones de capital.</w:t>
      </w:r>
    </w:p>
    <w:p w14:paraId="5BF23753" w14:textId="77777777" w:rsidR="004B2E32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</w:r>
    </w:p>
    <w:p w14:paraId="69A21C03" w14:textId="76415985" w:rsidR="004B2E32" w:rsidRDefault="004B2E32" w:rsidP="004B2E32">
      <w:pPr>
        <w:pStyle w:val="ROMANOS"/>
        <w:spacing w:after="0" w:line="240" w:lineRule="exact"/>
        <w:ind w:left="426" w:firstLine="0"/>
        <w:rPr>
          <w:b/>
          <w:lang w:val="es-MX"/>
        </w:rPr>
      </w:pPr>
      <w:r w:rsidRPr="000F6B3C">
        <w:rPr>
          <w:b/>
          <w:lang w:val="es-MX"/>
        </w:rPr>
        <w:t>Bienes Muebles, Inmuebles e Intangibles</w:t>
      </w:r>
    </w:p>
    <w:p w14:paraId="1BB1DA85" w14:textId="77777777" w:rsidR="00CA2058" w:rsidRPr="000F6B3C" w:rsidRDefault="00CA2058" w:rsidP="004B2E32">
      <w:pPr>
        <w:pStyle w:val="ROMANOS"/>
        <w:spacing w:after="0" w:line="240" w:lineRule="exact"/>
        <w:ind w:left="426" w:firstLine="0"/>
        <w:rPr>
          <w:b/>
          <w:lang w:val="es-MX"/>
        </w:rPr>
      </w:pPr>
    </w:p>
    <w:p w14:paraId="79FBC551" w14:textId="77777777" w:rsidR="00CA2058" w:rsidRDefault="004B2E32" w:rsidP="00CA2058">
      <w:pPr>
        <w:pStyle w:val="ROMANOS"/>
        <w:tabs>
          <w:tab w:val="clear" w:pos="720"/>
          <w:tab w:val="left" w:pos="426"/>
        </w:tabs>
        <w:spacing w:after="0" w:line="240" w:lineRule="exact"/>
        <w:ind w:left="426" w:hanging="426"/>
        <w:rPr>
          <w:lang w:val="es-MX"/>
        </w:rPr>
      </w:pPr>
      <w:r w:rsidRPr="000F6B3C">
        <w:rPr>
          <w:lang w:val="es-MX"/>
        </w:rPr>
        <w:t>8.</w:t>
      </w:r>
      <w:r w:rsidRPr="000F6B3C">
        <w:rPr>
          <w:lang w:val="es-MX"/>
        </w:rPr>
        <w:tab/>
      </w:r>
      <w:r w:rsidR="00CA2058" w:rsidRPr="00C602CE">
        <w:rPr>
          <w:lang w:val="es-MX"/>
        </w:rPr>
        <w:t>A la fecha de los estados financieros, no se ha calculad</w:t>
      </w:r>
      <w:r w:rsidR="00CA2058">
        <w:rPr>
          <w:lang w:val="es-MX"/>
        </w:rPr>
        <w:t>o depreciación de bienes muebles, d</w:t>
      </w:r>
      <w:r w:rsidR="00CA2058" w:rsidRPr="000F6B3C">
        <w:rPr>
          <w:lang w:val="es-MX"/>
        </w:rPr>
        <w:t>e manera general, los bienes muebles se encuentran en buen y regular estado.</w:t>
      </w:r>
    </w:p>
    <w:p w14:paraId="1118E900" w14:textId="77777777" w:rsidR="00CA2058" w:rsidRDefault="00CA2058" w:rsidP="004B2E32">
      <w:pPr>
        <w:pStyle w:val="ROMANOS"/>
        <w:spacing w:after="0" w:line="240" w:lineRule="exact"/>
        <w:ind w:left="426"/>
        <w:rPr>
          <w:lang w:val="es-MX"/>
        </w:rPr>
      </w:pPr>
    </w:p>
    <w:p w14:paraId="0B1993D5" w14:textId="15CB224D" w:rsidR="004B2E32" w:rsidRPr="000F6B3C" w:rsidRDefault="00CA2058" w:rsidP="004B2E32">
      <w:pPr>
        <w:pStyle w:val="ROMANOS"/>
        <w:spacing w:after="0" w:line="240" w:lineRule="exact"/>
        <w:ind w:left="426"/>
        <w:rPr>
          <w:lang w:val="es-MX"/>
        </w:rPr>
      </w:pPr>
      <w:r>
        <w:rPr>
          <w:lang w:val="es-MX"/>
        </w:rPr>
        <w:t xml:space="preserve">9.      </w:t>
      </w:r>
      <w:r w:rsidR="004B2E32" w:rsidRPr="000F6B3C">
        <w:rPr>
          <w:lang w:val="es-MX"/>
        </w:rPr>
        <w:t>El rubro de Bienes Muebles se integra de la siguiente manera:</w:t>
      </w:r>
    </w:p>
    <w:p w14:paraId="6F4905B4" w14:textId="77777777" w:rsidR="004B2E32" w:rsidRPr="000F6B3C" w:rsidRDefault="004B2E32" w:rsidP="004B2E32">
      <w:pPr>
        <w:pStyle w:val="ROMANOS"/>
        <w:spacing w:after="0" w:line="240" w:lineRule="exact"/>
        <w:ind w:left="426" w:firstLine="0"/>
        <w:rPr>
          <w:lang w:val="es-MX"/>
        </w:rPr>
      </w:pPr>
    </w:p>
    <w:p w14:paraId="22502A05" w14:textId="77777777" w:rsidR="00F33723" w:rsidRDefault="004B2E32" w:rsidP="00500887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lang w:val="es-MX"/>
        </w:rPr>
        <w:tab/>
      </w:r>
    </w:p>
    <w:tbl>
      <w:tblPr>
        <w:tblW w:w="81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3232"/>
      </w:tblGrid>
      <w:tr w:rsidR="00F33723" w:rsidRPr="00F33723" w14:paraId="4DE78BDC" w14:textId="77777777" w:rsidTr="00F33723"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68C2ED" w14:textId="77777777" w:rsidR="00F33723" w:rsidRPr="00F33723" w:rsidRDefault="00F33723" w:rsidP="00F33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3372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RUBRO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0AF861" w14:textId="77777777" w:rsidR="00F33723" w:rsidRPr="00F33723" w:rsidRDefault="00F33723" w:rsidP="00F33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3372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SALDO</w:t>
            </w:r>
          </w:p>
        </w:tc>
      </w:tr>
      <w:tr w:rsidR="00F33723" w:rsidRPr="00F33723" w14:paraId="781C7068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62F8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de transporte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B17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1,171,900.00 </w:t>
            </w:r>
          </w:p>
        </w:tc>
      </w:tr>
      <w:tr w:rsidR="00F33723" w:rsidRPr="00F33723" w14:paraId="6EFD4FBD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8A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de cómputo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21A4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7,035,745.00 </w:t>
            </w:r>
          </w:p>
        </w:tc>
      </w:tr>
      <w:tr w:rsidR="00F33723" w:rsidRPr="00F33723" w14:paraId="205B1F40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A96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mobiliarios y equipos de admón.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8F6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516,619.00 </w:t>
            </w:r>
          </w:p>
        </w:tc>
      </w:tr>
      <w:tr w:rsidR="00F33723" w:rsidRPr="00F33723" w14:paraId="5B06D472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9178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Muebles de oficina y estantería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A3C7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352,788.00 </w:t>
            </w:r>
          </w:p>
        </w:tc>
      </w:tr>
      <w:tr w:rsidR="00F33723" w:rsidRPr="00F33723" w14:paraId="455AD386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FA5F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Equipos de generación eléctrica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A01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606,262.00 </w:t>
            </w:r>
          </w:p>
        </w:tc>
      </w:tr>
      <w:tr w:rsidR="00F33723" w:rsidRPr="00F33723" w14:paraId="04D1B84C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72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Equipos de comunicación  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F9D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953,691.00 </w:t>
            </w:r>
          </w:p>
        </w:tc>
      </w:tr>
      <w:tr w:rsidR="00F33723" w:rsidRPr="00F33723" w14:paraId="7104DF2B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843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Sistemas de aire acondicionado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5C6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  45,500.00 </w:t>
            </w:r>
          </w:p>
        </w:tc>
      </w:tr>
      <w:tr w:rsidR="00F33723" w:rsidRPr="00F33723" w14:paraId="2784BBD5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47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equipos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520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113,252.00 </w:t>
            </w:r>
          </w:p>
        </w:tc>
      </w:tr>
      <w:tr w:rsidR="00F33723" w:rsidRPr="00F33723" w14:paraId="2349708D" w14:textId="77777777" w:rsidTr="00F33723"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269E7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9AFF86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                          10,795,757.00 </w:t>
            </w:r>
          </w:p>
        </w:tc>
      </w:tr>
    </w:tbl>
    <w:p w14:paraId="0787E909" w14:textId="73B282C8" w:rsidR="008F1AA7" w:rsidRDefault="008F1AA7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22181F49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5A7C3A60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1873DCCD" w14:textId="77777777" w:rsidR="000A3323" w:rsidRDefault="000A3323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2FEA6F8D" w14:textId="77777777" w:rsidR="000A3323" w:rsidRDefault="000A3323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6AD8681D" w14:textId="7B8421E8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  <w:r>
        <w:rPr>
          <w:b/>
          <w:lang w:val="es-MX"/>
        </w:rPr>
        <w:t>Depreciaciones.</w:t>
      </w:r>
    </w:p>
    <w:p w14:paraId="1274FC94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62"/>
        <w:gridCol w:w="2195"/>
      </w:tblGrid>
      <w:tr w:rsidR="0069422E" w14:paraId="38D19E32" w14:textId="77777777" w:rsidTr="002202FB">
        <w:trPr>
          <w:jc w:val="center"/>
        </w:trPr>
        <w:tc>
          <w:tcPr>
            <w:tcW w:w="4462" w:type="dxa"/>
            <w:shd w:val="clear" w:color="auto" w:fill="D9D9D9" w:themeFill="background1" w:themeFillShade="D9"/>
            <w:vAlign w:val="bottom"/>
          </w:tcPr>
          <w:p w14:paraId="6D859FA0" w14:textId="764DFBA8" w:rsid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F33723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RUBRO</w:t>
            </w:r>
          </w:p>
        </w:tc>
        <w:tc>
          <w:tcPr>
            <w:tcW w:w="2195" w:type="dxa"/>
            <w:shd w:val="clear" w:color="auto" w:fill="D9D9D9" w:themeFill="background1" w:themeFillShade="D9"/>
            <w:vAlign w:val="bottom"/>
          </w:tcPr>
          <w:p w14:paraId="3A49B5D6" w14:textId="28BC4A54" w:rsid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F33723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SALDO</w:t>
            </w:r>
          </w:p>
        </w:tc>
      </w:tr>
      <w:tr w:rsidR="0069422E" w14:paraId="02ACDB95" w14:textId="77777777" w:rsidTr="002202FB">
        <w:trPr>
          <w:jc w:val="center"/>
        </w:trPr>
        <w:tc>
          <w:tcPr>
            <w:tcW w:w="4462" w:type="dxa"/>
          </w:tcPr>
          <w:p w14:paraId="5CAEBAA1" w14:textId="5398F103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>Mobiliario y equipo de administración</w:t>
            </w:r>
          </w:p>
        </w:tc>
        <w:tc>
          <w:tcPr>
            <w:tcW w:w="2195" w:type="dxa"/>
          </w:tcPr>
          <w:p w14:paraId="363AA3DB" w14:textId="4DFC198C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7867,876.00</w:t>
            </w:r>
          </w:p>
        </w:tc>
      </w:tr>
      <w:tr w:rsidR="0069422E" w14:paraId="2A5EEC25" w14:textId="77777777" w:rsidTr="002202FB">
        <w:trPr>
          <w:jc w:val="center"/>
        </w:trPr>
        <w:tc>
          <w:tcPr>
            <w:tcW w:w="4462" w:type="dxa"/>
          </w:tcPr>
          <w:p w14:paraId="3C70A07F" w14:textId="437D7A93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 xml:space="preserve">Equipo de transporte </w:t>
            </w:r>
          </w:p>
        </w:tc>
        <w:tc>
          <w:tcPr>
            <w:tcW w:w="2195" w:type="dxa"/>
          </w:tcPr>
          <w:p w14:paraId="47C9F8E9" w14:textId="0DE5C60D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728,994.00</w:t>
            </w:r>
          </w:p>
        </w:tc>
      </w:tr>
      <w:tr w:rsidR="0069422E" w14:paraId="01C9E468" w14:textId="77777777" w:rsidTr="002202FB">
        <w:trPr>
          <w:jc w:val="center"/>
        </w:trPr>
        <w:tc>
          <w:tcPr>
            <w:tcW w:w="4462" w:type="dxa"/>
          </w:tcPr>
          <w:p w14:paraId="169617B1" w14:textId="49C48E72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>Maquinaria, otros equipos y herramientas</w:t>
            </w:r>
          </w:p>
        </w:tc>
        <w:tc>
          <w:tcPr>
            <w:tcW w:w="2195" w:type="dxa"/>
          </w:tcPr>
          <w:p w14:paraId="1717A962" w14:textId="42EB8A28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770,747.00</w:t>
            </w:r>
          </w:p>
        </w:tc>
      </w:tr>
      <w:tr w:rsidR="0069422E" w14:paraId="1A6C96C3" w14:textId="77777777" w:rsidTr="002202FB">
        <w:trPr>
          <w:jc w:val="center"/>
        </w:trPr>
        <w:tc>
          <w:tcPr>
            <w:tcW w:w="4462" w:type="dxa"/>
            <w:shd w:val="clear" w:color="auto" w:fill="D9D9D9" w:themeFill="background1" w:themeFillShade="D9"/>
          </w:tcPr>
          <w:p w14:paraId="00A5FD6E" w14:textId="27675408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9422E">
              <w:rPr>
                <w:b/>
                <w:lang w:val="es-MX"/>
              </w:rPr>
              <w:t>Total depreciaciones acumuladas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7AF815E3" w14:textId="420F7B04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$                   9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,</w:t>
            </w:r>
            <w:r w:rsidRPr="006942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367,618.00</w:t>
            </w:r>
          </w:p>
        </w:tc>
      </w:tr>
    </w:tbl>
    <w:p w14:paraId="2D0A7110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04A04E9B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1C6A5D67" w14:textId="77777777" w:rsidR="00CA2058" w:rsidRPr="000F6B3C" w:rsidRDefault="00CA2058" w:rsidP="00CA2058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Estimaciones y Deterioros</w:t>
      </w:r>
    </w:p>
    <w:p w14:paraId="378DFA95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10.</w:t>
      </w:r>
      <w:r w:rsidRPr="000F6B3C">
        <w:rPr>
          <w:lang w:val="es-MX"/>
        </w:rPr>
        <w:tab/>
        <w:t>No se han elaborado estimaciones ni deterioros.</w:t>
      </w:r>
    </w:p>
    <w:p w14:paraId="7C6A26D0" w14:textId="77777777" w:rsidR="00CA2058" w:rsidRPr="000F6B3C" w:rsidRDefault="00CA2058" w:rsidP="00CA2058">
      <w:pPr>
        <w:pStyle w:val="ROMANOS"/>
        <w:spacing w:after="0" w:line="240" w:lineRule="exact"/>
        <w:rPr>
          <w:lang w:val="es-MX"/>
        </w:rPr>
      </w:pPr>
    </w:p>
    <w:p w14:paraId="5CD2E884" w14:textId="77777777" w:rsidR="00CA2058" w:rsidRPr="000F6B3C" w:rsidRDefault="00CA2058" w:rsidP="00CA2058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Otros Activos</w:t>
      </w:r>
    </w:p>
    <w:p w14:paraId="222EE73F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11.</w:t>
      </w:r>
      <w:r w:rsidRPr="000F6B3C">
        <w:rPr>
          <w:lang w:val="es-MX"/>
        </w:rPr>
        <w:tab/>
        <w:t>No se tienen cuentas de Otros activos.</w:t>
      </w:r>
    </w:p>
    <w:p w14:paraId="0F5FEBFB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</w:p>
    <w:p w14:paraId="3DE86992" w14:textId="77777777" w:rsidR="006B0367" w:rsidRDefault="006B0367" w:rsidP="00CA2058">
      <w:pPr>
        <w:pStyle w:val="ROMANOS"/>
        <w:spacing w:after="0" w:line="240" w:lineRule="exact"/>
        <w:rPr>
          <w:b/>
          <w:lang w:val="es-MX"/>
        </w:rPr>
      </w:pPr>
    </w:p>
    <w:p w14:paraId="15F54B87" w14:textId="0D015A2C" w:rsidR="00CA2058" w:rsidRDefault="00CA2058" w:rsidP="00CA2058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Pasivo</w:t>
      </w:r>
    </w:p>
    <w:p w14:paraId="39C5CD17" w14:textId="77777777" w:rsidR="00EC2A87" w:rsidRDefault="00EC2A87" w:rsidP="00CA2058">
      <w:pPr>
        <w:pStyle w:val="ROMANOS"/>
        <w:spacing w:after="0" w:line="240" w:lineRule="exact"/>
        <w:rPr>
          <w:b/>
          <w:lang w:val="es-MX"/>
        </w:rPr>
      </w:pPr>
    </w:p>
    <w:p w14:paraId="7459ACB1" w14:textId="12E94EFE" w:rsidR="00EC2A87" w:rsidRPr="00CA2058" w:rsidRDefault="00EC2A87" w:rsidP="00EC2A87">
      <w:pPr>
        <w:pStyle w:val="ROMANOS"/>
        <w:spacing w:after="0" w:line="240" w:lineRule="exact"/>
        <w:ind w:firstLine="131"/>
        <w:rPr>
          <w:b/>
          <w:lang w:val="es-MX"/>
        </w:rPr>
      </w:pPr>
      <w:r>
        <w:rPr>
          <w:b/>
          <w:lang w:val="es-MX"/>
        </w:rPr>
        <w:t>Cuentas y Documentos por pagar</w:t>
      </w:r>
    </w:p>
    <w:p w14:paraId="73ED594C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63284D96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</w:p>
    <w:p w14:paraId="75FADBCE" w14:textId="77777777" w:rsidR="00EC2A87" w:rsidRDefault="00EC2A87" w:rsidP="00EC2A87">
      <w:pPr>
        <w:pStyle w:val="ROMANOS"/>
        <w:spacing w:after="0" w:line="240" w:lineRule="exact"/>
        <w:ind w:firstLine="131"/>
        <w:rPr>
          <w:b/>
          <w:lang w:val="es-MX"/>
        </w:rPr>
      </w:pPr>
      <w:r>
        <w:rPr>
          <w:b/>
          <w:lang w:val="es-MX"/>
        </w:rPr>
        <w:t>Fondos y bienes de terceros en garantía y/o administración.</w:t>
      </w:r>
    </w:p>
    <w:p w14:paraId="6BC133FC" w14:textId="03C0887B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3B81F5D4" w14:textId="77777777" w:rsidR="00EC2A87" w:rsidRDefault="00EC2A87" w:rsidP="00EC2A87">
      <w:pPr>
        <w:pStyle w:val="ROMANOS"/>
        <w:spacing w:after="0" w:line="240" w:lineRule="exact"/>
        <w:ind w:left="723" w:firstLine="0"/>
        <w:rPr>
          <w:lang w:val="es-MX"/>
        </w:rPr>
      </w:pPr>
    </w:p>
    <w:p w14:paraId="0C408E95" w14:textId="6652B39D" w:rsidR="00EC2A87" w:rsidRDefault="00EC2A87" w:rsidP="00EC2A87">
      <w:pPr>
        <w:pStyle w:val="ROMANOS"/>
        <w:spacing w:after="0" w:line="240" w:lineRule="exact"/>
        <w:ind w:left="851" w:firstLine="0"/>
        <w:rPr>
          <w:b/>
          <w:lang w:val="es-MX"/>
        </w:rPr>
      </w:pPr>
      <w:r w:rsidRPr="00EC2A87">
        <w:rPr>
          <w:b/>
          <w:lang w:val="es-MX"/>
        </w:rPr>
        <w:t>Pasivos diferidos</w:t>
      </w:r>
    </w:p>
    <w:p w14:paraId="70B9309C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0391EF26" w14:textId="0D6F3756" w:rsidR="00EC2A87" w:rsidRDefault="00EC2A87" w:rsidP="00EC2A87">
      <w:pPr>
        <w:pStyle w:val="ROMANOS"/>
        <w:spacing w:after="0" w:line="240" w:lineRule="exact"/>
        <w:ind w:left="426" w:firstLine="0"/>
        <w:rPr>
          <w:lang w:val="es-MX"/>
        </w:rPr>
      </w:pPr>
    </w:p>
    <w:p w14:paraId="0B8AB3A8" w14:textId="19E57B43" w:rsidR="00EC2A87" w:rsidRDefault="00EC2A87" w:rsidP="00EC2A87">
      <w:pPr>
        <w:pStyle w:val="ROMANOS"/>
        <w:spacing w:after="0" w:line="240" w:lineRule="exact"/>
        <w:ind w:left="851" w:firstLine="0"/>
        <w:rPr>
          <w:b/>
          <w:lang w:val="es-MX"/>
        </w:rPr>
      </w:pPr>
      <w:r w:rsidRPr="00EC2A87">
        <w:rPr>
          <w:b/>
          <w:lang w:val="es-MX"/>
        </w:rPr>
        <w:t>Provisiones</w:t>
      </w:r>
    </w:p>
    <w:p w14:paraId="58316C3B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387E9C94" w14:textId="77777777" w:rsidR="00EC2A87" w:rsidRDefault="00EC2A87" w:rsidP="00EC2A87">
      <w:pPr>
        <w:pStyle w:val="ROMANOS"/>
        <w:spacing w:after="0" w:line="240" w:lineRule="exact"/>
        <w:ind w:left="723" w:firstLine="0"/>
        <w:rPr>
          <w:lang w:val="es-MX"/>
        </w:rPr>
      </w:pPr>
    </w:p>
    <w:p w14:paraId="6C49A91D" w14:textId="25BB531B" w:rsidR="00EC2A87" w:rsidRDefault="00EC2A87" w:rsidP="00EC2A87">
      <w:pPr>
        <w:pStyle w:val="ROMANOS"/>
        <w:spacing w:after="0" w:line="240" w:lineRule="exact"/>
        <w:ind w:left="723" w:firstLine="0"/>
        <w:rPr>
          <w:b/>
          <w:lang w:val="es-MX"/>
        </w:rPr>
      </w:pPr>
      <w:r w:rsidRPr="00EC2A87">
        <w:rPr>
          <w:b/>
          <w:lang w:val="es-MX"/>
        </w:rPr>
        <w:t>Otros Pasivos.</w:t>
      </w:r>
    </w:p>
    <w:p w14:paraId="6430B574" w14:textId="4FF9477C" w:rsidR="00EC2A87" w:rsidRDefault="00EC2A87" w:rsidP="00F409CD">
      <w:pPr>
        <w:pStyle w:val="ROMANOS"/>
        <w:numPr>
          <w:ilvl w:val="0"/>
          <w:numId w:val="3"/>
        </w:numPr>
        <w:spacing w:after="0" w:line="240" w:lineRule="exact"/>
        <w:ind w:firstLine="0"/>
        <w:rPr>
          <w:lang w:val="es-MX"/>
        </w:rPr>
      </w:pPr>
      <w:r w:rsidRPr="00E618B6">
        <w:rPr>
          <w:lang w:val="es-MX"/>
        </w:rPr>
        <w:t>Se registraron pasivos al 3</w:t>
      </w:r>
      <w:r w:rsidR="0069422E">
        <w:rPr>
          <w:lang w:val="es-MX"/>
        </w:rPr>
        <w:t>0</w:t>
      </w:r>
      <w:r w:rsidRPr="00E618B6">
        <w:rPr>
          <w:lang w:val="es-MX"/>
        </w:rPr>
        <w:t xml:space="preserve"> de </w:t>
      </w:r>
      <w:r w:rsidR="00FD5622">
        <w:rPr>
          <w:lang w:val="es-MX"/>
        </w:rPr>
        <w:t xml:space="preserve">septiembre </w:t>
      </w:r>
      <w:r w:rsidRPr="00E618B6">
        <w:rPr>
          <w:lang w:val="es-MX"/>
        </w:rPr>
        <w:t>de 202</w:t>
      </w:r>
      <w:r w:rsidR="005D096A">
        <w:rPr>
          <w:lang w:val="es-MX"/>
        </w:rPr>
        <w:t>5</w:t>
      </w:r>
      <w:r w:rsidRPr="00E618B6">
        <w:rPr>
          <w:lang w:val="es-MX"/>
        </w:rPr>
        <w:t xml:space="preserve">, por la cantidad de </w:t>
      </w:r>
      <w:r w:rsidRPr="00E618B6">
        <w:rPr>
          <w:b/>
          <w:lang w:val="es-MX"/>
        </w:rPr>
        <w:t>$</w:t>
      </w:r>
      <w:r w:rsidR="00FD5622">
        <w:rPr>
          <w:b/>
          <w:lang w:val="es-MX"/>
        </w:rPr>
        <w:t>56,955.00</w:t>
      </w:r>
      <w:r w:rsidR="009707EB" w:rsidRPr="00E618B6">
        <w:rPr>
          <w:b/>
          <w:lang w:val="es-MX"/>
        </w:rPr>
        <w:t xml:space="preserve"> </w:t>
      </w:r>
      <w:r w:rsidR="00F12D36" w:rsidRPr="00E618B6">
        <w:rPr>
          <w:b/>
          <w:lang w:val="es-MX"/>
        </w:rPr>
        <w:t>(</w:t>
      </w:r>
      <w:r w:rsidR="00FD5622">
        <w:rPr>
          <w:b/>
          <w:lang w:val="es-MX"/>
        </w:rPr>
        <w:t>Cincuenta y seis mil novecientos cin</w:t>
      </w:r>
      <w:r w:rsidR="00973D66">
        <w:rPr>
          <w:b/>
          <w:lang w:val="es-MX"/>
        </w:rPr>
        <w:t>cuen</w:t>
      </w:r>
      <w:r w:rsidR="00FD5622">
        <w:rPr>
          <w:b/>
          <w:lang w:val="es-MX"/>
        </w:rPr>
        <w:t xml:space="preserve">ta y cinco </w:t>
      </w:r>
      <w:r w:rsidR="000A3323">
        <w:rPr>
          <w:b/>
          <w:lang w:val="es-MX"/>
        </w:rPr>
        <w:t>pe</w:t>
      </w:r>
      <w:r w:rsidR="00E618B6" w:rsidRPr="00E618B6">
        <w:rPr>
          <w:b/>
          <w:lang w:val="es-MX"/>
        </w:rPr>
        <w:t xml:space="preserve">sos </w:t>
      </w:r>
      <w:r w:rsidR="00F12D36" w:rsidRPr="00E618B6">
        <w:rPr>
          <w:b/>
          <w:lang w:val="es-MX"/>
        </w:rPr>
        <w:t>00/100 M.N.)</w:t>
      </w:r>
      <w:r w:rsidR="00F12D36" w:rsidRPr="00E618B6">
        <w:rPr>
          <w:lang w:val="es-MX"/>
        </w:rPr>
        <w:t xml:space="preserve"> </w:t>
      </w:r>
      <w:r w:rsidRPr="00E618B6">
        <w:rPr>
          <w:lang w:val="es-MX"/>
        </w:rPr>
        <w:t xml:space="preserve"> por concepto de provisión para pa</w:t>
      </w:r>
      <w:r w:rsidR="00F12D36" w:rsidRPr="00E618B6">
        <w:rPr>
          <w:lang w:val="es-MX"/>
        </w:rPr>
        <w:t>go de impuestos federales (SAT)</w:t>
      </w:r>
      <w:r w:rsidR="00E618B6">
        <w:rPr>
          <w:lang w:val="es-MX"/>
        </w:rPr>
        <w:t>.</w:t>
      </w:r>
    </w:p>
    <w:p w14:paraId="2520337A" w14:textId="77777777" w:rsidR="00E618B6" w:rsidRPr="00E618B6" w:rsidRDefault="00E618B6" w:rsidP="00E618B6">
      <w:pPr>
        <w:pStyle w:val="ROMANOS"/>
        <w:spacing w:after="0" w:line="240" w:lineRule="exact"/>
        <w:ind w:left="0" w:firstLine="0"/>
        <w:rPr>
          <w:lang w:val="es-MX"/>
        </w:rPr>
      </w:pPr>
    </w:p>
    <w:p w14:paraId="7B11E554" w14:textId="49B53DF4" w:rsidR="00EC2A87" w:rsidRPr="00E90C87" w:rsidRDefault="00EC2A87" w:rsidP="00F12D36">
      <w:pPr>
        <w:pStyle w:val="INCISO"/>
        <w:spacing w:after="0" w:line="240" w:lineRule="exact"/>
        <w:ind w:left="360"/>
        <w:jc w:val="center"/>
        <w:rPr>
          <w:b/>
          <w:smallCaps/>
        </w:rPr>
      </w:pPr>
      <w:r w:rsidRPr="00E90C87">
        <w:rPr>
          <w:b/>
          <w:smallCaps/>
        </w:rPr>
        <w:t>III) NOTAS AL ESTADO DE VARIACIÓNDE EN LA HACIENDA PÚBLICA.</w:t>
      </w:r>
    </w:p>
    <w:p w14:paraId="76B99C7C" w14:textId="00F9B4CF" w:rsidR="00EC2A87" w:rsidRDefault="00EC2A87" w:rsidP="00EC2A87">
      <w:pPr>
        <w:pStyle w:val="ROMANOS"/>
        <w:spacing w:after="0" w:line="240" w:lineRule="exact"/>
        <w:rPr>
          <w:lang w:val="es-MX"/>
        </w:rPr>
      </w:pPr>
    </w:p>
    <w:p w14:paraId="529B7C27" w14:textId="743681B1" w:rsidR="00EC2A87" w:rsidRDefault="00EC2A87" w:rsidP="005B021E">
      <w:pPr>
        <w:pStyle w:val="ROMANOS"/>
        <w:numPr>
          <w:ilvl w:val="0"/>
          <w:numId w:val="14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Se informa que el pat</w:t>
      </w:r>
      <w:r>
        <w:rPr>
          <w:lang w:val="es-MX"/>
        </w:rPr>
        <w:t xml:space="preserve">rimonio contribuido se modificó por la cantidad de </w:t>
      </w:r>
      <w:r w:rsidRPr="00F12D36">
        <w:rPr>
          <w:b/>
          <w:lang w:val="es-MX"/>
        </w:rPr>
        <w:t>$</w:t>
      </w:r>
      <w:r w:rsidR="00973D66">
        <w:rPr>
          <w:b/>
          <w:lang w:val="es-MX"/>
        </w:rPr>
        <w:t>570,642.00</w:t>
      </w:r>
      <w:r w:rsidR="00F12D36" w:rsidRPr="00F12D36">
        <w:rPr>
          <w:b/>
          <w:lang w:val="es-MX"/>
        </w:rPr>
        <w:t xml:space="preserve"> (</w:t>
      </w:r>
      <w:r w:rsidR="00973D66">
        <w:rPr>
          <w:b/>
          <w:lang w:val="es-MX"/>
        </w:rPr>
        <w:t xml:space="preserve">Quinientos setenta mil seiscientos cuarenta y dos </w:t>
      </w:r>
      <w:r w:rsidR="005D096A">
        <w:rPr>
          <w:b/>
          <w:lang w:val="es-MX"/>
        </w:rPr>
        <w:t xml:space="preserve">pesos </w:t>
      </w:r>
      <w:r w:rsidR="00F12D36" w:rsidRPr="00F12D36">
        <w:rPr>
          <w:b/>
          <w:lang w:val="es-MX"/>
        </w:rPr>
        <w:t>00/100 M.N.)</w:t>
      </w:r>
      <w:r w:rsidR="00F12D36">
        <w:rPr>
          <w:lang w:val="es-MX"/>
        </w:rPr>
        <w:t xml:space="preserve"> por</w:t>
      </w:r>
      <w:r>
        <w:rPr>
          <w:lang w:val="es-MX"/>
        </w:rPr>
        <w:t xml:space="preserve"> el concepto de </w:t>
      </w:r>
      <w:r w:rsidR="005D096A">
        <w:rPr>
          <w:lang w:val="es-MX"/>
        </w:rPr>
        <w:t>pago telefónico</w:t>
      </w:r>
      <w:r w:rsidR="00973D66">
        <w:rPr>
          <w:lang w:val="es-MX"/>
        </w:rPr>
        <w:t>,</w:t>
      </w:r>
      <w:r w:rsidR="005B021E">
        <w:rPr>
          <w:lang w:val="es-MX"/>
        </w:rPr>
        <w:t xml:space="preserve"> pago del ISR</w:t>
      </w:r>
      <w:r w:rsidR="0069422E">
        <w:rPr>
          <w:lang w:val="es-MX"/>
        </w:rPr>
        <w:t xml:space="preserve"> e impuesto sobre nómina derivado del </w:t>
      </w:r>
      <w:r w:rsidR="005B021E">
        <w:rPr>
          <w:lang w:val="es-MX"/>
        </w:rPr>
        <w:t xml:space="preserve">laudo laboral con número de expediente </w:t>
      </w:r>
      <w:r w:rsidR="00973D66">
        <w:rPr>
          <w:lang w:val="es-MX"/>
        </w:rPr>
        <w:t>483/2011-C; así como para el complemento de pago del seguro de vida del personal.</w:t>
      </w:r>
    </w:p>
    <w:p w14:paraId="31F6C2CE" w14:textId="77777777" w:rsidR="00EC2A87" w:rsidRDefault="00EC2A87" w:rsidP="00EC2A87">
      <w:pPr>
        <w:pStyle w:val="ROMANOS"/>
        <w:spacing w:after="0" w:line="240" w:lineRule="exact"/>
        <w:ind w:left="288" w:firstLine="0"/>
        <w:rPr>
          <w:lang w:val="es-MX"/>
        </w:rPr>
      </w:pPr>
    </w:p>
    <w:p w14:paraId="1B2A8E9E" w14:textId="779BAD09" w:rsidR="00EC2A87" w:rsidRDefault="00EC2A87" w:rsidP="00EC2A87">
      <w:pPr>
        <w:pStyle w:val="ROMANOS"/>
        <w:numPr>
          <w:ilvl w:val="0"/>
          <w:numId w:val="14"/>
        </w:numPr>
        <w:spacing w:after="0" w:line="240" w:lineRule="exact"/>
        <w:rPr>
          <w:lang w:val="es-MX"/>
        </w:rPr>
      </w:pPr>
      <w:r>
        <w:rPr>
          <w:lang w:val="es-MX"/>
        </w:rPr>
        <w:t>El origen de los recursos es de remanentes de recursos anteriores autorizado a través de acta de consejo técnico</w:t>
      </w:r>
    </w:p>
    <w:p w14:paraId="4AAE13F2" w14:textId="77777777" w:rsidR="00EC2A87" w:rsidRDefault="00EC2A87" w:rsidP="00EC2A87">
      <w:pPr>
        <w:pStyle w:val="ROMANOS"/>
        <w:spacing w:after="0" w:line="240" w:lineRule="exact"/>
        <w:ind w:left="1008" w:firstLine="0"/>
        <w:rPr>
          <w:lang w:val="es-MX"/>
        </w:rPr>
      </w:pPr>
    </w:p>
    <w:p w14:paraId="13400EDF" w14:textId="77777777" w:rsidR="00EC2A87" w:rsidRDefault="00EC2A87" w:rsidP="00EC2A87">
      <w:pPr>
        <w:pStyle w:val="ROMANOS"/>
        <w:spacing w:after="0" w:line="240" w:lineRule="exact"/>
        <w:ind w:left="1008" w:firstLine="0"/>
        <w:rPr>
          <w:lang w:val="es-MX"/>
        </w:rPr>
      </w:pPr>
    </w:p>
    <w:p w14:paraId="1B874054" w14:textId="6D6D2722" w:rsidR="00EC2A87" w:rsidRDefault="00EC2A87" w:rsidP="00EC2A87">
      <w:pPr>
        <w:pStyle w:val="ROMANOS"/>
        <w:spacing w:after="0" w:line="240" w:lineRule="exact"/>
        <w:ind w:left="284" w:firstLine="0"/>
        <w:rPr>
          <w:lang w:val="es-MX"/>
        </w:rPr>
      </w:pPr>
      <w:r w:rsidRPr="001B756D">
        <w:rPr>
          <w:lang w:val="es-MX"/>
        </w:rPr>
        <w:t xml:space="preserve">Por lo que el saldo en la cuenta de resultado de ejercicios anteriores es de </w:t>
      </w:r>
      <w:r w:rsidRPr="00281A15">
        <w:rPr>
          <w:b/>
          <w:lang w:val="es-MX"/>
        </w:rPr>
        <w:t>$</w:t>
      </w:r>
      <w:r w:rsidR="00973D66">
        <w:rPr>
          <w:b/>
          <w:lang w:val="es-MX"/>
        </w:rPr>
        <w:t>2</w:t>
      </w:r>
      <w:proofErr w:type="gramStart"/>
      <w:r w:rsidR="00973D66">
        <w:rPr>
          <w:b/>
          <w:lang w:val="es-MX"/>
        </w:rPr>
        <w:t>,795,139.00</w:t>
      </w:r>
      <w:proofErr w:type="gramEnd"/>
      <w:r w:rsidR="00F12D36">
        <w:rPr>
          <w:b/>
          <w:lang w:val="es-MX"/>
        </w:rPr>
        <w:t xml:space="preserve"> (</w:t>
      </w:r>
      <w:r w:rsidR="005B021E">
        <w:rPr>
          <w:b/>
          <w:lang w:val="es-MX"/>
        </w:rPr>
        <w:t xml:space="preserve">Dos millones </w:t>
      </w:r>
      <w:r w:rsidR="00973D66">
        <w:rPr>
          <w:b/>
          <w:lang w:val="es-MX"/>
        </w:rPr>
        <w:t xml:space="preserve">setecientos noventa y cinco mil ciento treinta y nueve pesos </w:t>
      </w:r>
      <w:r w:rsidR="00F12D36">
        <w:rPr>
          <w:b/>
          <w:lang w:val="es-MX"/>
        </w:rPr>
        <w:t>00/100 M.N.)</w:t>
      </w:r>
      <w:r w:rsidR="0029382D">
        <w:rPr>
          <w:b/>
          <w:lang w:val="es-MX"/>
        </w:rPr>
        <w:t xml:space="preserve"> </w:t>
      </w:r>
      <w:r w:rsidRPr="001B756D">
        <w:rPr>
          <w:lang w:val="es-MX"/>
        </w:rPr>
        <w:t xml:space="preserve">integrado </w:t>
      </w:r>
      <w:r>
        <w:rPr>
          <w:lang w:val="es-MX"/>
        </w:rPr>
        <w:t>como a continuación se detalla:</w:t>
      </w:r>
    </w:p>
    <w:p w14:paraId="759A8425" w14:textId="77777777" w:rsidR="00CF71C4" w:rsidRPr="00CA2058" w:rsidRDefault="00CF71C4" w:rsidP="001B2D8B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94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3094"/>
        <w:gridCol w:w="2490"/>
        <w:gridCol w:w="1309"/>
      </w:tblGrid>
      <w:tr w:rsidR="00EC2A87" w:rsidRPr="00A15EA9" w14:paraId="02DBA921" w14:textId="77777777" w:rsidTr="00E90C87">
        <w:trPr>
          <w:trHeight w:val="24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A3C5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Ejer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icio fiscal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7DD4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 financiero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(Saldo en Bancos)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FE0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Saldo presupuestal (adquisición de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activos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065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</w:t>
            </w:r>
          </w:p>
        </w:tc>
      </w:tr>
      <w:tr w:rsidR="00EC2A87" w:rsidRPr="00A15EA9" w14:paraId="0CA8AAA8" w14:textId="77777777" w:rsidTr="00E90C87">
        <w:trPr>
          <w:trHeight w:val="218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093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Resultado de ejercicios anteriores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9FB" w14:textId="30050F4E" w:rsidR="00EC2A87" w:rsidRPr="008543C7" w:rsidRDefault="00973D66" w:rsidP="00973D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es-MX"/>
              </w:rPr>
            </w:pPr>
            <w:r w:rsidRPr="00973D6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$1,866,59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4</w:t>
            </w:r>
            <w:r w:rsidRPr="00973D6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CBD" w14:textId="5BB77153" w:rsidR="00EC2A87" w:rsidRPr="008543C7" w:rsidRDefault="00F12D36" w:rsidP="00E90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es-MX"/>
              </w:rPr>
            </w:pPr>
            <w:r w:rsidRPr="00F12D3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$928,545</w:t>
            </w:r>
            <w:r w:rsidR="00AB3D59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575" w14:textId="31F85F24" w:rsidR="00EC2A87" w:rsidRPr="008543C7" w:rsidRDefault="00F12D36" w:rsidP="00973D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F12D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$</w:t>
            </w:r>
            <w:r w:rsidR="00973D6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2,795,139.00</w:t>
            </w:r>
          </w:p>
        </w:tc>
      </w:tr>
    </w:tbl>
    <w:p w14:paraId="557FB885" w14:textId="77777777" w:rsidR="00CA2058" w:rsidRDefault="00CA2058" w:rsidP="001B2D8B">
      <w:pPr>
        <w:pStyle w:val="Texto"/>
        <w:spacing w:after="0" w:line="240" w:lineRule="exact"/>
        <w:rPr>
          <w:szCs w:val="18"/>
        </w:rPr>
      </w:pPr>
    </w:p>
    <w:p w14:paraId="73E2EE24" w14:textId="77777777" w:rsidR="00D41180" w:rsidRDefault="00D41180" w:rsidP="001B2D8B">
      <w:pPr>
        <w:pStyle w:val="Texto"/>
        <w:spacing w:after="0" w:line="240" w:lineRule="exact"/>
        <w:rPr>
          <w:szCs w:val="18"/>
        </w:rPr>
      </w:pPr>
    </w:p>
    <w:p w14:paraId="63D6E29F" w14:textId="77777777" w:rsidR="00D41180" w:rsidRDefault="00D41180" w:rsidP="001B2D8B">
      <w:pPr>
        <w:pStyle w:val="Texto"/>
        <w:spacing w:after="0" w:line="240" w:lineRule="exact"/>
        <w:rPr>
          <w:szCs w:val="18"/>
        </w:rPr>
      </w:pPr>
    </w:p>
    <w:p w14:paraId="6E4CB293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45C0DE3B" w14:textId="77777777" w:rsidR="00D41180" w:rsidRDefault="00D41180" w:rsidP="001B2D8B">
      <w:pPr>
        <w:pStyle w:val="Texto"/>
        <w:spacing w:after="0" w:line="240" w:lineRule="exact"/>
        <w:rPr>
          <w:szCs w:val="18"/>
        </w:rPr>
      </w:pPr>
    </w:p>
    <w:p w14:paraId="131A4990" w14:textId="77777777" w:rsidR="00D41180" w:rsidRDefault="00D41180" w:rsidP="001B2D8B">
      <w:pPr>
        <w:pStyle w:val="Texto"/>
        <w:spacing w:after="0" w:line="240" w:lineRule="exact"/>
        <w:rPr>
          <w:szCs w:val="18"/>
        </w:rPr>
      </w:pPr>
    </w:p>
    <w:p w14:paraId="7284E1C4" w14:textId="77777777" w:rsidR="00D41180" w:rsidRDefault="00D41180" w:rsidP="001B2D8B">
      <w:pPr>
        <w:pStyle w:val="Texto"/>
        <w:spacing w:after="0" w:line="240" w:lineRule="exact"/>
        <w:rPr>
          <w:szCs w:val="18"/>
        </w:rPr>
      </w:pPr>
    </w:p>
    <w:p w14:paraId="1ADE2A6B" w14:textId="088415A4" w:rsidR="008543C7" w:rsidRPr="000F6B3C" w:rsidRDefault="008543C7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  <w:r>
        <w:rPr>
          <w:b/>
          <w:smallCaps/>
        </w:rPr>
        <w:t xml:space="preserve">iv) </w:t>
      </w:r>
      <w:r w:rsidRPr="000F6B3C">
        <w:rPr>
          <w:b/>
          <w:smallCaps/>
        </w:rPr>
        <w:t xml:space="preserve">Notas al Estado de Flujos de Efectivo </w:t>
      </w:r>
    </w:p>
    <w:p w14:paraId="580E03BE" w14:textId="77777777" w:rsidR="008543C7" w:rsidRPr="000F6B3C" w:rsidRDefault="008543C7" w:rsidP="008543C7">
      <w:pPr>
        <w:pStyle w:val="INCISO"/>
        <w:spacing w:after="0" w:line="240" w:lineRule="exact"/>
        <w:ind w:left="360"/>
        <w:rPr>
          <w:b/>
          <w:smallCaps/>
        </w:rPr>
      </w:pPr>
    </w:p>
    <w:p w14:paraId="2CB264B2" w14:textId="77777777" w:rsidR="008543C7" w:rsidRPr="000F6B3C" w:rsidRDefault="008543C7" w:rsidP="008543C7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Efectivo y equivalentes</w:t>
      </w:r>
    </w:p>
    <w:p w14:paraId="52CDBDE1" w14:textId="77777777" w:rsidR="008543C7" w:rsidRDefault="008543C7" w:rsidP="008543C7">
      <w:pPr>
        <w:pStyle w:val="ROMANOS"/>
        <w:numPr>
          <w:ilvl w:val="0"/>
          <w:numId w:val="2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El análisis de los saldos inicial y final que figuran en la última parte del Estado de Flujo de Efectivo como sigue:</w:t>
      </w:r>
    </w:p>
    <w:p w14:paraId="39FA49F0" w14:textId="77777777" w:rsidR="008543C7" w:rsidRPr="000F6B3C" w:rsidRDefault="008543C7" w:rsidP="008543C7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9"/>
        <w:gridCol w:w="1300"/>
        <w:gridCol w:w="1377"/>
      </w:tblGrid>
      <w:tr w:rsidR="008543C7" w:rsidRPr="000F6B3C" w14:paraId="6E7C243E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56ED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AA9" w14:textId="522D1318" w:rsidR="008543C7" w:rsidRPr="000F6B3C" w:rsidRDefault="002D11D7" w:rsidP="00E90C8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A0F" w14:textId="5E4C8843" w:rsidR="008543C7" w:rsidRPr="000F6B3C" w:rsidRDefault="008543C7" w:rsidP="002D11D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</w:t>
            </w:r>
            <w:r w:rsidR="002D11D7">
              <w:rPr>
                <w:szCs w:val="18"/>
                <w:lang w:val="es-MX"/>
              </w:rPr>
              <w:t>4</w:t>
            </w:r>
          </w:p>
        </w:tc>
      </w:tr>
      <w:tr w:rsidR="008543C7" w:rsidRPr="000F6B3C" w14:paraId="584F576D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53B6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Efectivo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4A42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70FC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3E805C23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DAEB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Tesorería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5FE9" w14:textId="10A2A08C" w:rsidR="008543C7" w:rsidRPr="0029382D" w:rsidRDefault="00973D66" w:rsidP="009E6F6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4,320,376.00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2EE8" w14:textId="08CE21DD" w:rsidR="008543C7" w:rsidRPr="0029382D" w:rsidRDefault="002D11D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2D11D7">
              <w:rPr>
                <w:szCs w:val="18"/>
                <w:lang w:val="es-MX"/>
              </w:rPr>
              <w:t>2,652,361.00</w:t>
            </w:r>
          </w:p>
        </w:tc>
      </w:tr>
      <w:tr w:rsidR="008543C7" w:rsidRPr="000F6B3C" w14:paraId="102419E6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8D3E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7E42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1AF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48743A36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3F6E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459C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6C07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6D51A640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F239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4EED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81E2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42B7FCE7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CC6C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Depósitos de fondos de terceros </w:t>
            </w:r>
            <w:r>
              <w:rPr>
                <w:szCs w:val="18"/>
                <w:lang w:val="es-MX"/>
              </w:rPr>
              <w:t>en garantía y/o administración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5015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116A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6F853891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C006" w14:textId="663D0BBF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6831" w14:textId="4EF89A78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FA9D" w14:textId="324ABFA4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CB503F" w:rsidRPr="000F6B3C" w14:paraId="08F832AB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0B40" w14:textId="77777777" w:rsidR="00CB503F" w:rsidRPr="001B2D8B" w:rsidRDefault="00CB503F" w:rsidP="00CB503F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1B2D8B">
              <w:rPr>
                <w:b/>
                <w:bCs/>
                <w:szCs w:val="18"/>
                <w:lang w:val="es-MX"/>
              </w:rPr>
              <w:t>Total de Efectivo y Equivalentes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6E37" w14:textId="61EBE285" w:rsidR="00CB503F" w:rsidRPr="00CB503F" w:rsidRDefault="00973D66" w:rsidP="009E6F61">
            <w:pPr>
              <w:pStyle w:val="Texto"/>
              <w:spacing w:after="0" w:line="240" w:lineRule="exact"/>
              <w:ind w:firstLine="0"/>
              <w:jc w:val="center"/>
              <w:rPr>
                <w:b/>
                <w:bCs/>
                <w:szCs w:val="18"/>
                <w:lang w:val="es-MX"/>
              </w:rPr>
            </w:pPr>
            <w:r>
              <w:rPr>
                <w:b/>
              </w:rPr>
              <w:t>4,320,376.00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1743" w14:textId="12C9AA7D" w:rsidR="00CB503F" w:rsidRPr="00CB503F" w:rsidRDefault="00CB503F" w:rsidP="00CB503F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CB503F">
              <w:rPr>
                <w:b/>
              </w:rPr>
              <w:t>2,652,361.00</w:t>
            </w:r>
          </w:p>
        </w:tc>
      </w:tr>
    </w:tbl>
    <w:p w14:paraId="5F090E0D" w14:textId="77777777" w:rsidR="008543C7" w:rsidRDefault="008543C7" w:rsidP="001B2D8B">
      <w:pPr>
        <w:pStyle w:val="Texto"/>
        <w:spacing w:after="0" w:line="240" w:lineRule="exact"/>
        <w:rPr>
          <w:szCs w:val="18"/>
        </w:rPr>
      </w:pPr>
    </w:p>
    <w:p w14:paraId="205E410F" w14:textId="3AFC67E8" w:rsidR="007C25CB" w:rsidRDefault="007C25CB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szCs w:val="18"/>
          <w:lang w:val="es-MX"/>
        </w:rPr>
        <w:t>Es importante aclarar que este Estado Financiero, de acuerdo a los artículos 272 y 302 del Código financiero para el Estado de Tlaxcala y sus Municipios y artículos 17 y 52 de la Ley General de Contabilidad Gubernamental, la elaboración de este documento (base a efectivo).</w:t>
      </w:r>
    </w:p>
    <w:p w14:paraId="23332C1B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2AFFD364" w14:textId="282B3A25" w:rsidR="00F32A22" w:rsidRPr="00F71709" w:rsidRDefault="00F32A22" w:rsidP="00F32A22">
      <w:pPr>
        <w:pStyle w:val="Texto"/>
        <w:spacing w:after="0" w:line="240" w:lineRule="exact"/>
        <w:ind w:firstLine="0"/>
        <w:rPr>
          <w:color w:val="000000" w:themeColor="text1"/>
          <w:szCs w:val="18"/>
          <w:lang w:val="es-MX"/>
        </w:rPr>
      </w:pPr>
      <w:r>
        <w:rPr>
          <w:szCs w:val="18"/>
          <w:lang w:val="es-MX"/>
        </w:rPr>
        <w:t>El saldo que muestra el estado de cuenta del Instituto de Catastro al 3</w:t>
      </w:r>
      <w:r w:rsidR="00D41180">
        <w:rPr>
          <w:szCs w:val="18"/>
          <w:lang w:val="es-MX"/>
        </w:rPr>
        <w:t>0</w:t>
      </w:r>
      <w:r>
        <w:rPr>
          <w:szCs w:val="18"/>
          <w:lang w:val="es-MX"/>
        </w:rPr>
        <w:t xml:space="preserve"> de </w:t>
      </w:r>
      <w:r w:rsidR="00973D66">
        <w:rPr>
          <w:szCs w:val="18"/>
          <w:lang w:val="es-MX"/>
        </w:rPr>
        <w:t xml:space="preserve">septiembre </w:t>
      </w:r>
      <w:r>
        <w:rPr>
          <w:szCs w:val="18"/>
          <w:lang w:val="es-MX"/>
        </w:rPr>
        <w:t>de 202</w:t>
      </w:r>
      <w:r w:rsidR="00CB503F">
        <w:rPr>
          <w:szCs w:val="18"/>
          <w:lang w:val="es-MX"/>
        </w:rPr>
        <w:t>5</w:t>
      </w:r>
      <w:r>
        <w:rPr>
          <w:szCs w:val="18"/>
          <w:lang w:val="es-MX"/>
        </w:rPr>
        <w:t>, se integra de la siguiente manera:</w:t>
      </w:r>
    </w:p>
    <w:p w14:paraId="7D2FBA02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tbl>
      <w:tblPr>
        <w:tblW w:w="9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5"/>
        <w:gridCol w:w="1296"/>
      </w:tblGrid>
      <w:tr w:rsidR="00F32A22" w:rsidRPr="00F32A22" w14:paraId="6F0F0C85" w14:textId="77777777" w:rsidTr="003E10BD">
        <w:trPr>
          <w:trHeight w:val="4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FAE" w14:textId="2FEB6E2E" w:rsidR="00F32A22" w:rsidRPr="00F32A22" w:rsidRDefault="00F32A22" w:rsidP="00973D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Resultado del Ejercicio fiscal financiero al 3</w:t>
            </w:r>
            <w:r w:rsidR="00D4118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 w:rsidR="00AB3D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973D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septiembre</w:t>
            </w:r>
            <w:r w:rsidR="00D4118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5D09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</w:t>
            </w:r>
            <w:r w:rsidR="005D09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(incluye productos financieros por la cantidad de </w:t>
            </w:r>
            <w:r w:rsidR="004469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$</w:t>
            </w:r>
            <w:r w:rsidR="00973D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1,122.</w:t>
            </w:r>
            <w:r w:rsidR="00DD3A7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):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F89" w14:textId="511E62DB" w:rsidR="00F32A22" w:rsidRPr="00F32A22" w:rsidRDefault="00F32A22" w:rsidP="00973D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$</w:t>
            </w:r>
            <w:r w:rsidR="00973D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2,397,066.00</w:t>
            </w:r>
          </w:p>
        </w:tc>
      </w:tr>
      <w:tr w:rsidR="00F32A22" w:rsidRPr="00F32A22" w14:paraId="2AAE660A" w14:textId="77777777" w:rsidTr="003E10BD">
        <w:trPr>
          <w:trHeight w:val="4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3B89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+Pasivos: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BBEE" w14:textId="2A1D5DC3" w:rsidR="00F32A22" w:rsidRPr="00F32A22" w:rsidRDefault="00973D66" w:rsidP="00E03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56,955.00</w:t>
            </w:r>
          </w:p>
        </w:tc>
      </w:tr>
      <w:tr w:rsidR="00F32A22" w:rsidRPr="00346EAC" w14:paraId="525D3037" w14:textId="77777777" w:rsidTr="003E10BD">
        <w:trPr>
          <w:trHeight w:val="145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5988" w14:textId="2934B68F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+Remanentes financieros de resultados de ejercicios anteriores: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B6AE" w14:textId="04DD799A" w:rsidR="00F32A22" w:rsidRPr="00F32A22" w:rsidRDefault="00973D66" w:rsidP="00CB5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73D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1,866,594.00</w:t>
            </w:r>
          </w:p>
        </w:tc>
      </w:tr>
      <w:tr w:rsidR="00F32A22" w:rsidRPr="00F32A22" w14:paraId="2C796952" w14:textId="77777777" w:rsidTr="003E10BD">
        <w:trPr>
          <w:trHeight w:val="40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8353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-Deudores diversos (Fondo </w:t>
            </w:r>
            <w:proofErr w:type="spellStart"/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revolvente</w:t>
            </w:r>
            <w:proofErr w:type="spellEnd"/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DCB8" w14:textId="29693490" w:rsidR="00F32A22" w:rsidRPr="00F32A22" w:rsidRDefault="00CB503F" w:rsidP="00FA57A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0.00</w:t>
            </w:r>
          </w:p>
        </w:tc>
      </w:tr>
      <w:tr w:rsidR="00CB503F" w:rsidRPr="00F32A22" w14:paraId="49A3BBDE" w14:textId="77777777" w:rsidTr="003E10BD">
        <w:trPr>
          <w:trHeight w:val="40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E8D2" w14:textId="66CAD66E" w:rsidR="00CB503F" w:rsidRPr="00F32A22" w:rsidRDefault="00CB503F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-Derechos a recibir efectivo y/o equivalentes (subsidio al empleo)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688" w14:textId="155D7501" w:rsidR="00CB503F" w:rsidRDefault="00973D66" w:rsidP="00FA57A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239.00</w:t>
            </w:r>
          </w:p>
        </w:tc>
      </w:tr>
      <w:tr w:rsidR="00F32A22" w:rsidRPr="00F32A22" w14:paraId="2A3F3C09" w14:textId="77777777" w:rsidTr="003E10BD">
        <w:trPr>
          <w:trHeight w:val="79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2689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=Saldo en bancos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502" w14:textId="44A5A648" w:rsidR="00F32A22" w:rsidRPr="00F32A22" w:rsidRDefault="00F32A22" w:rsidP="00973D66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$</w:t>
            </w:r>
            <w:r w:rsidR="00973D6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4,320,376.00</w:t>
            </w:r>
          </w:p>
        </w:tc>
      </w:tr>
    </w:tbl>
    <w:p w14:paraId="458B725F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5BDE8107" w14:textId="5C10050B" w:rsidR="00E90C87" w:rsidRDefault="00E90C87" w:rsidP="00E90C87">
      <w:pPr>
        <w:pStyle w:val="Texto"/>
        <w:numPr>
          <w:ilvl w:val="0"/>
          <w:numId w:val="2"/>
        </w:numPr>
        <w:spacing w:after="0" w:line="240" w:lineRule="exact"/>
        <w:rPr>
          <w:szCs w:val="18"/>
          <w:lang w:val="es-MX"/>
        </w:rPr>
      </w:pPr>
      <w:r>
        <w:rPr>
          <w:szCs w:val="18"/>
          <w:lang w:val="es-MX"/>
        </w:rPr>
        <w:t xml:space="preserve">Se detallan las actividades de inversión efectivamente pagadas, </w:t>
      </w:r>
      <w:r w:rsidRPr="0029382D">
        <w:rPr>
          <w:szCs w:val="18"/>
          <w:lang w:val="es-MX"/>
        </w:rPr>
        <w:t>respecto del apartado</w:t>
      </w:r>
      <w:r>
        <w:rPr>
          <w:szCs w:val="18"/>
          <w:lang w:val="es-MX"/>
        </w:rPr>
        <w:t xml:space="preserve"> de aplicación.</w:t>
      </w:r>
    </w:p>
    <w:p w14:paraId="6744BBF2" w14:textId="77777777" w:rsidR="00D41180" w:rsidRDefault="00D41180" w:rsidP="003E10BD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tbl>
      <w:tblPr>
        <w:tblW w:w="7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077"/>
        <w:gridCol w:w="976"/>
      </w:tblGrid>
      <w:tr w:rsidR="00E90C87" w:rsidRPr="0029382D" w14:paraId="1FED9370" w14:textId="77777777" w:rsidTr="00D41180">
        <w:trPr>
          <w:trHeight w:val="214"/>
          <w:jc w:val="center"/>
        </w:trPr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A4E4E3" w14:textId="77777777" w:rsidR="00E90C87" w:rsidRPr="0029382D" w:rsidRDefault="00E90C87" w:rsidP="00E9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Adquisiciones de Actividades de Inversión efectivamente pagadas</w:t>
            </w:r>
          </w:p>
        </w:tc>
      </w:tr>
      <w:tr w:rsidR="00E90C87" w:rsidRPr="0029382D" w14:paraId="6A08864B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3DE14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F8B729" w14:textId="74740ECC" w:rsidR="00E90C87" w:rsidRPr="0029382D" w:rsidRDefault="00CB503F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9793A8" w14:textId="005E7EC7" w:rsidR="00E90C87" w:rsidRPr="0029382D" w:rsidRDefault="00CB503F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2024</w:t>
            </w:r>
          </w:p>
        </w:tc>
      </w:tr>
      <w:tr w:rsidR="00E90C87" w:rsidRPr="0029382D" w14:paraId="1CE94D41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EB99" w14:textId="5105EE6D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inmuebles, Infr</w:t>
            </w:r>
            <w:r w:rsidR="001530BF"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estructura y Construcciones en Proceso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2C32" w14:textId="61C20764" w:rsidR="00E90C87" w:rsidRPr="00FC5E9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</w:t>
            </w:r>
            <w:r w:rsidR="00FC5E9D"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4F3" w14:textId="6BA27E3D" w:rsidR="00E90C87" w:rsidRPr="00FC5E9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</w:t>
            </w:r>
            <w:r w:rsidR="00FC5E9D"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E90C87" w:rsidRPr="0029382D" w14:paraId="3EEF54B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7B5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Terrenos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E84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6C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76F4569A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B5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2CC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80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76166689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A6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Edificios no habitacionales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F5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7A8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55B5860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483" w14:textId="1318FCA9" w:rsidR="00E90C87" w:rsidRPr="0029382D" w:rsidRDefault="001530BF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Infraestructura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16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19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0F316F1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96A" w14:textId="40A1ACDF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Construcciones en </w:t>
            </w:r>
            <w:r w:rsidR="001530BF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</w:t>
            </w: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roceso en bienes de Dominio Público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7210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F6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23CBA4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0F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Construcciones en Proceso en Bienes Propios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81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BF8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6E128FF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E4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Bienes Inmuebles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6D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3B8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FA46D9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3A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35F3" w14:textId="74E71FF6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910" w14:textId="3893B9AE" w:rsidR="00E90C87" w:rsidRPr="0029382D" w:rsidRDefault="0029382D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$</w:t>
            </w:r>
            <w:r w:rsidR="00CB503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90C87" w:rsidRPr="0029382D" w14:paraId="608A8CCA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FB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DF6" w14:textId="405E18B8" w:rsidR="00FC5E9D" w:rsidRPr="0029382D" w:rsidRDefault="00E90C87" w:rsidP="00FC5E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 w:rsidR="00FC5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138" w14:textId="754E3DC2" w:rsidR="00E90C87" w:rsidRPr="0029382D" w:rsidRDefault="00E90C87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 w:rsidR="0029382D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$</w:t>
            </w:r>
            <w:r w:rsidR="00CB50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90C87" w:rsidRPr="0029382D" w14:paraId="23F87CDC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D5B" w14:textId="07A50F96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2C14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B2B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6550AED7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E67" w14:textId="1571B9CF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</w:t>
            </w:r>
            <w:r w:rsidR="001530BF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q</w:t>
            </w: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uipo e Instrumental Médico y de Laboratorio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0E0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D666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D46122B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5940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E2B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09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F2B1BC6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F95" w14:textId="4E510851" w:rsidR="00E90C87" w:rsidRPr="0029382D" w:rsidRDefault="001530BF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</w:t>
            </w:r>
            <w:r w:rsidR="00E90C87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ensa y Seguridad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74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C7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5AD293C7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62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47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3F2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A8E7778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37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Colecciones, Obras de Arte y objetos Valiosos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74D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8BC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35E7E82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1E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D1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83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219593C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0C9B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Otras inversiones.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5CF" w14:textId="53D1CE1D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8553" w14:textId="666307DA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E90C87" w:rsidRPr="0029382D" w14:paraId="6F435DA4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53E05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D30ECC" w14:textId="32DD145D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EB9F19" w14:textId="4059F0C2" w:rsidR="00E90C87" w:rsidRPr="0029382D" w:rsidRDefault="0029382D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CB50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</w:tbl>
    <w:p w14:paraId="231DA2B2" w14:textId="77777777" w:rsidR="00D41180" w:rsidRDefault="00D41180" w:rsidP="00E90C87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2E511208" w14:textId="6041E9C9" w:rsidR="00E90C87" w:rsidRDefault="001530BF" w:rsidP="001530BF">
      <w:pPr>
        <w:pStyle w:val="Texto"/>
        <w:numPr>
          <w:ilvl w:val="0"/>
          <w:numId w:val="2"/>
        </w:numPr>
        <w:spacing w:after="0" w:line="240" w:lineRule="exact"/>
        <w:rPr>
          <w:szCs w:val="18"/>
          <w:lang w:val="es-MX"/>
        </w:rPr>
      </w:pPr>
      <w:r>
        <w:rPr>
          <w:szCs w:val="18"/>
          <w:lang w:val="es-MX"/>
        </w:rPr>
        <w:t>Se presenta la conciliación de los Flujos de Efectivo Netos de las Actividades de Operación y los saldos de Resultados del Ejercicio (ahorro/desahorro), como a continuación se detalla:</w:t>
      </w:r>
    </w:p>
    <w:p w14:paraId="5BB2B815" w14:textId="77777777" w:rsidR="001530BF" w:rsidRDefault="001530BF" w:rsidP="001530BF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6"/>
        <w:gridCol w:w="1559"/>
        <w:gridCol w:w="1454"/>
      </w:tblGrid>
      <w:tr w:rsidR="001530BF" w:rsidRPr="000F6B3C" w14:paraId="7060A8B4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7B06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8BDD" w14:textId="308D9110" w:rsidR="001530BF" w:rsidRPr="00FC5E9D" w:rsidRDefault="00CB503F" w:rsidP="00FA57A1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2025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92B3" w14:textId="0354EA54" w:rsidR="001530BF" w:rsidRPr="00FC5E9D" w:rsidRDefault="001530BF" w:rsidP="00FC5E9D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 w:rsidRPr="00FC5E9D">
              <w:rPr>
                <w:b/>
                <w:szCs w:val="18"/>
                <w:lang w:val="es-MX"/>
              </w:rPr>
              <w:t>202</w:t>
            </w:r>
            <w:r w:rsidR="00CB503F">
              <w:rPr>
                <w:b/>
                <w:szCs w:val="18"/>
                <w:lang w:val="es-MX"/>
              </w:rPr>
              <w:t>4</w:t>
            </w:r>
          </w:p>
        </w:tc>
      </w:tr>
      <w:tr w:rsidR="001530BF" w:rsidRPr="000F6B3C" w14:paraId="6D245517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CC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Resultado del Ejercicio Ahorro/Desahorro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D9EB" w14:textId="05BF12D3" w:rsidR="001530BF" w:rsidRPr="009A45DE" w:rsidRDefault="003E10BD" w:rsidP="004C2618">
            <w:pPr>
              <w:pStyle w:val="Texto"/>
              <w:spacing w:after="0" w:line="240" w:lineRule="exact"/>
              <w:ind w:firstLine="0"/>
              <w:jc w:val="right"/>
              <w:rPr>
                <w:color w:val="000000" w:themeColor="text1"/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2,397,066.00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E77C" w14:textId="78B54C1B" w:rsidR="001530BF" w:rsidRDefault="00CB503F" w:rsidP="00FA57A1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CB503F">
              <w:rPr>
                <w:color w:val="000000" w:themeColor="text1"/>
                <w:szCs w:val="18"/>
                <w:lang w:val="es-MX"/>
              </w:rPr>
              <w:t>$1,994,785.00</w:t>
            </w:r>
          </w:p>
        </w:tc>
      </w:tr>
      <w:tr w:rsidR="001530BF" w:rsidRPr="000F6B3C" w14:paraId="5999E16F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C68D" w14:textId="77777777" w:rsidR="001530BF" w:rsidRPr="001530BF" w:rsidRDefault="001530BF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1530BF">
              <w:rPr>
                <w:b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E444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4C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5F91A0CB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3BEF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Depreciación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D25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BEE1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05F514EB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6A87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Amortización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B4A1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5A6E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339661A3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1E84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8B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5E17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1C7FBAF9" w14:textId="77777777" w:rsidTr="007C25CB">
        <w:trPr>
          <w:cantSplit/>
          <w:trHeight w:val="212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766B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B64B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49C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1530BF" w:rsidRPr="000F6B3C" w14:paraId="0FD0C4B3" w14:textId="77777777" w:rsidTr="007C25CB">
        <w:trPr>
          <w:cantSplit/>
          <w:trHeight w:val="102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A31E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CBC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56F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1530BF" w:rsidRPr="000F6B3C" w14:paraId="4998A34A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C48B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735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A682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D82829" w:rsidRPr="00757631" w14:paraId="360FCCAF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3475" w14:textId="77777777" w:rsidR="00D82829" w:rsidRPr="00757631" w:rsidRDefault="00D82829" w:rsidP="00D82829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757631">
              <w:rPr>
                <w:b/>
                <w:bCs/>
                <w:szCs w:val="18"/>
                <w:lang w:val="es-MX"/>
              </w:rPr>
              <w:t>Flujos de Efectivo Netos de las Actividades de Operación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5FE5" w14:textId="126E6E52" w:rsidR="00D82829" w:rsidRPr="00D82829" w:rsidRDefault="00D82829" w:rsidP="003E10BD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D82829">
              <w:rPr>
                <w:b/>
                <w:lang w:val="es-MX"/>
              </w:rPr>
              <w:t>$</w:t>
            </w:r>
            <w:r w:rsidR="003E10BD">
              <w:rPr>
                <w:b/>
              </w:rPr>
              <w:t>2,397,066.00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A38A" w14:textId="3828885C" w:rsidR="00D82829" w:rsidRPr="00D82829" w:rsidRDefault="00D82829" w:rsidP="00D82829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D82829">
              <w:rPr>
                <w:b/>
              </w:rPr>
              <w:t>$1,994,785.00</w:t>
            </w:r>
          </w:p>
        </w:tc>
      </w:tr>
    </w:tbl>
    <w:p w14:paraId="724CE554" w14:textId="77777777" w:rsidR="001530BF" w:rsidRDefault="001530BF" w:rsidP="001530BF">
      <w:pPr>
        <w:pStyle w:val="Texto"/>
        <w:spacing w:after="0" w:line="240" w:lineRule="exact"/>
        <w:rPr>
          <w:szCs w:val="18"/>
          <w:lang w:val="es-MX"/>
        </w:rPr>
      </w:pPr>
    </w:p>
    <w:p w14:paraId="253DDE1D" w14:textId="19ABDE1E" w:rsidR="001530BF" w:rsidRDefault="007C25CB" w:rsidP="007C25CB">
      <w:pPr>
        <w:pStyle w:val="Texto"/>
        <w:spacing w:after="0" w:line="240" w:lineRule="exact"/>
        <w:rPr>
          <w:szCs w:val="18"/>
          <w:lang w:val="es-MX"/>
        </w:rPr>
      </w:pPr>
      <w:r>
        <w:rPr>
          <w:color w:val="000000" w:themeColor="text1"/>
          <w:szCs w:val="18"/>
          <w:lang w:val="es-MX"/>
        </w:rPr>
        <w:t xml:space="preserve">   </w:t>
      </w:r>
      <w:r w:rsidRPr="00EF7987">
        <w:rPr>
          <w:color w:val="000000" w:themeColor="text1"/>
          <w:szCs w:val="18"/>
          <w:lang w:val="es-MX"/>
        </w:rPr>
        <w:t>Se informa que el Instituto de Catastro tuvo una variación en flujos de efectivo por el importe $</w:t>
      </w:r>
      <w:r w:rsidR="00045AA5">
        <w:rPr>
          <w:color w:val="000000" w:themeColor="text1"/>
          <w:szCs w:val="18"/>
          <w:lang w:val="es-MX"/>
        </w:rPr>
        <w:t>942,</w:t>
      </w:r>
      <w:r w:rsidR="004C2618">
        <w:rPr>
          <w:color w:val="000000" w:themeColor="text1"/>
          <w:szCs w:val="18"/>
          <w:lang w:val="es-MX"/>
        </w:rPr>
        <w:t>955</w:t>
      </w:r>
      <w:r w:rsidR="00045AA5">
        <w:rPr>
          <w:color w:val="000000" w:themeColor="text1"/>
          <w:szCs w:val="18"/>
          <w:lang w:val="es-MX"/>
        </w:rPr>
        <w:t>.00</w:t>
      </w:r>
      <w:r w:rsidR="00E031FE">
        <w:rPr>
          <w:color w:val="000000" w:themeColor="text1"/>
          <w:szCs w:val="18"/>
          <w:lang w:val="es-MX"/>
        </w:rPr>
        <w:t>.</w:t>
      </w:r>
    </w:p>
    <w:p w14:paraId="408DA70B" w14:textId="77777777" w:rsidR="00FC5E9D" w:rsidRDefault="00FC5E9D" w:rsidP="00E90C87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53738585" w14:textId="6AD74726" w:rsidR="007C25CB" w:rsidRDefault="007C25CB" w:rsidP="007C25C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  <w:r>
        <w:rPr>
          <w:color w:val="000000" w:themeColor="text1"/>
          <w:szCs w:val="18"/>
          <w:lang w:val="es-MX"/>
        </w:rPr>
        <w:t>El resultado del ejercicio fiscal al 3</w:t>
      </w:r>
      <w:r w:rsidR="00045AA5">
        <w:rPr>
          <w:color w:val="000000" w:themeColor="text1"/>
          <w:szCs w:val="18"/>
          <w:lang w:val="es-MX"/>
        </w:rPr>
        <w:t>0</w:t>
      </w:r>
      <w:r>
        <w:rPr>
          <w:color w:val="000000" w:themeColor="text1"/>
          <w:szCs w:val="18"/>
          <w:lang w:val="es-MX"/>
        </w:rPr>
        <w:t xml:space="preserve"> de </w:t>
      </w:r>
      <w:r w:rsidR="003E10BD">
        <w:rPr>
          <w:color w:val="000000" w:themeColor="text1"/>
          <w:szCs w:val="18"/>
          <w:lang w:val="es-MX"/>
        </w:rPr>
        <w:t xml:space="preserve">septiembre </w:t>
      </w:r>
      <w:r w:rsidR="00045AA5">
        <w:rPr>
          <w:color w:val="000000" w:themeColor="text1"/>
          <w:szCs w:val="18"/>
          <w:lang w:val="es-MX"/>
        </w:rPr>
        <w:t>d</w:t>
      </w:r>
      <w:r w:rsidR="005D096A">
        <w:rPr>
          <w:color w:val="000000" w:themeColor="text1"/>
          <w:szCs w:val="18"/>
          <w:lang w:val="es-MX"/>
        </w:rPr>
        <w:t xml:space="preserve">e </w:t>
      </w:r>
      <w:r>
        <w:rPr>
          <w:color w:val="000000" w:themeColor="text1"/>
          <w:szCs w:val="18"/>
          <w:lang w:val="es-MX"/>
        </w:rPr>
        <w:t>202</w:t>
      </w:r>
      <w:r w:rsidR="005D096A">
        <w:rPr>
          <w:color w:val="000000" w:themeColor="text1"/>
          <w:szCs w:val="18"/>
          <w:lang w:val="es-MX"/>
        </w:rPr>
        <w:t>5</w:t>
      </w:r>
      <w:r>
        <w:rPr>
          <w:color w:val="000000" w:themeColor="text1"/>
          <w:szCs w:val="18"/>
          <w:lang w:val="es-MX"/>
        </w:rPr>
        <w:t xml:space="preserve"> se integra de la siguiente manera: </w:t>
      </w:r>
    </w:p>
    <w:p w14:paraId="11D62CDD" w14:textId="77777777" w:rsidR="007C25CB" w:rsidRDefault="007C25CB" w:rsidP="007C25C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tbl>
      <w:tblPr>
        <w:tblW w:w="94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3751"/>
      </w:tblGrid>
      <w:tr w:rsidR="007C25CB" w:rsidRPr="00F24F9A" w14:paraId="424B2584" w14:textId="77777777" w:rsidTr="002202FB">
        <w:trPr>
          <w:trHeight w:val="13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330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F</w:t>
            </w:r>
            <w:r w:rsidRPr="00F24F9A">
              <w:rPr>
                <w:szCs w:val="18"/>
                <w:lang w:val="es-MX"/>
              </w:rPr>
              <w:t>inanciero</w:t>
            </w:r>
          </w:p>
          <w:p w14:paraId="3EAF9E86" w14:textId="77777777" w:rsidR="007C25CB" w:rsidRPr="00F24F9A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5EB5" w14:textId="11640CE1" w:rsidR="007C25CB" w:rsidRDefault="00F32A22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$</w:t>
            </w:r>
            <w:r w:rsidR="003E10BD">
              <w:rPr>
                <w:szCs w:val="18"/>
                <w:lang w:val="es-MX"/>
              </w:rPr>
              <w:t>2,397,066.00</w:t>
            </w:r>
          </w:p>
          <w:p w14:paraId="1C7B3267" w14:textId="77777777" w:rsidR="007C25CB" w:rsidRPr="00F24F9A" w:rsidRDefault="007C25CB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5B95" w14:textId="13E37783" w:rsidR="007C25CB" w:rsidRPr="00F24F9A" w:rsidRDefault="007C25CB" w:rsidP="003E10B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F24F9A">
              <w:rPr>
                <w:szCs w:val="18"/>
                <w:lang w:val="es-MX"/>
              </w:rPr>
              <w:t>Incluye $</w:t>
            </w:r>
            <w:r w:rsidR="003E10BD">
              <w:rPr>
                <w:szCs w:val="18"/>
                <w:lang w:val="es-MX"/>
              </w:rPr>
              <w:t>2</w:t>
            </w:r>
            <w:proofErr w:type="gramStart"/>
            <w:r w:rsidR="003E10BD">
              <w:rPr>
                <w:szCs w:val="18"/>
                <w:lang w:val="es-MX"/>
              </w:rPr>
              <w:t>,395,944.00</w:t>
            </w:r>
            <w:proofErr w:type="gramEnd"/>
            <w:r w:rsidR="000A369A">
              <w:rPr>
                <w:szCs w:val="18"/>
                <w:lang w:val="es-MX"/>
              </w:rPr>
              <w:t xml:space="preserve"> </w:t>
            </w:r>
            <w:r>
              <w:rPr>
                <w:szCs w:val="18"/>
                <w:lang w:val="es-MX"/>
              </w:rPr>
              <w:t>de resultado financiero (productos financieros $</w:t>
            </w:r>
            <w:r w:rsidR="003E10BD">
              <w:rPr>
                <w:szCs w:val="18"/>
                <w:lang w:val="es-MX"/>
              </w:rPr>
              <w:t>1,122.00</w:t>
            </w:r>
            <w:r>
              <w:rPr>
                <w:szCs w:val="18"/>
                <w:lang w:val="es-MX"/>
              </w:rPr>
              <w:t>).</w:t>
            </w:r>
          </w:p>
        </w:tc>
      </w:tr>
      <w:tr w:rsidR="007C25CB" w:rsidRPr="00F24F9A" w14:paraId="730E9905" w14:textId="77777777" w:rsidTr="002202FB">
        <w:trPr>
          <w:trHeight w:val="15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103E" w14:textId="079CC14D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+Adquisición de activos (tecnologías de la información)</w:t>
            </w:r>
          </w:p>
          <w:p w14:paraId="6FDB0BD0" w14:textId="77777777" w:rsidR="007C25CB" w:rsidRPr="00F24F9A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1CFA" w14:textId="5812D9DF" w:rsidR="007C25CB" w:rsidRDefault="00F32A22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</w:t>
            </w:r>
            <w:r w:rsidR="007C25CB">
              <w:rPr>
                <w:szCs w:val="18"/>
                <w:lang w:val="es-MX"/>
              </w:rPr>
              <w:t>00</w:t>
            </w:r>
          </w:p>
          <w:p w14:paraId="45A18ABF" w14:textId="77777777" w:rsidR="007C25CB" w:rsidRDefault="007C25CB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F604" w14:textId="77777777" w:rsidR="007C25CB" w:rsidRPr="00F24F9A" w:rsidRDefault="007C25CB" w:rsidP="00F32A2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7C25CB" w:rsidRPr="00F24F9A" w14:paraId="2F0ED4E8" w14:textId="77777777" w:rsidTr="002202FB">
        <w:trPr>
          <w:trHeight w:val="18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3D0B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+Adquisición de activos (equipo de comunicación y telecomunicación)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9BF3" w14:textId="06B9408D" w:rsidR="007C25CB" w:rsidRDefault="007C25CB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F5B4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7C25CB" w:rsidRPr="00F24F9A" w14:paraId="30357016" w14:textId="77777777" w:rsidTr="002202FB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9767" w14:textId="5F5E07D4" w:rsidR="007C25CB" w:rsidRPr="003B4183" w:rsidRDefault="007C25CB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Total de resultado del ejercicio fiscal 202</w:t>
            </w:r>
            <w:r w:rsidR="005D096A">
              <w:rPr>
                <w:b/>
                <w:szCs w:val="18"/>
                <w:lang w:val="es-MX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93DA" w14:textId="570E7978" w:rsidR="007C25CB" w:rsidRPr="003B4183" w:rsidRDefault="00CF1FFE" w:rsidP="003E10BD">
            <w:pPr>
              <w:jc w:val="right"/>
              <w:rPr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</w:t>
            </w:r>
            <w:r w:rsidR="00D82829" w:rsidRPr="00D8282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3E10B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2,397,066.00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D135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Superávit.</w:t>
            </w:r>
          </w:p>
          <w:p w14:paraId="0EC4D53E" w14:textId="77777777" w:rsidR="007C25CB" w:rsidRPr="003B4183" w:rsidRDefault="007C25CB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</w:p>
        </w:tc>
      </w:tr>
    </w:tbl>
    <w:p w14:paraId="76F48747" w14:textId="77777777" w:rsidR="001530BF" w:rsidRDefault="001530B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6602EB4B" w14:textId="77777777" w:rsidR="002D77A6" w:rsidRDefault="002D77A6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  <w:r w:rsidRPr="000F6B3C">
        <w:rPr>
          <w:b/>
          <w:smallCaps/>
        </w:rPr>
        <w:t>V) Conciliación entre los ingresos presupuestarios y contables, así como entre los egresos presupuestarios y los gastos contables</w:t>
      </w:r>
    </w:p>
    <w:p w14:paraId="19B0E099" w14:textId="213C93EF" w:rsidR="00FA57A1" w:rsidRDefault="00FA57A1" w:rsidP="00FA57A1">
      <w:pPr>
        <w:pStyle w:val="INCISO"/>
        <w:numPr>
          <w:ilvl w:val="0"/>
          <w:numId w:val="17"/>
        </w:numPr>
        <w:spacing w:after="0" w:line="240" w:lineRule="exact"/>
        <w:jc w:val="center"/>
        <w:rPr>
          <w:b/>
          <w:smallCaps/>
        </w:rPr>
      </w:pPr>
      <w:r>
        <w:rPr>
          <w:b/>
          <w:smallCaps/>
        </w:rPr>
        <w:t>Conciliación entre los ingresos Presupuestarios y Contables.</w:t>
      </w:r>
    </w:p>
    <w:p w14:paraId="1909930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2B4D2D" w:rsidRPr="002B4D2D" w14:paraId="03D417CD" w14:textId="77777777" w:rsidTr="00FA57A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E3EBA6" w14:textId="77777777" w:rsidR="002B4D2D" w:rsidRPr="002B4D2D" w:rsidRDefault="002B4D2D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Instituto de Catastro del Estado de Tlaxcala</w:t>
            </w:r>
          </w:p>
        </w:tc>
      </w:tr>
      <w:tr w:rsidR="002B4D2D" w:rsidRPr="002B4D2D" w14:paraId="289429E5" w14:textId="77777777" w:rsidTr="00FA57A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1B470" w14:textId="77777777" w:rsidR="002B4D2D" w:rsidRPr="002B4D2D" w:rsidRDefault="002B4D2D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</w:tc>
      </w:tr>
      <w:tr w:rsidR="002B4D2D" w:rsidRPr="002B4D2D" w14:paraId="4E6E7422" w14:textId="77777777" w:rsidTr="00FA57A1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17FDBF" w14:textId="2939FAA9" w:rsidR="002B4D2D" w:rsidRPr="002B4D2D" w:rsidRDefault="002B4D2D" w:rsidP="003E1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Del 01 de enero al 3</w:t>
            </w:r>
            <w:r w:rsidR="00045A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 w:rsidR="003E10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septiembre </w:t>
            </w: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 202</w:t>
            </w:r>
            <w:r w:rsidR="005D09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2B4D2D" w:rsidRPr="002B4D2D" w14:paraId="5D1F5731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6A1DD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Conceptos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75A48" w14:textId="660E2685" w:rsidR="002B4D2D" w:rsidRPr="002B4D2D" w:rsidRDefault="005D096A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2025</w:t>
            </w:r>
          </w:p>
        </w:tc>
      </w:tr>
      <w:tr w:rsidR="002B4D2D" w:rsidRPr="002B4D2D" w14:paraId="2CEB24D4" w14:textId="77777777" w:rsidTr="00FA57A1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60E73E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1. Total de Ingresos Presupuestarios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3F357" w14:textId="73E49C28" w:rsidR="00DD3A74" w:rsidRPr="002B4D2D" w:rsidRDefault="00FA57A1" w:rsidP="003E1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3E10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7,704,552.00</w:t>
            </w:r>
          </w:p>
        </w:tc>
      </w:tr>
      <w:tr w:rsidR="002B4D2D" w:rsidRPr="002B4D2D" w14:paraId="4C88A09E" w14:textId="77777777" w:rsidTr="00FA57A1">
        <w:trPr>
          <w:trHeight w:val="7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092C9" w14:textId="43F2A1F5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495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76C81CB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B18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2. Más Ingresos Contables No presupuestarios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5E90" w14:textId="77777777" w:rsidR="002B4D2D" w:rsidRPr="002B4D2D" w:rsidRDefault="002B4D2D" w:rsidP="002B4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B4D2D" w:rsidRPr="002B4D2D" w14:paraId="4729B68E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D87" w14:textId="12DD1074" w:rsidR="002B4D2D" w:rsidRPr="002B4D2D" w:rsidRDefault="002B4D2D" w:rsidP="00FA5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2.1 </w:t>
            </w:r>
            <w:r w:rsidR="00FA57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</w:t>
            </w: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ngresos Financieros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35C" w14:textId="3BABDB26" w:rsidR="002B4D2D" w:rsidRPr="002B4D2D" w:rsidRDefault="002B4D2D" w:rsidP="00AE4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B4D2D" w:rsidRPr="002B4D2D" w14:paraId="55D52195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007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 Incremento por Variación de Inventarios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93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08023A10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26C" w14:textId="6627A632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C83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D561143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1B5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 Disminución Del exceso de Provisiones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319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779954F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8D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 Otros Ingresos y Beneficios Varios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A96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4805C60C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B9E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 otros Ingresos Contables No Presupuestarios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BFDF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6B3C1492" w14:textId="77777777" w:rsidTr="00FA57A1">
        <w:trPr>
          <w:trHeight w:val="5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93C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AFA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AB3CA98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760" w14:textId="22CF68AE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3. menos Ingresos Presupuestarios No Contables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546" w14:textId="77777777" w:rsidR="002B4D2D" w:rsidRPr="002B4D2D" w:rsidRDefault="002B4D2D" w:rsidP="002B4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B4D2D" w:rsidRPr="002B4D2D" w14:paraId="5BFF5C64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3F3" w14:textId="4A43F971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 Aprovechamientos Patrimoniales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F8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251E388F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FB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 Ingresos Derivados de Financiamientos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A58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156F001A" w14:textId="77777777" w:rsidTr="00FA57A1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E56" w14:textId="23D05D6D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 otros Ingresos Presupuestarios No Contables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3B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60CB4401" w14:textId="77777777" w:rsidTr="00FA57A1">
        <w:trPr>
          <w:trHeight w:val="7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3A97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AD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408D99D0" w14:textId="77777777" w:rsidTr="00045AA5">
        <w:trPr>
          <w:trHeight w:val="48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FCD505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4. Total de Ingresos Contables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8507EB" w14:textId="5FAC735C" w:rsidR="002B4D2D" w:rsidRPr="002B4D2D" w:rsidRDefault="00AE4D36" w:rsidP="003E10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3E10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7,704,552.00</w:t>
            </w:r>
          </w:p>
        </w:tc>
      </w:tr>
    </w:tbl>
    <w:p w14:paraId="49062BF1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A1DBA8F" w14:textId="77777777" w:rsidR="00F52257" w:rsidRDefault="00F52257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18AF30B" w14:textId="77777777" w:rsidR="00F52257" w:rsidRDefault="00F52257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CD55193" w14:textId="6636F263" w:rsidR="00FA57A1" w:rsidRDefault="00FA57A1" w:rsidP="00FA57A1">
      <w:pPr>
        <w:pStyle w:val="INCISO"/>
        <w:numPr>
          <w:ilvl w:val="0"/>
          <w:numId w:val="17"/>
        </w:numPr>
        <w:spacing w:after="0" w:line="240" w:lineRule="exact"/>
        <w:jc w:val="center"/>
        <w:rPr>
          <w:b/>
          <w:smallCaps/>
        </w:rPr>
      </w:pPr>
      <w:r>
        <w:rPr>
          <w:b/>
          <w:smallCaps/>
        </w:rPr>
        <w:t>Conciliación entre los Egresos Presupuestarios y Gastos Contables.</w:t>
      </w:r>
    </w:p>
    <w:p w14:paraId="2C03ED8D" w14:textId="2ED31766" w:rsidR="00FA57A1" w:rsidRDefault="00FA57A1" w:rsidP="00FA57A1">
      <w:pPr>
        <w:pStyle w:val="Texto"/>
        <w:spacing w:after="0" w:line="240" w:lineRule="exact"/>
        <w:ind w:firstLine="0"/>
        <w:rPr>
          <w:szCs w:val="18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4"/>
        <w:gridCol w:w="1974"/>
      </w:tblGrid>
      <w:tr w:rsidR="00F52257" w:rsidRPr="00F52257" w14:paraId="12D16C47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20D67D" w14:textId="77777777" w:rsidR="00F52257" w:rsidRPr="00F52257" w:rsidRDefault="00F52257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Instituto de Catastro del Estado de Tlaxcala</w:t>
            </w:r>
          </w:p>
        </w:tc>
      </w:tr>
      <w:tr w:rsidR="00F52257" w:rsidRPr="00F52257" w14:paraId="63463179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33A4CE" w14:textId="77777777" w:rsidR="00F52257" w:rsidRPr="00F52257" w:rsidRDefault="00F52257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Conciliación entre Egresos Presupuestarios y Gastos Contables</w:t>
            </w:r>
          </w:p>
        </w:tc>
      </w:tr>
      <w:tr w:rsidR="00F52257" w:rsidRPr="00F52257" w14:paraId="66DD5365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E4E978" w14:textId="02AC86D2" w:rsidR="00F52257" w:rsidRPr="00F52257" w:rsidRDefault="00F52257" w:rsidP="003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01 de enero al 3</w:t>
            </w:r>
            <w:r w:rsidR="00045AA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</w:t>
            </w:r>
            <w:r w:rsidR="003E10B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septiembre</w:t>
            </w:r>
            <w:r w:rsidR="005D096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202</w:t>
            </w:r>
            <w:r w:rsidR="005D096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F52257" w:rsidRPr="00F52257" w14:paraId="47551E20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D5296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A11FFE" w14:textId="24E01500" w:rsidR="00F52257" w:rsidRPr="00F52257" w:rsidRDefault="005D096A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2025</w:t>
            </w:r>
          </w:p>
        </w:tc>
      </w:tr>
      <w:tr w:rsidR="00F52257" w:rsidRPr="00F52257" w14:paraId="3D5E1C9D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719D1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1. Total de Egresos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A3A783" w14:textId="69BB923B" w:rsidR="00F52257" w:rsidRPr="00F52257" w:rsidRDefault="00F52257" w:rsidP="003E10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3E10B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5,307,486.00</w:t>
            </w:r>
          </w:p>
        </w:tc>
      </w:tr>
      <w:tr w:rsidR="00F52257" w:rsidRPr="00F52257" w14:paraId="3BA6E130" w14:textId="77777777" w:rsidTr="00F52257">
        <w:trPr>
          <w:trHeight w:val="18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8C9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F9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3B0C3EA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B3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2. Menos Egresos Presupuestarios No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F3F7" w14:textId="6C700D75" w:rsidR="00F52257" w:rsidRPr="00D5203F" w:rsidRDefault="003E10BD" w:rsidP="00F52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212,888.00</w:t>
            </w:r>
          </w:p>
        </w:tc>
      </w:tr>
      <w:tr w:rsidR="00F52257" w:rsidRPr="00F52257" w14:paraId="720F090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19B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 Materias Primas y Materiales de Producción y Comercialización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F7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5CB501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C4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 Materiales y Suministros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FBAF" w14:textId="7F3785F4" w:rsidR="00F52257" w:rsidRPr="00F52257" w:rsidRDefault="003E10BD" w:rsidP="00DD3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212,888.00</w:t>
            </w:r>
          </w:p>
        </w:tc>
      </w:tr>
      <w:tr w:rsidR="00F52257" w:rsidRPr="00F52257" w14:paraId="7FF68CA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68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2.3 Mobiliario y Equipo de Administración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A62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E2DB81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8BA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2.4 Mobiliario y Equipo Educacional y recreativo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D4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D1CDA06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FD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2.5 Equipo e Instrumental Médico y de Laboratorio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657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5557B13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B9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2.6 Vehículos y Equipo de Transporte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69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31735A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C4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2.7 Equipo de Defensa y Seguridad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E0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C315F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D7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2.8 Maquinaria, Otros Equipos y Herramientas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B6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4FA19E8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08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2.9 Activos Biológicos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3D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476CB0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67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2.10 Bienes Inmuebles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C9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5D6DFA90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C78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2.11 Activos intangibles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113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BC42AC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E1F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2.12 Obra Pública en Bienes de Dominio Público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61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74887B1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57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2.13 Obra Pública en Bienes Propios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32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A7C141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9D7" w14:textId="2EEF896B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2.14 Acciones y Participaciones de Capital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AD9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7CF9CE6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DE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2.15 Compra de Títulos y Valores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24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03BDF19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92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2.16 Concesión de Préstamos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9BF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C4638C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746F" w14:textId="225E7C44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2.17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Inversiones en fideicomisos, M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and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tos y Otros Análogos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29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3F6C2A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C5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2.18 Provisiones para Contingencias y otros erogaciones Especiales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2F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095BBC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DAC9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2.19 Amortización de la Deuda Pública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17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140A74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B46" w14:textId="02D0EE7B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2.20 Adeudos de Ejercidos Fiscales Anteriores (ADEFAS)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C88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AB6764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73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2.21 Otros Egresos Presupuestarios No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8E5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37CDD53" w14:textId="77777777" w:rsidTr="00F52257">
        <w:trPr>
          <w:trHeight w:val="142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3FB6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DA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474B92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B7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3. Más Gastos Contables No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62E" w14:textId="77C3D2B1" w:rsidR="00F52257" w:rsidRPr="00F52257" w:rsidRDefault="00560A0E" w:rsidP="003E10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$</w:t>
            </w:r>
            <w:r w:rsidR="003E10BD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212,888.00</w:t>
            </w:r>
          </w:p>
        </w:tc>
      </w:tr>
      <w:tr w:rsidR="00F52257" w:rsidRPr="00F52257" w14:paraId="75645EC7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2219" w14:textId="2492571C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D4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50AF73B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9C5" w14:textId="211A6FCC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3.2 Provis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iones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F9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DFB7FC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18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3.3 Disminución de Inventarios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4A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6BE36AD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F4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3.4 Otros Gastos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CAB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7EE00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A6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3.5 Inversión Pública no Capitalizable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75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9877DB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C74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3.6 Materiales y Suministros (consumos)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0E8" w14:textId="0EBDC712" w:rsidR="00F52257" w:rsidRPr="00F52257" w:rsidRDefault="003E10BD" w:rsidP="00D52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212,888.00</w:t>
            </w:r>
          </w:p>
        </w:tc>
      </w:tr>
      <w:tr w:rsidR="00F52257" w:rsidRPr="00F52257" w14:paraId="696E841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20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3.7 Otros Gastos Contables No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EFA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BBEC824" w14:textId="77777777" w:rsidTr="00F52257">
        <w:trPr>
          <w:trHeight w:val="21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F7F8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8A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0EBFE8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10CCC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4. Total de Gastos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8C642D" w14:textId="5B4318DE" w:rsidR="00F52257" w:rsidRPr="00F52257" w:rsidRDefault="005F5309" w:rsidP="003E10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3E10B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5,307.486.00</w:t>
            </w:r>
          </w:p>
        </w:tc>
      </w:tr>
    </w:tbl>
    <w:p w14:paraId="3BD54D17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0FB514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4692C04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8383206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A4D1A3F" w14:textId="3EF76E22" w:rsidR="00DD6193" w:rsidRPr="000F6B3C" w:rsidRDefault="00DD6193" w:rsidP="00DD6193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</w:rPr>
        <w:t>c</w:t>
      </w:r>
      <w:r w:rsidRPr="000F6B3C">
        <w:rPr>
          <w:b/>
          <w:szCs w:val="18"/>
        </w:rPr>
        <w:t>)</w:t>
      </w:r>
      <w:r w:rsidRPr="000F6B3C">
        <w:rPr>
          <w:szCs w:val="18"/>
        </w:rPr>
        <w:t xml:space="preserve"> </w:t>
      </w:r>
      <w:r w:rsidRPr="000F6B3C">
        <w:rPr>
          <w:b/>
          <w:szCs w:val="18"/>
          <w:lang w:val="es-MX"/>
        </w:rPr>
        <w:t>NOTAS DE MEMORIA (CUENTAS DE ORDEN)</w:t>
      </w:r>
    </w:p>
    <w:p w14:paraId="2AF4C68B" w14:textId="77777777" w:rsidR="00DD6193" w:rsidRPr="000F6B3C" w:rsidRDefault="00DD6193" w:rsidP="00DD6193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0B718C4E" w14:textId="77777777" w:rsidR="00DD6193" w:rsidRDefault="00DD6193" w:rsidP="00DD6193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 xml:space="preserve">No se registraron movimientos en las cuentas de orden Contables ya que son cuentas que no maneja el IDC: </w:t>
      </w:r>
    </w:p>
    <w:p w14:paraId="1E203C98" w14:textId="77777777" w:rsidR="00DD6193" w:rsidRPr="00856D32" w:rsidRDefault="00DD6193" w:rsidP="00DD6193">
      <w:pPr>
        <w:pStyle w:val="Texto"/>
        <w:spacing w:after="0" w:line="240" w:lineRule="exact"/>
        <w:rPr>
          <w:szCs w:val="18"/>
        </w:rPr>
      </w:pPr>
    </w:p>
    <w:p w14:paraId="55C145CB" w14:textId="77777777" w:rsidR="00DD6193" w:rsidRPr="000F6B3C" w:rsidRDefault="00DD6193" w:rsidP="00DD6193">
      <w:pPr>
        <w:pStyle w:val="Texto"/>
        <w:spacing w:after="0" w:line="240" w:lineRule="exact"/>
        <w:rPr>
          <w:b/>
          <w:szCs w:val="18"/>
        </w:rPr>
      </w:pPr>
      <w:r w:rsidRPr="000F6B3C">
        <w:rPr>
          <w:b/>
          <w:szCs w:val="18"/>
        </w:rPr>
        <w:t>Cuentas de Orden Contables:</w:t>
      </w:r>
    </w:p>
    <w:p w14:paraId="729F6DE3" w14:textId="77777777" w:rsidR="00DD6193" w:rsidRPr="000F6B3C" w:rsidRDefault="00DD6193" w:rsidP="00DD6193">
      <w:pPr>
        <w:pStyle w:val="Texto"/>
        <w:spacing w:after="0" w:line="240" w:lineRule="exact"/>
        <w:rPr>
          <w:b/>
          <w:szCs w:val="18"/>
        </w:rPr>
      </w:pPr>
    </w:p>
    <w:p w14:paraId="7750EAB7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Valores</w:t>
      </w:r>
    </w:p>
    <w:p w14:paraId="76496B75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Emisión de obligaciones</w:t>
      </w:r>
    </w:p>
    <w:p w14:paraId="79AC66CE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Avales y garantías</w:t>
      </w:r>
    </w:p>
    <w:p w14:paraId="65F0DE0D" w14:textId="77777777" w:rsidR="00DD6193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Juicios</w:t>
      </w:r>
    </w:p>
    <w:p w14:paraId="6FF09256" w14:textId="77777777" w:rsidR="00DD6193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</w:r>
      <w:r>
        <w:rPr>
          <w:szCs w:val="18"/>
        </w:rPr>
        <w:t>Inversión mediante proyectos para prestación de Servicios (PPS) y Similares</w:t>
      </w:r>
    </w:p>
    <w:p w14:paraId="24753177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Bienes concesionados o en comodato</w:t>
      </w:r>
    </w:p>
    <w:p w14:paraId="6B748F39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36743C4D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43A22ED" w14:textId="617C78DC" w:rsidR="00DD6193" w:rsidRDefault="00DD6193" w:rsidP="00E90C87">
      <w:pPr>
        <w:pStyle w:val="Texto"/>
        <w:spacing w:after="0" w:line="240" w:lineRule="exact"/>
        <w:ind w:left="648" w:firstLine="0"/>
        <w:rPr>
          <w:b/>
          <w:szCs w:val="18"/>
        </w:rPr>
      </w:pPr>
      <w:r w:rsidRPr="00DD6193">
        <w:rPr>
          <w:b/>
          <w:szCs w:val="18"/>
        </w:rPr>
        <w:t>Cuentas de Orden Presupuestario.</w:t>
      </w:r>
    </w:p>
    <w:p w14:paraId="7F358495" w14:textId="47A743C4" w:rsidR="00DD6193" w:rsidRP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b/>
          <w:szCs w:val="18"/>
        </w:rPr>
        <w:tab/>
      </w:r>
      <w:r>
        <w:rPr>
          <w:b/>
          <w:szCs w:val="18"/>
        </w:rPr>
        <w:tab/>
      </w:r>
      <w:r w:rsidRPr="00DD6193">
        <w:rPr>
          <w:szCs w:val="18"/>
        </w:rPr>
        <w:t xml:space="preserve">Cuentas de Ingresos </w:t>
      </w:r>
    </w:p>
    <w:p w14:paraId="76DF89BF" w14:textId="79201299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 w:rsidRPr="00DD6193">
        <w:rPr>
          <w:szCs w:val="18"/>
        </w:rPr>
        <w:tab/>
      </w:r>
      <w:r w:rsidRPr="00DD6193">
        <w:rPr>
          <w:szCs w:val="18"/>
        </w:rPr>
        <w:tab/>
        <w:t>Cuentas de egresos</w:t>
      </w:r>
    </w:p>
    <w:p w14:paraId="5E765D55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7DE7797D" w14:textId="5889F766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>En las cuentas de orden presupuestarias, se informa el avance que se registró, previo al cierre presupuestario del periodo comprendido del 01 de enero al 3</w:t>
      </w:r>
      <w:r w:rsidR="00560A0E">
        <w:rPr>
          <w:szCs w:val="18"/>
        </w:rPr>
        <w:t>0</w:t>
      </w:r>
      <w:r>
        <w:rPr>
          <w:szCs w:val="18"/>
        </w:rPr>
        <w:t xml:space="preserve"> de </w:t>
      </w:r>
      <w:r w:rsidR="003E10BD">
        <w:rPr>
          <w:szCs w:val="18"/>
        </w:rPr>
        <w:t xml:space="preserve">septiembre </w:t>
      </w:r>
      <w:r w:rsidR="00560A0E">
        <w:rPr>
          <w:szCs w:val="18"/>
        </w:rPr>
        <w:t>d</w:t>
      </w:r>
      <w:r>
        <w:rPr>
          <w:szCs w:val="18"/>
        </w:rPr>
        <w:t>e 202</w:t>
      </w:r>
      <w:r w:rsidR="005D096A">
        <w:rPr>
          <w:szCs w:val="18"/>
        </w:rPr>
        <w:t>5</w:t>
      </w:r>
      <w:r>
        <w:rPr>
          <w:szCs w:val="18"/>
        </w:rPr>
        <w:t>.</w:t>
      </w:r>
    </w:p>
    <w:p w14:paraId="01B35FB1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DED3A92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6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582"/>
      </w:tblGrid>
      <w:tr w:rsidR="00DD6193" w:rsidRPr="00DD6193" w14:paraId="01678578" w14:textId="77777777" w:rsidTr="00CF1FFE">
        <w:trPr>
          <w:trHeight w:val="300"/>
          <w:jc w:val="center"/>
        </w:trPr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D304AE" w14:textId="77777777" w:rsidR="00DD6193" w:rsidRPr="00DD6193" w:rsidRDefault="00DD6193" w:rsidP="00DD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Ingresos</w:t>
            </w:r>
          </w:p>
        </w:tc>
      </w:tr>
      <w:tr w:rsidR="00DD6193" w:rsidRPr="00DD6193" w14:paraId="6BE200D3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78029D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093FD1" w14:textId="28BACA0F" w:rsidR="00DD6193" w:rsidRPr="00DD6193" w:rsidRDefault="00DD6193" w:rsidP="005D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5D096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DD6193" w:rsidRPr="00DD6193" w14:paraId="033A5FB8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EEE" w14:textId="72A53515" w:rsidR="00DD6193" w:rsidRPr="00DD6193" w:rsidRDefault="00F52257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</w:t>
            </w:r>
            <w:r w:rsidR="00DD6193"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ey de Ingresos estimada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E91A" w14:textId="4BC0AF65" w:rsidR="00DD6193" w:rsidRPr="00DD6193" w:rsidRDefault="00DD6193" w:rsidP="00D82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F52257"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D82829">
              <w:rPr>
                <w:rFonts w:ascii="Calibri" w:eastAsia="Times New Roman" w:hAnsi="Calibri" w:cs="Calibri"/>
                <w:color w:val="000000"/>
                <w:lang w:eastAsia="es-MX"/>
              </w:rPr>
              <w:t>11,026,748.00</w:t>
            </w:r>
          </w:p>
        </w:tc>
      </w:tr>
      <w:tr w:rsidR="00DD6193" w:rsidRPr="00DD6193" w14:paraId="4FA633BC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BE14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por Ejecutar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3DC" w14:textId="7902B60D" w:rsidR="00DD6193" w:rsidRPr="00DD6193" w:rsidRDefault="003E10BD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3,432,623.00</w:t>
            </w:r>
          </w:p>
        </w:tc>
      </w:tr>
      <w:tr w:rsidR="00BC1B8E" w:rsidRPr="00DD6193" w14:paraId="4614424C" w14:textId="77777777" w:rsidTr="003D48B0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408" w14:textId="0E1D8295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Modificaciones a la Ley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de Ingresos estimados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D7D" w14:textId="0A8F47DE" w:rsidR="00BC1B8E" w:rsidRPr="00DD6193" w:rsidRDefault="003E10BD" w:rsidP="003E10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110,427.00</w:t>
            </w:r>
          </w:p>
        </w:tc>
      </w:tr>
      <w:tr w:rsidR="00BC1B8E" w:rsidRPr="00DD6193" w14:paraId="060D5DCE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27F1" w14:textId="77777777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Devengada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0338" w14:textId="1FE5299F" w:rsidR="00BC1B8E" w:rsidRPr="00DD6193" w:rsidRDefault="003E10BD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7,704,552.00</w:t>
            </w:r>
          </w:p>
        </w:tc>
      </w:tr>
      <w:tr w:rsidR="00BC1B8E" w:rsidRPr="00DD6193" w14:paraId="4401A4D6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4EE0" w14:textId="0AA43554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Recaudada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333" w14:textId="46E5D8C1" w:rsidR="00BC1B8E" w:rsidRPr="00DD6193" w:rsidRDefault="003E10BD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7,704,552.00</w:t>
            </w:r>
          </w:p>
        </w:tc>
      </w:tr>
    </w:tbl>
    <w:p w14:paraId="40ECDC17" w14:textId="5D507E92" w:rsidR="00DD6193" w:rsidRDefault="001220AB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</w:t>
      </w:r>
    </w:p>
    <w:p w14:paraId="0FE3292E" w14:textId="00FFDA95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8AF7865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7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6"/>
        <w:gridCol w:w="1582"/>
      </w:tblGrid>
      <w:tr w:rsidR="00DD6193" w:rsidRPr="00DD6193" w14:paraId="5BFC2EE4" w14:textId="77777777" w:rsidTr="00E21F88">
        <w:trPr>
          <w:trHeight w:val="300"/>
          <w:jc w:val="center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4A7F24" w14:textId="77777777" w:rsidR="00DD6193" w:rsidRPr="00DD6193" w:rsidRDefault="00DD6193" w:rsidP="00DD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DD6193" w:rsidRPr="00DD6193" w14:paraId="44BCDB7A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9FBE1D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4D54D9" w14:textId="43BBA713" w:rsidR="00DD6193" w:rsidRPr="00DD6193" w:rsidRDefault="00DD6193" w:rsidP="005D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5D096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DD6193" w:rsidRPr="00DD6193" w14:paraId="6619F57E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E93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Aprobado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CC6A" w14:textId="01510635" w:rsidR="00DD6193" w:rsidRPr="00DD6193" w:rsidRDefault="00DD6193" w:rsidP="00D82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E21F88"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D82829">
              <w:rPr>
                <w:rFonts w:ascii="Calibri" w:eastAsia="Times New Roman" w:hAnsi="Calibri" w:cs="Calibri"/>
                <w:color w:val="000000"/>
                <w:lang w:eastAsia="es-MX"/>
              </w:rPr>
              <w:t>11,026,748.00</w:t>
            </w:r>
          </w:p>
        </w:tc>
      </w:tr>
      <w:tr w:rsidR="00DD6193" w:rsidRPr="00DD6193" w14:paraId="0604DC38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DB3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por Ejercer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738" w14:textId="35E7B083" w:rsidR="00DD6193" w:rsidRPr="00DD6193" w:rsidRDefault="00795294" w:rsidP="00EA0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  <w:r w:rsidR="00EA0A8B">
              <w:rPr>
                <w:rFonts w:ascii="Calibri" w:eastAsia="Times New Roman" w:hAnsi="Calibri" w:cs="Calibri"/>
                <w:color w:val="000000"/>
                <w:lang w:eastAsia="es-MX"/>
              </w:rPr>
              <w:t>,829,</w:t>
            </w:r>
            <w:bookmarkStart w:id="7" w:name="_GoBack"/>
            <w:bookmarkEnd w:id="7"/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  <w:r w:rsidR="00EA0A8B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.00</w:t>
            </w:r>
          </w:p>
        </w:tc>
      </w:tr>
      <w:tr w:rsidR="00DD6193" w:rsidRPr="00DD6193" w14:paraId="7CE67504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00E7" w14:textId="06E42090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Modificacion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al Presupuesto de Egresos Ap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o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bado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4602" w14:textId="6040AFD2" w:rsidR="00DD6193" w:rsidRPr="00DD6193" w:rsidRDefault="00795294" w:rsidP="0060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110,427.00</w:t>
            </w:r>
          </w:p>
        </w:tc>
      </w:tr>
      <w:tr w:rsidR="00DD6193" w:rsidRPr="00DD6193" w14:paraId="3DC564F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6CC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Comprometido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BD3" w14:textId="2D941FDB" w:rsidR="00DD6193" w:rsidRPr="00DD6193" w:rsidRDefault="00795294" w:rsidP="000A3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5,307,486.00</w:t>
            </w:r>
          </w:p>
        </w:tc>
      </w:tr>
      <w:tr w:rsidR="00795294" w:rsidRPr="00DD6193" w14:paraId="0FE330C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B9E" w14:textId="77777777" w:rsidR="00795294" w:rsidRPr="00DD6193" w:rsidRDefault="00795294" w:rsidP="0079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Devengado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43D6" w14:textId="42AD8150" w:rsidR="00795294" w:rsidRPr="00DD6193" w:rsidRDefault="00795294" w:rsidP="00795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1E4F">
              <w:rPr>
                <w:rFonts w:ascii="Calibri" w:eastAsia="Times New Roman" w:hAnsi="Calibri" w:cs="Calibri"/>
                <w:color w:val="000000"/>
                <w:lang w:eastAsia="es-MX"/>
              </w:rPr>
              <w:t>5,307,486.00</w:t>
            </w:r>
          </w:p>
        </w:tc>
      </w:tr>
      <w:tr w:rsidR="00795294" w:rsidRPr="00DD6193" w14:paraId="7D7E604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E95" w14:textId="44D1606E" w:rsidR="00795294" w:rsidRPr="00DD6193" w:rsidRDefault="00795294" w:rsidP="0079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sos ejercido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62E3" w14:textId="52934C0F" w:rsidR="00795294" w:rsidRPr="00DD6193" w:rsidRDefault="00795294" w:rsidP="00795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1E4F">
              <w:rPr>
                <w:rFonts w:ascii="Calibri" w:eastAsia="Times New Roman" w:hAnsi="Calibri" w:cs="Calibri"/>
                <w:color w:val="000000"/>
                <w:lang w:eastAsia="es-MX"/>
              </w:rPr>
              <w:t>5,307,486.00</w:t>
            </w:r>
          </w:p>
        </w:tc>
      </w:tr>
      <w:tr w:rsidR="00795294" w:rsidRPr="00DD6193" w14:paraId="453ED3FB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385" w14:textId="77777777" w:rsidR="00795294" w:rsidRPr="00DD6193" w:rsidRDefault="00795294" w:rsidP="00795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Pagado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D14A" w14:textId="75043573" w:rsidR="00795294" w:rsidRPr="00DD6193" w:rsidRDefault="00795294" w:rsidP="00795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1E4F">
              <w:rPr>
                <w:rFonts w:ascii="Calibri" w:eastAsia="Times New Roman" w:hAnsi="Calibri" w:cs="Calibri"/>
                <w:color w:val="000000"/>
                <w:lang w:eastAsia="es-MX"/>
              </w:rPr>
              <w:t>5,307,486.00</w:t>
            </w:r>
          </w:p>
        </w:tc>
      </w:tr>
    </w:tbl>
    <w:p w14:paraId="1D2743A1" w14:textId="77777777" w:rsidR="00DD6193" w:rsidRP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106C5C6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BDDFC19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E1D0348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A139D7A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D8D0D4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FB457E0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49C0E01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sectPr w:rsidR="002D77A6" w:rsidSect="0070003A">
      <w:headerReference w:type="even" r:id="rId24"/>
      <w:headerReference w:type="default" r:id="rId25"/>
      <w:footerReference w:type="even" r:id="rId26"/>
      <w:footerReference w:type="default" r:id="rId27"/>
      <w:pgSz w:w="12240" w:h="15840" w:code="1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616CE" w14:textId="77777777" w:rsidR="00085C8A" w:rsidRDefault="00085C8A" w:rsidP="00EA5418">
      <w:pPr>
        <w:spacing w:after="0" w:line="240" w:lineRule="auto"/>
      </w:pPr>
      <w:r>
        <w:separator/>
      </w:r>
    </w:p>
  </w:endnote>
  <w:endnote w:type="continuationSeparator" w:id="0">
    <w:p w14:paraId="2ECDCDDE" w14:textId="77777777" w:rsidR="00085C8A" w:rsidRDefault="00085C8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D853" w14:textId="63D308E7" w:rsidR="00BE76B8" w:rsidRPr="004E3EA4" w:rsidRDefault="00BE76B8" w:rsidP="0013011C">
    <w:pPr>
      <w:pStyle w:val="Piedepgina"/>
      <w:jc w:val="center"/>
      <w:rPr>
        <w:rFonts w:ascii="Arial" w:hAnsi="Arial" w:cs="Arial"/>
        <w:sz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2442F" wp14:editId="13634ECF">
              <wp:simplePos x="0" y="0"/>
              <wp:positionH relativeFrom="column">
                <wp:posOffset>-807720</wp:posOffset>
              </wp:positionH>
              <wp:positionV relativeFrom="paragraph">
                <wp:posOffset>-21590</wp:posOffset>
              </wp:positionV>
              <wp:extent cx="7496175" cy="11430"/>
              <wp:effectExtent l="0" t="0" r="9525" b="762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6175" cy="1143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970F6F9" id="Conector recto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7066E" w:rsidRPr="00F7066E">
          <w:rPr>
            <w:rFonts w:ascii="Arial" w:hAnsi="Arial" w:cs="Arial"/>
            <w:noProof/>
            <w:sz w:val="20"/>
            <w:lang w:val="es-ES"/>
          </w:rPr>
          <w:t>14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0ADDAA3E" w14:textId="77777777" w:rsidR="00BE76B8" w:rsidRDefault="00BE76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B43F7" w14:textId="266F434C" w:rsidR="00BE76B8" w:rsidRPr="003527CD" w:rsidRDefault="00BE76B8" w:rsidP="008E3652">
    <w:pPr>
      <w:pStyle w:val="Piedepgina"/>
      <w:jc w:val="center"/>
      <w:rPr>
        <w:rFonts w:ascii="Arial" w:hAnsi="Arial" w:cs="Arial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0C8F1" wp14:editId="4559F094">
              <wp:simplePos x="0" y="0"/>
              <wp:positionH relativeFrom="column">
                <wp:posOffset>-723265</wp:posOffset>
              </wp:positionH>
              <wp:positionV relativeFrom="paragraph">
                <wp:posOffset>-27940</wp:posOffset>
              </wp:positionV>
              <wp:extent cx="7421245" cy="20955"/>
              <wp:effectExtent l="0" t="0" r="8255" b="17145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2095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99304A9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7066E" w:rsidRPr="00F7066E">
          <w:rPr>
            <w:rFonts w:ascii="Arial" w:hAnsi="Arial" w:cs="Arial"/>
            <w:noProof/>
            <w:lang w:val="es-ES"/>
          </w:rPr>
          <w:t>15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7F7C2" w14:textId="77777777" w:rsidR="00085C8A" w:rsidRDefault="00085C8A" w:rsidP="00EA5418">
      <w:pPr>
        <w:spacing w:after="0" w:line="240" w:lineRule="auto"/>
      </w:pPr>
      <w:r>
        <w:separator/>
      </w:r>
    </w:p>
  </w:footnote>
  <w:footnote w:type="continuationSeparator" w:id="0">
    <w:p w14:paraId="11E9AC93" w14:textId="77777777" w:rsidR="00085C8A" w:rsidRDefault="00085C8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7E0E3" w14:textId="5F450E51" w:rsidR="00BE76B8" w:rsidRDefault="00BE76B8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13389B" wp14:editId="454410CB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18415" b="952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8B9599C"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E9E000" wp14:editId="391CA434">
              <wp:simplePos x="0" y="0"/>
              <wp:positionH relativeFrom="column">
                <wp:posOffset>3370580</wp:posOffset>
              </wp:positionH>
              <wp:positionV relativeFrom="paragraph">
                <wp:posOffset>-364490</wp:posOffset>
              </wp:positionV>
              <wp:extent cx="1106170" cy="584835"/>
              <wp:effectExtent l="0" t="0" r="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835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14" name="Imagen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0A79B" w14:textId="21225998" w:rsidR="00BE76B8" w:rsidRDefault="00BE76B8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385ADCE5" w14:textId="77777777" w:rsidR="00BE76B8" w:rsidRPr="00DE4269" w:rsidRDefault="00BE76B8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9E000" id="Grupo 13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D4/EAAAA2wAAAA8AAABkcnMvZG93bnJldi54bWxEj0FrwkAQhe8F/8MyQm/NJlKkpq4hCIJg&#10;D60K9jhkp9nQ3dmYXTX9912h0NsM78373iyr0VlxpSF0nhUUWQ6CuPG641bB8bB5egERIrJG65kU&#10;/FCAajV5WGKp/Y0/6LqPrUghHEpUYGLsSylDY8hhyHxPnLQvPziMaR1aqQe8pXBn5SzP59Jhx4lg&#10;sKe1oeZ7f3EJcl68h7w9mY2VWu9MUdu3z1qpx+lYv4KINMZ/89/1Vqf6z3D/JQ0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BD4/EAAAA2wAAAA8AAAAAAAAAAAAAAAAA&#10;nwIAAGRycy9kb3ducmV2LnhtbFBLBQYAAAAABAAEAPcAAACQAwAAAAA=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14:paraId="71F0A79B" w14:textId="21225998" w:rsidR="006F4CBF" w:rsidRDefault="006F4CB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  <w:p w14:paraId="385ADCE5" w14:textId="77777777" w:rsidR="006F4CBF" w:rsidRPr="00DE4269" w:rsidRDefault="006F4CB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C6853C" wp14:editId="03BE09CC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FE64D" w14:textId="77777777" w:rsidR="00BE76B8" w:rsidRDefault="00BE76B8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46F307D7" w14:textId="77777777" w:rsidR="00BE76B8" w:rsidRDefault="00BE76B8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081596E5" w14:textId="43A54ECC" w:rsidR="00BE76B8" w:rsidRPr="00275FC6" w:rsidRDefault="00BE76B8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6853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" filled="f" stroked="f">
              <v:textbox>
                <w:txbxContent>
                  <w:p w14:paraId="72BFE64D" w14:textId="77777777" w:rsidR="00BE76B8" w:rsidRDefault="00BE76B8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46F307D7" w14:textId="77777777" w:rsidR="00BE76B8" w:rsidRDefault="00BE76B8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081596E5" w14:textId="43A54ECC" w:rsidR="00BE76B8" w:rsidRPr="00275FC6" w:rsidRDefault="00BE76B8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SEPTIEMBRE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03799" w14:textId="0CB0E943" w:rsidR="00BE76B8" w:rsidRPr="003527CD" w:rsidRDefault="00BE76B8" w:rsidP="009C50DA">
    <w:pPr>
      <w:pStyle w:val="Encabezado"/>
      <w:tabs>
        <w:tab w:val="left" w:pos="400"/>
        <w:tab w:val="center" w:pos="46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FDBCF5" wp14:editId="704A1D85">
              <wp:simplePos x="0" y="0"/>
              <wp:positionH relativeFrom="column">
                <wp:posOffset>-700405</wp:posOffset>
              </wp:positionH>
              <wp:positionV relativeFrom="paragraph">
                <wp:posOffset>194944</wp:posOffset>
              </wp:positionV>
              <wp:extent cx="7421245" cy="0"/>
              <wp:effectExtent l="0" t="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50D3652" id="Conector recto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" strokecolor="#622423 [1605]" strokeweight="1.5pt">
              <o:lock v:ext="edit" shapetype="f"/>
            </v:line>
          </w:pict>
        </mc:Fallback>
      </mc:AlternateContent>
    </w:r>
    <w:r w:rsidRPr="00CF470D">
      <w:rPr>
        <w:rFonts w:ascii="Arial" w:hAnsi="Arial" w:cs="Arial"/>
      </w:rPr>
      <w:t>SECTOR PARAESTAT</w:t>
    </w:r>
    <w:r>
      <w:rPr>
        <w:rFonts w:ascii="Arial" w:hAnsi="Arial" w:cs="Arial"/>
      </w:rPr>
      <w:t>A</w:t>
    </w:r>
    <w:r w:rsidRPr="00CF470D">
      <w:rPr>
        <w:rFonts w:ascii="Arial" w:hAnsi="Arial" w:cs="Arial"/>
      </w:rPr>
      <w:t>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7EC"/>
    <w:multiLevelType w:val="hybridMultilevel"/>
    <w:tmpl w:val="02F00026"/>
    <w:lvl w:ilvl="0" w:tplc="E9064546">
      <w:start w:val="1"/>
      <w:numFmt w:val="decimal"/>
      <w:lvlText w:val="%1."/>
      <w:lvlJc w:val="left"/>
      <w:pPr>
        <w:ind w:left="648" w:hanging="360"/>
      </w:pPr>
      <w:rPr>
        <w:rFonts w:hint="default"/>
        <w:b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FD0CA4"/>
    <w:multiLevelType w:val="hybridMultilevel"/>
    <w:tmpl w:val="26F02E22"/>
    <w:lvl w:ilvl="0" w:tplc="02AA7AA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6232802"/>
    <w:multiLevelType w:val="hybridMultilevel"/>
    <w:tmpl w:val="DDD246D6"/>
    <w:lvl w:ilvl="0" w:tplc="08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069A6235"/>
    <w:multiLevelType w:val="hybridMultilevel"/>
    <w:tmpl w:val="118221A0"/>
    <w:lvl w:ilvl="0" w:tplc="C3506DE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9867AE3"/>
    <w:multiLevelType w:val="hybridMultilevel"/>
    <w:tmpl w:val="4FC2295E"/>
    <w:lvl w:ilvl="0" w:tplc="4690738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49015C2"/>
    <w:multiLevelType w:val="hybridMultilevel"/>
    <w:tmpl w:val="5DCCBFAE"/>
    <w:lvl w:ilvl="0" w:tplc="135ABC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7553CE6"/>
    <w:multiLevelType w:val="hybridMultilevel"/>
    <w:tmpl w:val="BAD0360E"/>
    <w:lvl w:ilvl="0" w:tplc="CF7AF5E4">
      <w:start w:val="2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8B21972"/>
    <w:multiLevelType w:val="hybridMultilevel"/>
    <w:tmpl w:val="02E69464"/>
    <w:lvl w:ilvl="0" w:tplc="72386C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091E1F"/>
    <w:multiLevelType w:val="hybridMultilevel"/>
    <w:tmpl w:val="DAA80544"/>
    <w:lvl w:ilvl="0" w:tplc="C004DB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C06777"/>
    <w:multiLevelType w:val="hybridMultilevel"/>
    <w:tmpl w:val="5450F4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B3932"/>
    <w:multiLevelType w:val="hybridMultilevel"/>
    <w:tmpl w:val="701690F8"/>
    <w:lvl w:ilvl="0" w:tplc="1AAC83EC">
      <w:start w:val="1"/>
      <w:numFmt w:val="decimal"/>
      <w:lvlText w:val="%1."/>
      <w:lvlJc w:val="left"/>
      <w:pPr>
        <w:ind w:left="648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8CB3618"/>
    <w:multiLevelType w:val="hybridMultilevel"/>
    <w:tmpl w:val="0688D888"/>
    <w:lvl w:ilvl="0" w:tplc="08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2CED31B8"/>
    <w:multiLevelType w:val="hybridMultilevel"/>
    <w:tmpl w:val="C598E3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01D2"/>
    <w:multiLevelType w:val="hybridMultilevel"/>
    <w:tmpl w:val="D8FA6D9C"/>
    <w:lvl w:ilvl="0" w:tplc="37DC7DC8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BF3980"/>
    <w:multiLevelType w:val="hybridMultilevel"/>
    <w:tmpl w:val="E77AE7C8"/>
    <w:lvl w:ilvl="0" w:tplc="B7466826">
      <w:start w:val="1"/>
      <w:numFmt w:val="decimal"/>
      <w:lvlText w:val="%1."/>
      <w:lvlJc w:val="left"/>
      <w:pPr>
        <w:ind w:left="41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4" w:hanging="360"/>
      </w:pPr>
    </w:lvl>
    <w:lvl w:ilvl="2" w:tplc="080A001B" w:tentative="1">
      <w:start w:val="1"/>
      <w:numFmt w:val="lowerRoman"/>
      <w:lvlText w:val="%3."/>
      <w:lvlJc w:val="right"/>
      <w:pPr>
        <w:ind w:left="1794" w:hanging="180"/>
      </w:pPr>
    </w:lvl>
    <w:lvl w:ilvl="3" w:tplc="080A000F" w:tentative="1">
      <w:start w:val="1"/>
      <w:numFmt w:val="decimal"/>
      <w:lvlText w:val="%4."/>
      <w:lvlJc w:val="left"/>
      <w:pPr>
        <w:ind w:left="2514" w:hanging="360"/>
      </w:pPr>
    </w:lvl>
    <w:lvl w:ilvl="4" w:tplc="080A0019" w:tentative="1">
      <w:start w:val="1"/>
      <w:numFmt w:val="lowerLetter"/>
      <w:lvlText w:val="%5."/>
      <w:lvlJc w:val="left"/>
      <w:pPr>
        <w:ind w:left="3234" w:hanging="360"/>
      </w:pPr>
    </w:lvl>
    <w:lvl w:ilvl="5" w:tplc="080A001B" w:tentative="1">
      <w:start w:val="1"/>
      <w:numFmt w:val="lowerRoman"/>
      <w:lvlText w:val="%6."/>
      <w:lvlJc w:val="right"/>
      <w:pPr>
        <w:ind w:left="3954" w:hanging="180"/>
      </w:pPr>
    </w:lvl>
    <w:lvl w:ilvl="6" w:tplc="080A000F" w:tentative="1">
      <w:start w:val="1"/>
      <w:numFmt w:val="decimal"/>
      <w:lvlText w:val="%7."/>
      <w:lvlJc w:val="left"/>
      <w:pPr>
        <w:ind w:left="4674" w:hanging="360"/>
      </w:pPr>
    </w:lvl>
    <w:lvl w:ilvl="7" w:tplc="080A0019" w:tentative="1">
      <w:start w:val="1"/>
      <w:numFmt w:val="lowerLetter"/>
      <w:lvlText w:val="%8."/>
      <w:lvlJc w:val="left"/>
      <w:pPr>
        <w:ind w:left="5394" w:hanging="360"/>
      </w:pPr>
    </w:lvl>
    <w:lvl w:ilvl="8" w:tplc="080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7" w15:restartNumberingAfterBreak="0">
    <w:nsid w:val="4B1A67A4"/>
    <w:multiLevelType w:val="hybridMultilevel"/>
    <w:tmpl w:val="5450F4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F01E7"/>
    <w:multiLevelType w:val="hybridMultilevel"/>
    <w:tmpl w:val="8BC8DC18"/>
    <w:lvl w:ilvl="0" w:tplc="9594D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E732A4"/>
    <w:multiLevelType w:val="hybridMultilevel"/>
    <w:tmpl w:val="F40E6686"/>
    <w:lvl w:ilvl="0" w:tplc="3CEA48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9"/>
  </w:num>
  <w:num w:numId="9">
    <w:abstractNumId w:val="18"/>
  </w:num>
  <w:num w:numId="10">
    <w:abstractNumId w:val="2"/>
  </w:num>
  <w:num w:numId="11">
    <w:abstractNumId w:val="13"/>
  </w:num>
  <w:num w:numId="12">
    <w:abstractNumId w:val="16"/>
  </w:num>
  <w:num w:numId="13">
    <w:abstractNumId w:val="4"/>
  </w:num>
  <w:num w:numId="14">
    <w:abstractNumId w:val="6"/>
  </w:num>
  <w:num w:numId="15">
    <w:abstractNumId w:val="19"/>
  </w:num>
  <w:num w:numId="16">
    <w:abstractNumId w:val="7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4DDA"/>
    <w:rsid w:val="000053D1"/>
    <w:rsid w:val="00005869"/>
    <w:rsid w:val="00006217"/>
    <w:rsid w:val="0001108B"/>
    <w:rsid w:val="0001342E"/>
    <w:rsid w:val="000155BC"/>
    <w:rsid w:val="00015D26"/>
    <w:rsid w:val="00015F96"/>
    <w:rsid w:val="000164D8"/>
    <w:rsid w:val="000202A5"/>
    <w:rsid w:val="00021787"/>
    <w:rsid w:val="00026C0E"/>
    <w:rsid w:val="000271C8"/>
    <w:rsid w:val="0003018C"/>
    <w:rsid w:val="00031160"/>
    <w:rsid w:val="00031DC4"/>
    <w:rsid w:val="00032921"/>
    <w:rsid w:val="00032C36"/>
    <w:rsid w:val="00037045"/>
    <w:rsid w:val="00037A4C"/>
    <w:rsid w:val="00037E57"/>
    <w:rsid w:val="00040466"/>
    <w:rsid w:val="0004135F"/>
    <w:rsid w:val="000417DA"/>
    <w:rsid w:val="00041FB0"/>
    <w:rsid w:val="00043D1E"/>
    <w:rsid w:val="00043F64"/>
    <w:rsid w:val="000446C8"/>
    <w:rsid w:val="0004567A"/>
    <w:rsid w:val="00045A10"/>
    <w:rsid w:val="00045AA5"/>
    <w:rsid w:val="00045BDA"/>
    <w:rsid w:val="0004695D"/>
    <w:rsid w:val="000474FE"/>
    <w:rsid w:val="00054C4D"/>
    <w:rsid w:val="00056EDF"/>
    <w:rsid w:val="000574E6"/>
    <w:rsid w:val="00057C1C"/>
    <w:rsid w:val="000617A9"/>
    <w:rsid w:val="00062509"/>
    <w:rsid w:val="00063159"/>
    <w:rsid w:val="00064A2A"/>
    <w:rsid w:val="000655E4"/>
    <w:rsid w:val="0006563D"/>
    <w:rsid w:val="0006610A"/>
    <w:rsid w:val="00066325"/>
    <w:rsid w:val="0006668A"/>
    <w:rsid w:val="0006755E"/>
    <w:rsid w:val="000722CC"/>
    <w:rsid w:val="00072BA1"/>
    <w:rsid w:val="0007333B"/>
    <w:rsid w:val="0007519E"/>
    <w:rsid w:val="00076E1D"/>
    <w:rsid w:val="00076EB3"/>
    <w:rsid w:val="00077A1F"/>
    <w:rsid w:val="0008099F"/>
    <w:rsid w:val="00080D6B"/>
    <w:rsid w:val="00084D46"/>
    <w:rsid w:val="00085C8A"/>
    <w:rsid w:val="000872D9"/>
    <w:rsid w:val="00090FD9"/>
    <w:rsid w:val="0009604B"/>
    <w:rsid w:val="00097255"/>
    <w:rsid w:val="00097DCE"/>
    <w:rsid w:val="000A00F8"/>
    <w:rsid w:val="000A1DD4"/>
    <w:rsid w:val="000A3323"/>
    <w:rsid w:val="000A369A"/>
    <w:rsid w:val="000A4867"/>
    <w:rsid w:val="000A5776"/>
    <w:rsid w:val="000A58AB"/>
    <w:rsid w:val="000A7734"/>
    <w:rsid w:val="000A7AB8"/>
    <w:rsid w:val="000B0542"/>
    <w:rsid w:val="000B0742"/>
    <w:rsid w:val="000B15F5"/>
    <w:rsid w:val="000B41BF"/>
    <w:rsid w:val="000B4443"/>
    <w:rsid w:val="000B54AD"/>
    <w:rsid w:val="000B552D"/>
    <w:rsid w:val="000B62E8"/>
    <w:rsid w:val="000B6DEA"/>
    <w:rsid w:val="000B6E5A"/>
    <w:rsid w:val="000C420F"/>
    <w:rsid w:val="000C69F4"/>
    <w:rsid w:val="000C6E95"/>
    <w:rsid w:val="000C7FBB"/>
    <w:rsid w:val="000D01E9"/>
    <w:rsid w:val="000D0D25"/>
    <w:rsid w:val="000D0EE3"/>
    <w:rsid w:val="000D4D45"/>
    <w:rsid w:val="000D553D"/>
    <w:rsid w:val="000E0A96"/>
    <w:rsid w:val="000E10A7"/>
    <w:rsid w:val="000E3154"/>
    <w:rsid w:val="000E4072"/>
    <w:rsid w:val="000E5C7A"/>
    <w:rsid w:val="000E6692"/>
    <w:rsid w:val="000E68BD"/>
    <w:rsid w:val="000E78F7"/>
    <w:rsid w:val="000F0E08"/>
    <w:rsid w:val="000F1B18"/>
    <w:rsid w:val="000F3EE3"/>
    <w:rsid w:val="000F5D5C"/>
    <w:rsid w:val="000F6D4C"/>
    <w:rsid w:val="000F7AB4"/>
    <w:rsid w:val="00100FD7"/>
    <w:rsid w:val="0010182C"/>
    <w:rsid w:val="001049BA"/>
    <w:rsid w:val="00105410"/>
    <w:rsid w:val="00110A10"/>
    <w:rsid w:val="00111884"/>
    <w:rsid w:val="00112770"/>
    <w:rsid w:val="001130E9"/>
    <w:rsid w:val="001133D7"/>
    <w:rsid w:val="001156F5"/>
    <w:rsid w:val="00115CB7"/>
    <w:rsid w:val="00115E5C"/>
    <w:rsid w:val="00115FAF"/>
    <w:rsid w:val="00117011"/>
    <w:rsid w:val="00117F03"/>
    <w:rsid w:val="001203B5"/>
    <w:rsid w:val="00120A86"/>
    <w:rsid w:val="00120D11"/>
    <w:rsid w:val="00120F4C"/>
    <w:rsid w:val="001210DD"/>
    <w:rsid w:val="00121842"/>
    <w:rsid w:val="00121982"/>
    <w:rsid w:val="001220AB"/>
    <w:rsid w:val="00123461"/>
    <w:rsid w:val="001234D1"/>
    <w:rsid w:val="00125004"/>
    <w:rsid w:val="0013011C"/>
    <w:rsid w:val="00130680"/>
    <w:rsid w:val="001309CB"/>
    <w:rsid w:val="00132671"/>
    <w:rsid w:val="001330F9"/>
    <w:rsid w:val="001340E0"/>
    <w:rsid w:val="00134F21"/>
    <w:rsid w:val="0013556B"/>
    <w:rsid w:val="00136E7D"/>
    <w:rsid w:val="00142035"/>
    <w:rsid w:val="001435CE"/>
    <w:rsid w:val="00144A5D"/>
    <w:rsid w:val="0014540D"/>
    <w:rsid w:val="00150CEC"/>
    <w:rsid w:val="0015136E"/>
    <w:rsid w:val="001528B7"/>
    <w:rsid w:val="001530BF"/>
    <w:rsid w:val="001547B6"/>
    <w:rsid w:val="00155BEA"/>
    <w:rsid w:val="00160E16"/>
    <w:rsid w:val="00161865"/>
    <w:rsid w:val="0016242F"/>
    <w:rsid w:val="001635E1"/>
    <w:rsid w:val="0016405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9727D"/>
    <w:rsid w:val="001A3F6A"/>
    <w:rsid w:val="001A575F"/>
    <w:rsid w:val="001A78A4"/>
    <w:rsid w:val="001A7C45"/>
    <w:rsid w:val="001B13BF"/>
    <w:rsid w:val="001B1A0D"/>
    <w:rsid w:val="001B1AC8"/>
    <w:rsid w:val="001B1B72"/>
    <w:rsid w:val="001B1BBF"/>
    <w:rsid w:val="001B2632"/>
    <w:rsid w:val="001B267D"/>
    <w:rsid w:val="001B2D8B"/>
    <w:rsid w:val="001B44D1"/>
    <w:rsid w:val="001B4EE5"/>
    <w:rsid w:val="001B51F1"/>
    <w:rsid w:val="001B5A3A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19"/>
    <w:rsid w:val="001C6C21"/>
    <w:rsid w:val="001C6FD8"/>
    <w:rsid w:val="001D0747"/>
    <w:rsid w:val="001D1569"/>
    <w:rsid w:val="001D3572"/>
    <w:rsid w:val="001D4BC7"/>
    <w:rsid w:val="001E2A65"/>
    <w:rsid w:val="001E3104"/>
    <w:rsid w:val="001E3216"/>
    <w:rsid w:val="001E327A"/>
    <w:rsid w:val="001E46CF"/>
    <w:rsid w:val="001E7072"/>
    <w:rsid w:val="001F0C04"/>
    <w:rsid w:val="001F18C1"/>
    <w:rsid w:val="001F2E68"/>
    <w:rsid w:val="001F4B7F"/>
    <w:rsid w:val="0020109B"/>
    <w:rsid w:val="00201919"/>
    <w:rsid w:val="002023F6"/>
    <w:rsid w:val="00202C27"/>
    <w:rsid w:val="00203AC0"/>
    <w:rsid w:val="00203F37"/>
    <w:rsid w:val="00204C86"/>
    <w:rsid w:val="00204F06"/>
    <w:rsid w:val="00206E09"/>
    <w:rsid w:val="002106D1"/>
    <w:rsid w:val="00212203"/>
    <w:rsid w:val="0021250F"/>
    <w:rsid w:val="00217C35"/>
    <w:rsid w:val="002202FB"/>
    <w:rsid w:val="00221321"/>
    <w:rsid w:val="00221C53"/>
    <w:rsid w:val="00221DB1"/>
    <w:rsid w:val="0022227A"/>
    <w:rsid w:val="00223CE1"/>
    <w:rsid w:val="0022440F"/>
    <w:rsid w:val="00227B93"/>
    <w:rsid w:val="00230B71"/>
    <w:rsid w:val="0023335E"/>
    <w:rsid w:val="002361B9"/>
    <w:rsid w:val="00236748"/>
    <w:rsid w:val="00236977"/>
    <w:rsid w:val="00237A38"/>
    <w:rsid w:val="00237D1F"/>
    <w:rsid w:val="002431DD"/>
    <w:rsid w:val="00243D91"/>
    <w:rsid w:val="00245E54"/>
    <w:rsid w:val="00247AD7"/>
    <w:rsid w:val="00251F0D"/>
    <w:rsid w:val="00252271"/>
    <w:rsid w:val="00255476"/>
    <w:rsid w:val="002572E0"/>
    <w:rsid w:val="0025735F"/>
    <w:rsid w:val="00257DA2"/>
    <w:rsid w:val="00261B45"/>
    <w:rsid w:val="0026333F"/>
    <w:rsid w:val="00263B01"/>
    <w:rsid w:val="00264426"/>
    <w:rsid w:val="002665ED"/>
    <w:rsid w:val="002705C0"/>
    <w:rsid w:val="002706B7"/>
    <w:rsid w:val="00270EC8"/>
    <w:rsid w:val="002714C7"/>
    <w:rsid w:val="00272E20"/>
    <w:rsid w:val="00274353"/>
    <w:rsid w:val="002748C9"/>
    <w:rsid w:val="0027627B"/>
    <w:rsid w:val="00280CD3"/>
    <w:rsid w:val="00280CDA"/>
    <w:rsid w:val="00281A15"/>
    <w:rsid w:val="002858C7"/>
    <w:rsid w:val="00287D01"/>
    <w:rsid w:val="00287D90"/>
    <w:rsid w:val="00290A24"/>
    <w:rsid w:val="0029382D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1A09"/>
    <w:rsid w:val="002B22D9"/>
    <w:rsid w:val="002B32BF"/>
    <w:rsid w:val="002B44E6"/>
    <w:rsid w:val="002B4828"/>
    <w:rsid w:val="002B4D2D"/>
    <w:rsid w:val="002B547F"/>
    <w:rsid w:val="002B7C62"/>
    <w:rsid w:val="002C0A9F"/>
    <w:rsid w:val="002C1934"/>
    <w:rsid w:val="002C416F"/>
    <w:rsid w:val="002C479E"/>
    <w:rsid w:val="002C47D6"/>
    <w:rsid w:val="002C4A76"/>
    <w:rsid w:val="002C4E19"/>
    <w:rsid w:val="002C55F6"/>
    <w:rsid w:val="002C5ACA"/>
    <w:rsid w:val="002C6D4D"/>
    <w:rsid w:val="002D0278"/>
    <w:rsid w:val="002D11D7"/>
    <w:rsid w:val="002D22E8"/>
    <w:rsid w:val="002D2813"/>
    <w:rsid w:val="002D2BEE"/>
    <w:rsid w:val="002D77A6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06786"/>
    <w:rsid w:val="00310A44"/>
    <w:rsid w:val="00311228"/>
    <w:rsid w:val="00311255"/>
    <w:rsid w:val="00312040"/>
    <w:rsid w:val="003156F1"/>
    <w:rsid w:val="00315A19"/>
    <w:rsid w:val="003171B4"/>
    <w:rsid w:val="0032152C"/>
    <w:rsid w:val="00321B67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545A"/>
    <w:rsid w:val="00336B8F"/>
    <w:rsid w:val="0034551F"/>
    <w:rsid w:val="00346EAC"/>
    <w:rsid w:val="003478FA"/>
    <w:rsid w:val="00347BC6"/>
    <w:rsid w:val="00351921"/>
    <w:rsid w:val="003527CD"/>
    <w:rsid w:val="003530FB"/>
    <w:rsid w:val="00354047"/>
    <w:rsid w:val="0035405F"/>
    <w:rsid w:val="0035468F"/>
    <w:rsid w:val="00354D08"/>
    <w:rsid w:val="00356170"/>
    <w:rsid w:val="00357A70"/>
    <w:rsid w:val="003612CA"/>
    <w:rsid w:val="00363822"/>
    <w:rsid w:val="00365BA0"/>
    <w:rsid w:val="00370A73"/>
    <w:rsid w:val="00370FF6"/>
    <w:rsid w:val="00371E98"/>
    <w:rsid w:val="00372F40"/>
    <w:rsid w:val="00374952"/>
    <w:rsid w:val="00374E36"/>
    <w:rsid w:val="00375F89"/>
    <w:rsid w:val="003764E3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061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36FD"/>
    <w:rsid w:val="003A4303"/>
    <w:rsid w:val="003A6C39"/>
    <w:rsid w:val="003A731F"/>
    <w:rsid w:val="003A77C9"/>
    <w:rsid w:val="003A7ADE"/>
    <w:rsid w:val="003B1371"/>
    <w:rsid w:val="003B1B0C"/>
    <w:rsid w:val="003B39C5"/>
    <w:rsid w:val="003B55DA"/>
    <w:rsid w:val="003C35FE"/>
    <w:rsid w:val="003C3B3A"/>
    <w:rsid w:val="003C422B"/>
    <w:rsid w:val="003C4805"/>
    <w:rsid w:val="003C4BB4"/>
    <w:rsid w:val="003C5C30"/>
    <w:rsid w:val="003C60F1"/>
    <w:rsid w:val="003C7A1D"/>
    <w:rsid w:val="003D0221"/>
    <w:rsid w:val="003D1331"/>
    <w:rsid w:val="003D181D"/>
    <w:rsid w:val="003D2E3D"/>
    <w:rsid w:val="003D4089"/>
    <w:rsid w:val="003D48B0"/>
    <w:rsid w:val="003D56C9"/>
    <w:rsid w:val="003D5DBF"/>
    <w:rsid w:val="003D6079"/>
    <w:rsid w:val="003E10BD"/>
    <w:rsid w:val="003E33EF"/>
    <w:rsid w:val="003E3D38"/>
    <w:rsid w:val="003E63CA"/>
    <w:rsid w:val="003E6835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295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07B6"/>
    <w:rsid w:val="004213BC"/>
    <w:rsid w:val="00424251"/>
    <w:rsid w:val="00425372"/>
    <w:rsid w:val="004306DA"/>
    <w:rsid w:val="004311BE"/>
    <w:rsid w:val="00435556"/>
    <w:rsid w:val="0043570A"/>
    <w:rsid w:val="004373B9"/>
    <w:rsid w:val="00437809"/>
    <w:rsid w:val="00441E7C"/>
    <w:rsid w:val="0044253C"/>
    <w:rsid w:val="00445780"/>
    <w:rsid w:val="004466A7"/>
    <w:rsid w:val="00446985"/>
    <w:rsid w:val="00451963"/>
    <w:rsid w:val="00454129"/>
    <w:rsid w:val="00454250"/>
    <w:rsid w:val="00454AE1"/>
    <w:rsid w:val="004567F6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1325"/>
    <w:rsid w:val="00481D29"/>
    <w:rsid w:val="00482E20"/>
    <w:rsid w:val="004842C3"/>
    <w:rsid w:val="004849D3"/>
    <w:rsid w:val="00484C0D"/>
    <w:rsid w:val="00484E35"/>
    <w:rsid w:val="0048652C"/>
    <w:rsid w:val="00487AC2"/>
    <w:rsid w:val="0049279C"/>
    <w:rsid w:val="00493E27"/>
    <w:rsid w:val="004965A8"/>
    <w:rsid w:val="00496633"/>
    <w:rsid w:val="00497078"/>
    <w:rsid w:val="00497D8B"/>
    <w:rsid w:val="004A07A5"/>
    <w:rsid w:val="004A3B2D"/>
    <w:rsid w:val="004A56B0"/>
    <w:rsid w:val="004A67F1"/>
    <w:rsid w:val="004A6987"/>
    <w:rsid w:val="004A7484"/>
    <w:rsid w:val="004A7E5C"/>
    <w:rsid w:val="004B04CF"/>
    <w:rsid w:val="004B1994"/>
    <w:rsid w:val="004B1B7D"/>
    <w:rsid w:val="004B1F00"/>
    <w:rsid w:val="004B2344"/>
    <w:rsid w:val="004B263B"/>
    <w:rsid w:val="004B2E32"/>
    <w:rsid w:val="004B5686"/>
    <w:rsid w:val="004B65EC"/>
    <w:rsid w:val="004C0ECA"/>
    <w:rsid w:val="004C1616"/>
    <w:rsid w:val="004C187E"/>
    <w:rsid w:val="004C2618"/>
    <w:rsid w:val="004C4F16"/>
    <w:rsid w:val="004C5E7B"/>
    <w:rsid w:val="004D179C"/>
    <w:rsid w:val="004D30E1"/>
    <w:rsid w:val="004D3E91"/>
    <w:rsid w:val="004D41B8"/>
    <w:rsid w:val="004D5356"/>
    <w:rsid w:val="004D5BEA"/>
    <w:rsid w:val="004E2B7B"/>
    <w:rsid w:val="004E3EA4"/>
    <w:rsid w:val="004E6076"/>
    <w:rsid w:val="004E68FC"/>
    <w:rsid w:val="004F53E3"/>
    <w:rsid w:val="004F542A"/>
    <w:rsid w:val="004F5641"/>
    <w:rsid w:val="004F6EBD"/>
    <w:rsid w:val="00500887"/>
    <w:rsid w:val="0050183B"/>
    <w:rsid w:val="00502359"/>
    <w:rsid w:val="00502DDD"/>
    <w:rsid w:val="00503454"/>
    <w:rsid w:val="00503EBA"/>
    <w:rsid w:val="005111D4"/>
    <w:rsid w:val="00513054"/>
    <w:rsid w:val="005131E8"/>
    <w:rsid w:val="00513E7E"/>
    <w:rsid w:val="00514F2B"/>
    <w:rsid w:val="00516599"/>
    <w:rsid w:val="0052034A"/>
    <w:rsid w:val="00521715"/>
    <w:rsid w:val="00521728"/>
    <w:rsid w:val="00521932"/>
    <w:rsid w:val="00521938"/>
    <w:rsid w:val="00522632"/>
    <w:rsid w:val="00522815"/>
    <w:rsid w:val="00522EF3"/>
    <w:rsid w:val="00523182"/>
    <w:rsid w:val="005243D9"/>
    <w:rsid w:val="0052562F"/>
    <w:rsid w:val="0052637F"/>
    <w:rsid w:val="005265D0"/>
    <w:rsid w:val="005269BE"/>
    <w:rsid w:val="00530DED"/>
    <w:rsid w:val="00531D66"/>
    <w:rsid w:val="0053277D"/>
    <w:rsid w:val="005327CE"/>
    <w:rsid w:val="00532E37"/>
    <w:rsid w:val="0053400D"/>
    <w:rsid w:val="00534F38"/>
    <w:rsid w:val="00537139"/>
    <w:rsid w:val="00540418"/>
    <w:rsid w:val="00543F6D"/>
    <w:rsid w:val="00543F97"/>
    <w:rsid w:val="00545527"/>
    <w:rsid w:val="00545C97"/>
    <w:rsid w:val="00550363"/>
    <w:rsid w:val="00551999"/>
    <w:rsid w:val="00553CB3"/>
    <w:rsid w:val="00554D64"/>
    <w:rsid w:val="00555610"/>
    <w:rsid w:val="00556D2F"/>
    <w:rsid w:val="00556DC7"/>
    <w:rsid w:val="0056081A"/>
    <w:rsid w:val="00560A0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0265"/>
    <w:rsid w:val="00581FD4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597A"/>
    <w:rsid w:val="005A3CCB"/>
    <w:rsid w:val="005A53BA"/>
    <w:rsid w:val="005A57AD"/>
    <w:rsid w:val="005B021E"/>
    <w:rsid w:val="005B048C"/>
    <w:rsid w:val="005B0A72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96A"/>
    <w:rsid w:val="005D0D10"/>
    <w:rsid w:val="005D2686"/>
    <w:rsid w:val="005D26E2"/>
    <w:rsid w:val="005D296A"/>
    <w:rsid w:val="005D3D25"/>
    <w:rsid w:val="005D5223"/>
    <w:rsid w:val="005D568E"/>
    <w:rsid w:val="005E0241"/>
    <w:rsid w:val="005E39FD"/>
    <w:rsid w:val="005E68A5"/>
    <w:rsid w:val="005E7914"/>
    <w:rsid w:val="005F253A"/>
    <w:rsid w:val="005F3B9E"/>
    <w:rsid w:val="005F4F77"/>
    <w:rsid w:val="005F52B3"/>
    <w:rsid w:val="005F5309"/>
    <w:rsid w:val="005F5707"/>
    <w:rsid w:val="005F734D"/>
    <w:rsid w:val="005F7D1B"/>
    <w:rsid w:val="00600110"/>
    <w:rsid w:val="00600878"/>
    <w:rsid w:val="00601D73"/>
    <w:rsid w:val="00602E51"/>
    <w:rsid w:val="00603BFE"/>
    <w:rsid w:val="006049C8"/>
    <w:rsid w:val="00605027"/>
    <w:rsid w:val="00606442"/>
    <w:rsid w:val="0060657D"/>
    <w:rsid w:val="006071BA"/>
    <w:rsid w:val="00612203"/>
    <w:rsid w:val="00612216"/>
    <w:rsid w:val="006132FB"/>
    <w:rsid w:val="00620718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2EF2"/>
    <w:rsid w:val="00643BBD"/>
    <w:rsid w:val="0064409F"/>
    <w:rsid w:val="006441E4"/>
    <w:rsid w:val="006443DF"/>
    <w:rsid w:val="00650760"/>
    <w:rsid w:val="0065134C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2053"/>
    <w:rsid w:val="0066441E"/>
    <w:rsid w:val="006653EB"/>
    <w:rsid w:val="006666B4"/>
    <w:rsid w:val="00667D50"/>
    <w:rsid w:val="0067443A"/>
    <w:rsid w:val="00674781"/>
    <w:rsid w:val="00675B86"/>
    <w:rsid w:val="00677384"/>
    <w:rsid w:val="006774BF"/>
    <w:rsid w:val="006822AA"/>
    <w:rsid w:val="00693B49"/>
    <w:rsid w:val="0069422E"/>
    <w:rsid w:val="006942ED"/>
    <w:rsid w:val="006944EF"/>
    <w:rsid w:val="0069676C"/>
    <w:rsid w:val="006A04E9"/>
    <w:rsid w:val="006A289F"/>
    <w:rsid w:val="006A33FB"/>
    <w:rsid w:val="006B0367"/>
    <w:rsid w:val="006B1FE7"/>
    <w:rsid w:val="006B4727"/>
    <w:rsid w:val="006C2C92"/>
    <w:rsid w:val="006C3C59"/>
    <w:rsid w:val="006C4213"/>
    <w:rsid w:val="006C4B6D"/>
    <w:rsid w:val="006C54B8"/>
    <w:rsid w:val="006C6DF5"/>
    <w:rsid w:val="006D1933"/>
    <w:rsid w:val="006D2166"/>
    <w:rsid w:val="006D21D0"/>
    <w:rsid w:val="006D3DF1"/>
    <w:rsid w:val="006D4F40"/>
    <w:rsid w:val="006D5097"/>
    <w:rsid w:val="006D5AC5"/>
    <w:rsid w:val="006E1166"/>
    <w:rsid w:val="006E2D9E"/>
    <w:rsid w:val="006E3055"/>
    <w:rsid w:val="006E585E"/>
    <w:rsid w:val="006E5AEA"/>
    <w:rsid w:val="006E77DD"/>
    <w:rsid w:val="006E78A6"/>
    <w:rsid w:val="006E7F02"/>
    <w:rsid w:val="006F0CCF"/>
    <w:rsid w:val="006F101A"/>
    <w:rsid w:val="006F2058"/>
    <w:rsid w:val="006F23B1"/>
    <w:rsid w:val="006F4379"/>
    <w:rsid w:val="006F4C3C"/>
    <w:rsid w:val="006F4CBF"/>
    <w:rsid w:val="006F5412"/>
    <w:rsid w:val="006F5802"/>
    <w:rsid w:val="006F6AC2"/>
    <w:rsid w:val="006F74DC"/>
    <w:rsid w:val="0070003A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3475"/>
    <w:rsid w:val="007277F5"/>
    <w:rsid w:val="0073056A"/>
    <w:rsid w:val="007314A9"/>
    <w:rsid w:val="00731CA2"/>
    <w:rsid w:val="00734272"/>
    <w:rsid w:val="007348EC"/>
    <w:rsid w:val="0073581C"/>
    <w:rsid w:val="00736F40"/>
    <w:rsid w:val="007375D6"/>
    <w:rsid w:val="007420CD"/>
    <w:rsid w:val="00742C34"/>
    <w:rsid w:val="007439D3"/>
    <w:rsid w:val="0074614D"/>
    <w:rsid w:val="00757631"/>
    <w:rsid w:val="00757C3E"/>
    <w:rsid w:val="00760894"/>
    <w:rsid w:val="00764D64"/>
    <w:rsid w:val="00765216"/>
    <w:rsid w:val="00770054"/>
    <w:rsid w:val="00770CA4"/>
    <w:rsid w:val="00772307"/>
    <w:rsid w:val="007723AF"/>
    <w:rsid w:val="00773003"/>
    <w:rsid w:val="00773A43"/>
    <w:rsid w:val="00773EBC"/>
    <w:rsid w:val="00774FB0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294"/>
    <w:rsid w:val="0079582C"/>
    <w:rsid w:val="00796CB0"/>
    <w:rsid w:val="007972C6"/>
    <w:rsid w:val="007A1F12"/>
    <w:rsid w:val="007A3544"/>
    <w:rsid w:val="007A799B"/>
    <w:rsid w:val="007B2DAE"/>
    <w:rsid w:val="007B2FE4"/>
    <w:rsid w:val="007B4793"/>
    <w:rsid w:val="007B6BF7"/>
    <w:rsid w:val="007B72F6"/>
    <w:rsid w:val="007B7847"/>
    <w:rsid w:val="007C12A7"/>
    <w:rsid w:val="007C1CF4"/>
    <w:rsid w:val="007C25CB"/>
    <w:rsid w:val="007C37A3"/>
    <w:rsid w:val="007C5324"/>
    <w:rsid w:val="007C590E"/>
    <w:rsid w:val="007C7BD7"/>
    <w:rsid w:val="007C7F7A"/>
    <w:rsid w:val="007D1332"/>
    <w:rsid w:val="007D1805"/>
    <w:rsid w:val="007D2FF5"/>
    <w:rsid w:val="007D3166"/>
    <w:rsid w:val="007D4702"/>
    <w:rsid w:val="007D59DE"/>
    <w:rsid w:val="007D6E9A"/>
    <w:rsid w:val="007D78B3"/>
    <w:rsid w:val="007D7D18"/>
    <w:rsid w:val="007E5962"/>
    <w:rsid w:val="007E5C96"/>
    <w:rsid w:val="007E6739"/>
    <w:rsid w:val="007E7450"/>
    <w:rsid w:val="007E7A7E"/>
    <w:rsid w:val="007F00B0"/>
    <w:rsid w:val="007F4F8F"/>
    <w:rsid w:val="007F55A8"/>
    <w:rsid w:val="007F5A2E"/>
    <w:rsid w:val="007F66B5"/>
    <w:rsid w:val="00800925"/>
    <w:rsid w:val="00800EC0"/>
    <w:rsid w:val="00802736"/>
    <w:rsid w:val="00802B2A"/>
    <w:rsid w:val="00807FF7"/>
    <w:rsid w:val="00810D49"/>
    <w:rsid w:val="00811DAC"/>
    <w:rsid w:val="008139EE"/>
    <w:rsid w:val="008167D5"/>
    <w:rsid w:val="00817DFF"/>
    <w:rsid w:val="00820352"/>
    <w:rsid w:val="00822CD5"/>
    <w:rsid w:val="00823500"/>
    <w:rsid w:val="00824A7F"/>
    <w:rsid w:val="00826474"/>
    <w:rsid w:val="00826A46"/>
    <w:rsid w:val="008276B2"/>
    <w:rsid w:val="0083223B"/>
    <w:rsid w:val="00832955"/>
    <w:rsid w:val="00832F7A"/>
    <w:rsid w:val="0083335C"/>
    <w:rsid w:val="00833555"/>
    <w:rsid w:val="008366B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43C7"/>
    <w:rsid w:val="008555B9"/>
    <w:rsid w:val="00856CDA"/>
    <w:rsid w:val="008624D8"/>
    <w:rsid w:val="008630BA"/>
    <w:rsid w:val="0086433A"/>
    <w:rsid w:val="008643A9"/>
    <w:rsid w:val="00864C50"/>
    <w:rsid w:val="00864FE6"/>
    <w:rsid w:val="008659FD"/>
    <w:rsid w:val="00866E61"/>
    <w:rsid w:val="00866F4E"/>
    <w:rsid w:val="008674A5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875E0"/>
    <w:rsid w:val="0089054E"/>
    <w:rsid w:val="00894C50"/>
    <w:rsid w:val="00895343"/>
    <w:rsid w:val="00895EF7"/>
    <w:rsid w:val="008966AD"/>
    <w:rsid w:val="0089779F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2731"/>
    <w:rsid w:val="008C568D"/>
    <w:rsid w:val="008D0B37"/>
    <w:rsid w:val="008D2DAF"/>
    <w:rsid w:val="008D4953"/>
    <w:rsid w:val="008D64D4"/>
    <w:rsid w:val="008D7129"/>
    <w:rsid w:val="008E12FF"/>
    <w:rsid w:val="008E18B6"/>
    <w:rsid w:val="008E3652"/>
    <w:rsid w:val="008E3672"/>
    <w:rsid w:val="008E49AB"/>
    <w:rsid w:val="008E5316"/>
    <w:rsid w:val="008E73AD"/>
    <w:rsid w:val="008F056B"/>
    <w:rsid w:val="008F0CF5"/>
    <w:rsid w:val="008F1AA7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209"/>
    <w:rsid w:val="00964A60"/>
    <w:rsid w:val="009650A6"/>
    <w:rsid w:val="0096610B"/>
    <w:rsid w:val="00966C57"/>
    <w:rsid w:val="00970543"/>
    <w:rsid w:val="009707EB"/>
    <w:rsid w:val="0097113C"/>
    <w:rsid w:val="00971CDF"/>
    <w:rsid w:val="00973356"/>
    <w:rsid w:val="00973D66"/>
    <w:rsid w:val="009743B6"/>
    <w:rsid w:val="00974D23"/>
    <w:rsid w:val="00975CBF"/>
    <w:rsid w:val="009768AE"/>
    <w:rsid w:val="00980D38"/>
    <w:rsid w:val="00982476"/>
    <w:rsid w:val="00983770"/>
    <w:rsid w:val="00985709"/>
    <w:rsid w:val="00986365"/>
    <w:rsid w:val="009869E9"/>
    <w:rsid w:val="00986BC3"/>
    <w:rsid w:val="00987EEE"/>
    <w:rsid w:val="00991656"/>
    <w:rsid w:val="00993E40"/>
    <w:rsid w:val="00996671"/>
    <w:rsid w:val="009A00D4"/>
    <w:rsid w:val="009A2584"/>
    <w:rsid w:val="009A407A"/>
    <w:rsid w:val="009A45DE"/>
    <w:rsid w:val="009A6CA9"/>
    <w:rsid w:val="009A76C0"/>
    <w:rsid w:val="009B0197"/>
    <w:rsid w:val="009B0DC1"/>
    <w:rsid w:val="009B20EA"/>
    <w:rsid w:val="009B2C65"/>
    <w:rsid w:val="009B49CD"/>
    <w:rsid w:val="009B4CA9"/>
    <w:rsid w:val="009B515F"/>
    <w:rsid w:val="009B5552"/>
    <w:rsid w:val="009B64AA"/>
    <w:rsid w:val="009B68CB"/>
    <w:rsid w:val="009C26AF"/>
    <w:rsid w:val="009C2938"/>
    <w:rsid w:val="009C379E"/>
    <w:rsid w:val="009C4575"/>
    <w:rsid w:val="009C50DA"/>
    <w:rsid w:val="009C5477"/>
    <w:rsid w:val="009C5E39"/>
    <w:rsid w:val="009C6E8E"/>
    <w:rsid w:val="009C74FB"/>
    <w:rsid w:val="009D20E7"/>
    <w:rsid w:val="009D32BF"/>
    <w:rsid w:val="009D5D4C"/>
    <w:rsid w:val="009E21FA"/>
    <w:rsid w:val="009E2520"/>
    <w:rsid w:val="009E4661"/>
    <w:rsid w:val="009E4F1E"/>
    <w:rsid w:val="009E51F8"/>
    <w:rsid w:val="009E6F61"/>
    <w:rsid w:val="009F239C"/>
    <w:rsid w:val="009F23C4"/>
    <w:rsid w:val="009F270C"/>
    <w:rsid w:val="009F564C"/>
    <w:rsid w:val="009F5E29"/>
    <w:rsid w:val="00A018A3"/>
    <w:rsid w:val="00A01B1B"/>
    <w:rsid w:val="00A02E76"/>
    <w:rsid w:val="00A04451"/>
    <w:rsid w:val="00A045DD"/>
    <w:rsid w:val="00A06D66"/>
    <w:rsid w:val="00A073BF"/>
    <w:rsid w:val="00A07E0D"/>
    <w:rsid w:val="00A13D30"/>
    <w:rsid w:val="00A14DCC"/>
    <w:rsid w:val="00A15DA5"/>
    <w:rsid w:val="00A167F5"/>
    <w:rsid w:val="00A179AA"/>
    <w:rsid w:val="00A2273D"/>
    <w:rsid w:val="00A235BA"/>
    <w:rsid w:val="00A23892"/>
    <w:rsid w:val="00A23B93"/>
    <w:rsid w:val="00A25932"/>
    <w:rsid w:val="00A33146"/>
    <w:rsid w:val="00A344CA"/>
    <w:rsid w:val="00A35A05"/>
    <w:rsid w:val="00A363B6"/>
    <w:rsid w:val="00A37637"/>
    <w:rsid w:val="00A421CE"/>
    <w:rsid w:val="00A4225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30CE"/>
    <w:rsid w:val="00A65407"/>
    <w:rsid w:val="00A67522"/>
    <w:rsid w:val="00A70107"/>
    <w:rsid w:val="00A72691"/>
    <w:rsid w:val="00A74CAF"/>
    <w:rsid w:val="00A764EF"/>
    <w:rsid w:val="00A8050B"/>
    <w:rsid w:val="00A8077E"/>
    <w:rsid w:val="00A8166B"/>
    <w:rsid w:val="00A83676"/>
    <w:rsid w:val="00A852D6"/>
    <w:rsid w:val="00A85EE5"/>
    <w:rsid w:val="00A85FD5"/>
    <w:rsid w:val="00A86E03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9CF"/>
    <w:rsid w:val="00AA1AB3"/>
    <w:rsid w:val="00AA3279"/>
    <w:rsid w:val="00AA59CA"/>
    <w:rsid w:val="00AA6498"/>
    <w:rsid w:val="00AA7AE3"/>
    <w:rsid w:val="00AB2062"/>
    <w:rsid w:val="00AB31F3"/>
    <w:rsid w:val="00AB3613"/>
    <w:rsid w:val="00AB3D59"/>
    <w:rsid w:val="00AB5D6A"/>
    <w:rsid w:val="00AB6115"/>
    <w:rsid w:val="00AC2CB6"/>
    <w:rsid w:val="00AC47BE"/>
    <w:rsid w:val="00AC4CEB"/>
    <w:rsid w:val="00AC5247"/>
    <w:rsid w:val="00AD1C11"/>
    <w:rsid w:val="00AD27C1"/>
    <w:rsid w:val="00AD3E82"/>
    <w:rsid w:val="00AD46DD"/>
    <w:rsid w:val="00AD4F95"/>
    <w:rsid w:val="00AD5E8D"/>
    <w:rsid w:val="00AE0E84"/>
    <w:rsid w:val="00AE2CC1"/>
    <w:rsid w:val="00AE30F7"/>
    <w:rsid w:val="00AE32DD"/>
    <w:rsid w:val="00AE4D36"/>
    <w:rsid w:val="00AE6A0D"/>
    <w:rsid w:val="00AF0E64"/>
    <w:rsid w:val="00AF3B5A"/>
    <w:rsid w:val="00AF4311"/>
    <w:rsid w:val="00AF4558"/>
    <w:rsid w:val="00AF495A"/>
    <w:rsid w:val="00AF4C0F"/>
    <w:rsid w:val="00AF4DBC"/>
    <w:rsid w:val="00AF68D1"/>
    <w:rsid w:val="00B006FD"/>
    <w:rsid w:val="00B00B91"/>
    <w:rsid w:val="00B02C90"/>
    <w:rsid w:val="00B0402E"/>
    <w:rsid w:val="00B04DFA"/>
    <w:rsid w:val="00B052B4"/>
    <w:rsid w:val="00B06D4E"/>
    <w:rsid w:val="00B073ED"/>
    <w:rsid w:val="00B10DA4"/>
    <w:rsid w:val="00B11CB7"/>
    <w:rsid w:val="00B146E2"/>
    <w:rsid w:val="00B149B9"/>
    <w:rsid w:val="00B14AB7"/>
    <w:rsid w:val="00B15C1F"/>
    <w:rsid w:val="00B16B5B"/>
    <w:rsid w:val="00B22704"/>
    <w:rsid w:val="00B22AC4"/>
    <w:rsid w:val="00B23F18"/>
    <w:rsid w:val="00B24953"/>
    <w:rsid w:val="00B27A40"/>
    <w:rsid w:val="00B32FA6"/>
    <w:rsid w:val="00B3324B"/>
    <w:rsid w:val="00B33522"/>
    <w:rsid w:val="00B341D7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24A2"/>
    <w:rsid w:val="00B73EB9"/>
    <w:rsid w:val="00B81C74"/>
    <w:rsid w:val="00B82BF9"/>
    <w:rsid w:val="00B82E3E"/>
    <w:rsid w:val="00B83E59"/>
    <w:rsid w:val="00B8405C"/>
    <w:rsid w:val="00B849EE"/>
    <w:rsid w:val="00B84D02"/>
    <w:rsid w:val="00B850E5"/>
    <w:rsid w:val="00B86826"/>
    <w:rsid w:val="00B870E0"/>
    <w:rsid w:val="00B87589"/>
    <w:rsid w:val="00B91360"/>
    <w:rsid w:val="00B94935"/>
    <w:rsid w:val="00B95032"/>
    <w:rsid w:val="00B97444"/>
    <w:rsid w:val="00BA0268"/>
    <w:rsid w:val="00BA1AD8"/>
    <w:rsid w:val="00BA1ADB"/>
    <w:rsid w:val="00BA26B4"/>
    <w:rsid w:val="00BA2940"/>
    <w:rsid w:val="00BA318A"/>
    <w:rsid w:val="00BA3481"/>
    <w:rsid w:val="00BA3B1A"/>
    <w:rsid w:val="00BA3B1D"/>
    <w:rsid w:val="00BA58E7"/>
    <w:rsid w:val="00BA7B26"/>
    <w:rsid w:val="00BB327F"/>
    <w:rsid w:val="00BB3832"/>
    <w:rsid w:val="00BB7DA9"/>
    <w:rsid w:val="00BC1B8E"/>
    <w:rsid w:val="00BC26F8"/>
    <w:rsid w:val="00BC4AD5"/>
    <w:rsid w:val="00BC5A17"/>
    <w:rsid w:val="00BC6745"/>
    <w:rsid w:val="00BD1AAF"/>
    <w:rsid w:val="00BD248B"/>
    <w:rsid w:val="00BD2A8B"/>
    <w:rsid w:val="00BD3E4E"/>
    <w:rsid w:val="00BD5837"/>
    <w:rsid w:val="00BD5A07"/>
    <w:rsid w:val="00BD7646"/>
    <w:rsid w:val="00BD7BBB"/>
    <w:rsid w:val="00BE0824"/>
    <w:rsid w:val="00BE43B1"/>
    <w:rsid w:val="00BE47DE"/>
    <w:rsid w:val="00BE5B13"/>
    <w:rsid w:val="00BE5D56"/>
    <w:rsid w:val="00BE76B8"/>
    <w:rsid w:val="00BE7A98"/>
    <w:rsid w:val="00BF11E1"/>
    <w:rsid w:val="00C00590"/>
    <w:rsid w:val="00C013A1"/>
    <w:rsid w:val="00C01580"/>
    <w:rsid w:val="00C03FE9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4E54"/>
    <w:rsid w:val="00C255BB"/>
    <w:rsid w:val="00C26CE0"/>
    <w:rsid w:val="00C27323"/>
    <w:rsid w:val="00C30B88"/>
    <w:rsid w:val="00C346B4"/>
    <w:rsid w:val="00C34C81"/>
    <w:rsid w:val="00C34DE1"/>
    <w:rsid w:val="00C379D0"/>
    <w:rsid w:val="00C37D65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56E25"/>
    <w:rsid w:val="00C60544"/>
    <w:rsid w:val="00C6076C"/>
    <w:rsid w:val="00C60DEB"/>
    <w:rsid w:val="00C61A62"/>
    <w:rsid w:val="00C629E1"/>
    <w:rsid w:val="00C63175"/>
    <w:rsid w:val="00C63604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01A0"/>
    <w:rsid w:val="00C80B78"/>
    <w:rsid w:val="00C80E09"/>
    <w:rsid w:val="00C81A32"/>
    <w:rsid w:val="00C81B7E"/>
    <w:rsid w:val="00C83A20"/>
    <w:rsid w:val="00C85078"/>
    <w:rsid w:val="00C862B1"/>
    <w:rsid w:val="00C86C59"/>
    <w:rsid w:val="00C91C5A"/>
    <w:rsid w:val="00C92668"/>
    <w:rsid w:val="00C95974"/>
    <w:rsid w:val="00C97083"/>
    <w:rsid w:val="00C97412"/>
    <w:rsid w:val="00CA070C"/>
    <w:rsid w:val="00CA137E"/>
    <w:rsid w:val="00CA2058"/>
    <w:rsid w:val="00CA21D2"/>
    <w:rsid w:val="00CA24BE"/>
    <w:rsid w:val="00CA2A37"/>
    <w:rsid w:val="00CA37AE"/>
    <w:rsid w:val="00CA5CDF"/>
    <w:rsid w:val="00CA631E"/>
    <w:rsid w:val="00CA7A99"/>
    <w:rsid w:val="00CB1A6E"/>
    <w:rsid w:val="00CB1D42"/>
    <w:rsid w:val="00CB435B"/>
    <w:rsid w:val="00CB45AD"/>
    <w:rsid w:val="00CB503F"/>
    <w:rsid w:val="00CB72A9"/>
    <w:rsid w:val="00CB7B1B"/>
    <w:rsid w:val="00CC00D0"/>
    <w:rsid w:val="00CC1890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1FFE"/>
    <w:rsid w:val="00CF2D36"/>
    <w:rsid w:val="00CF342E"/>
    <w:rsid w:val="00CF470D"/>
    <w:rsid w:val="00CF6A26"/>
    <w:rsid w:val="00CF71C4"/>
    <w:rsid w:val="00D00E92"/>
    <w:rsid w:val="00D05445"/>
    <w:rsid w:val="00D055EC"/>
    <w:rsid w:val="00D06BDA"/>
    <w:rsid w:val="00D10F96"/>
    <w:rsid w:val="00D11F33"/>
    <w:rsid w:val="00D12816"/>
    <w:rsid w:val="00D13E7D"/>
    <w:rsid w:val="00D14208"/>
    <w:rsid w:val="00D1757C"/>
    <w:rsid w:val="00D17C5D"/>
    <w:rsid w:val="00D203C6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1180"/>
    <w:rsid w:val="00D43342"/>
    <w:rsid w:val="00D4394E"/>
    <w:rsid w:val="00D44728"/>
    <w:rsid w:val="00D45237"/>
    <w:rsid w:val="00D511CD"/>
    <w:rsid w:val="00D5203F"/>
    <w:rsid w:val="00D52FF5"/>
    <w:rsid w:val="00D53AFF"/>
    <w:rsid w:val="00D5446D"/>
    <w:rsid w:val="00D55E41"/>
    <w:rsid w:val="00D56088"/>
    <w:rsid w:val="00D562FF"/>
    <w:rsid w:val="00D62468"/>
    <w:rsid w:val="00D628F8"/>
    <w:rsid w:val="00D63571"/>
    <w:rsid w:val="00D64C9F"/>
    <w:rsid w:val="00D66910"/>
    <w:rsid w:val="00D6706B"/>
    <w:rsid w:val="00D700D5"/>
    <w:rsid w:val="00D7028B"/>
    <w:rsid w:val="00D71A33"/>
    <w:rsid w:val="00D73B4D"/>
    <w:rsid w:val="00D7657E"/>
    <w:rsid w:val="00D7705A"/>
    <w:rsid w:val="00D82829"/>
    <w:rsid w:val="00D8349D"/>
    <w:rsid w:val="00D83D4B"/>
    <w:rsid w:val="00D844B8"/>
    <w:rsid w:val="00D854E6"/>
    <w:rsid w:val="00D8596D"/>
    <w:rsid w:val="00D85CC1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4DAB"/>
    <w:rsid w:val="00DB53FB"/>
    <w:rsid w:val="00DC14ED"/>
    <w:rsid w:val="00DC24FA"/>
    <w:rsid w:val="00DC4EE2"/>
    <w:rsid w:val="00DD09A9"/>
    <w:rsid w:val="00DD136E"/>
    <w:rsid w:val="00DD22DD"/>
    <w:rsid w:val="00DD2474"/>
    <w:rsid w:val="00DD2AA9"/>
    <w:rsid w:val="00DD3A74"/>
    <w:rsid w:val="00DD47AF"/>
    <w:rsid w:val="00DD4F48"/>
    <w:rsid w:val="00DD5827"/>
    <w:rsid w:val="00DD6193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E6EAF"/>
    <w:rsid w:val="00DF0216"/>
    <w:rsid w:val="00DF2160"/>
    <w:rsid w:val="00DF325D"/>
    <w:rsid w:val="00DF386E"/>
    <w:rsid w:val="00DF4341"/>
    <w:rsid w:val="00DF56C9"/>
    <w:rsid w:val="00DF6AC4"/>
    <w:rsid w:val="00E004F0"/>
    <w:rsid w:val="00E007EC"/>
    <w:rsid w:val="00E01158"/>
    <w:rsid w:val="00E031FE"/>
    <w:rsid w:val="00E03CED"/>
    <w:rsid w:val="00E04013"/>
    <w:rsid w:val="00E0449B"/>
    <w:rsid w:val="00E04E64"/>
    <w:rsid w:val="00E06027"/>
    <w:rsid w:val="00E06A0E"/>
    <w:rsid w:val="00E1077F"/>
    <w:rsid w:val="00E119AC"/>
    <w:rsid w:val="00E13927"/>
    <w:rsid w:val="00E13B06"/>
    <w:rsid w:val="00E14CFE"/>
    <w:rsid w:val="00E17516"/>
    <w:rsid w:val="00E203D5"/>
    <w:rsid w:val="00E21F88"/>
    <w:rsid w:val="00E233D8"/>
    <w:rsid w:val="00E23867"/>
    <w:rsid w:val="00E23A75"/>
    <w:rsid w:val="00E2421E"/>
    <w:rsid w:val="00E25A1C"/>
    <w:rsid w:val="00E30318"/>
    <w:rsid w:val="00E32708"/>
    <w:rsid w:val="00E32B77"/>
    <w:rsid w:val="00E33BBD"/>
    <w:rsid w:val="00E36805"/>
    <w:rsid w:val="00E37034"/>
    <w:rsid w:val="00E37782"/>
    <w:rsid w:val="00E40F44"/>
    <w:rsid w:val="00E44022"/>
    <w:rsid w:val="00E442EC"/>
    <w:rsid w:val="00E45112"/>
    <w:rsid w:val="00E4701D"/>
    <w:rsid w:val="00E505EF"/>
    <w:rsid w:val="00E514F6"/>
    <w:rsid w:val="00E545B2"/>
    <w:rsid w:val="00E55108"/>
    <w:rsid w:val="00E56275"/>
    <w:rsid w:val="00E57C06"/>
    <w:rsid w:val="00E61065"/>
    <w:rsid w:val="00E618B6"/>
    <w:rsid w:val="00E63180"/>
    <w:rsid w:val="00E651B5"/>
    <w:rsid w:val="00E65B2D"/>
    <w:rsid w:val="00E708AC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C87"/>
    <w:rsid w:val="00E90D36"/>
    <w:rsid w:val="00E913D9"/>
    <w:rsid w:val="00E91553"/>
    <w:rsid w:val="00E92735"/>
    <w:rsid w:val="00E94AAC"/>
    <w:rsid w:val="00E96135"/>
    <w:rsid w:val="00EA0A8B"/>
    <w:rsid w:val="00EA0D2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07EF"/>
    <w:rsid w:val="00EB1107"/>
    <w:rsid w:val="00EB2A4A"/>
    <w:rsid w:val="00EB3D8F"/>
    <w:rsid w:val="00EC0BE3"/>
    <w:rsid w:val="00EC1988"/>
    <w:rsid w:val="00EC1EBD"/>
    <w:rsid w:val="00EC2A87"/>
    <w:rsid w:val="00EC2DFD"/>
    <w:rsid w:val="00EC56A4"/>
    <w:rsid w:val="00EC5C3D"/>
    <w:rsid w:val="00EC61A6"/>
    <w:rsid w:val="00EC76FA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6F4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076A7"/>
    <w:rsid w:val="00F1182C"/>
    <w:rsid w:val="00F12D36"/>
    <w:rsid w:val="00F141BF"/>
    <w:rsid w:val="00F16A95"/>
    <w:rsid w:val="00F177C0"/>
    <w:rsid w:val="00F17C0D"/>
    <w:rsid w:val="00F17CFB"/>
    <w:rsid w:val="00F20F31"/>
    <w:rsid w:val="00F233E1"/>
    <w:rsid w:val="00F2612E"/>
    <w:rsid w:val="00F27AD6"/>
    <w:rsid w:val="00F30A85"/>
    <w:rsid w:val="00F32A22"/>
    <w:rsid w:val="00F32EC8"/>
    <w:rsid w:val="00F33723"/>
    <w:rsid w:val="00F34C98"/>
    <w:rsid w:val="00F364E9"/>
    <w:rsid w:val="00F378E3"/>
    <w:rsid w:val="00F409CD"/>
    <w:rsid w:val="00F40A84"/>
    <w:rsid w:val="00F424B7"/>
    <w:rsid w:val="00F44CFC"/>
    <w:rsid w:val="00F4519D"/>
    <w:rsid w:val="00F46140"/>
    <w:rsid w:val="00F46965"/>
    <w:rsid w:val="00F50FC7"/>
    <w:rsid w:val="00F5225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066E"/>
    <w:rsid w:val="00F71709"/>
    <w:rsid w:val="00F72CE6"/>
    <w:rsid w:val="00F755D0"/>
    <w:rsid w:val="00F77058"/>
    <w:rsid w:val="00F775B3"/>
    <w:rsid w:val="00F8125E"/>
    <w:rsid w:val="00F86F78"/>
    <w:rsid w:val="00F8797F"/>
    <w:rsid w:val="00F9019F"/>
    <w:rsid w:val="00F93082"/>
    <w:rsid w:val="00F94878"/>
    <w:rsid w:val="00F94F3B"/>
    <w:rsid w:val="00F95FC8"/>
    <w:rsid w:val="00F96B46"/>
    <w:rsid w:val="00FA025C"/>
    <w:rsid w:val="00FA0D0F"/>
    <w:rsid w:val="00FA4CD5"/>
    <w:rsid w:val="00FA57A1"/>
    <w:rsid w:val="00FA5A48"/>
    <w:rsid w:val="00FA6F66"/>
    <w:rsid w:val="00FA7A93"/>
    <w:rsid w:val="00FB1010"/>
    <w:rsid w:val="00FB1547"/>
    <w:rsid w:val="00FB1A7D"/>
    <w:rsid w:val="00FB1D4B"/>
    <w:rsid w:val="00FB4723"/>
    <w:rsid w:val="00FB6619"/>
    <w:rsid w:val="00FB6E0E"/>
    <w:rsid w:val="00FC07F4"/>
    <w:rsid w:val="00FC23D9"/>
    <w:rsid w:val="00FC2997"/>
    <w:rsid w:val="00FC3802"/>
    <w:rsid w:val="00FC4B1B"/>
    <w:rsid w:val="00FC5E9D"/>
    <w:rsid w:val="00FD16BF"/>
    <w:rsid w:val="00FD5622"/>
    <w:rsid w:val="00FD5A63"/>
    <w:rsid w:val="00FE0968"/>
    <w:rsid w:val="00FE1848"/>
    <w:rsid w:val="00FE3A52"/>
    <w:rsid w:val="00FE4810"/>
    <w:rsid w:val="00FE6B37"/>
    <w:rsid w:val="00FE75AC"/>
    <w:rsid w:val="00FE7EF5"/>
    <w:rsid w:val="00FF1FEF"/>
    <w:rsid w:val="00FF227C"/>
    <w:rsid w:val="00FF28CB"/>
    <w:rsid w:val="00FF39BB"/>
    <w:rsid w:val="00FF4355"/>
    <w:rsid w:val="00FF4E18"/>
    <w:rsid w:val="00FF574E"/>
    <w:rsid w:val="00FF5ACF"/>
    <w:rsid w:val="00FF6D78"/>
    <w:rsid w:val="00FF6DF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C406E"/>
  <w15:docId w15:val="{4644EA35-2D58-4665-B866-9A611BF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0586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4B65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44A3-6F9B-405E-ADCB-968A62A0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1</Pages>
  <Words>3678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Administrivo</cp:lastModifiedBy>
  <cp:revision>86</cp:revision>
  <cp:lastPrinted>2025-10-03T21:03:00Z</cp:lastPrinted>
  <dcterms:created xsi:type="dcterms:W3CDTF">2022-04-08T04:30:00Z</dcterms:created>
  <dcterms:modified xsi:type="dcterms:W3CDTF">2025-10-03T23:16:00Z</dcterms:modified>
</cp:coreProperties>
</file>