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8D133" w14:textId="77777777" w:rsidR="00A35925" w:rsidRPr="0073056A" w:rsidRDefault="00A35925" w:rsidP="00A35925">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14:paraId="6B8E4573" w14:textId="77777777" w:rsidR="00A35925" w:rsidRDefault="00A35925" w:rsidP="00A35925">
      <w:pPr>
        <w:pStyle w:val="Texto"/>
        <w:tabs>
          <w:tab w:val="left" w:pos="284"/>
        </w:tabs>
        <w:spacing w:after="0" w:line="276" w:lineRule="auto"/>
        <w:ind w:left="284" w:firstLine="0"/>
        <w:rPr>
          <w:b/>
          <w:szCs w:val="18"/>
          <w:lang w:val="es-MX"/>
        </w:rPr>
      </w:pPr>
    </w:p>
    <w:p w14:paraId="4C0B4842" w14:textId="77777777" w:rsidR="00A35925" w:rsidRPr="0073056A" w:rsidRDefault="00A35925" w:rsidP="00A35925">
      <w:pPr>
        <w:pStyle w:val="Texto"/>
        <w:tabs>
          <w:tab w:val="left" w:pos="284"/>
        </w:tabs>
        <w:spacing w:after="0" w:line="276" w:lineRule="auto"/>
        <w:ind w:left="284" w:firstLine="0"/>
        <w:rPr>
          <w:b/>
          <w:szCs w:val="18"/>
        </w:rPr>
      </w:pPr>
      <w:r w:rsidRPr="0073056A">
        <w:rPr>
          <w:b/>
          <w:szCs w:val="18"/>
          <w:lang w:val="es-MX"/>
        </w:rPr>
        <w:t>Introducción</w:t>
      </w:r>
    </w:p>
    <w:p w14:paraId="67DFF300" w14:textId="77777777" w:rsidR="00A35925" w:rsidRPr="0073056A" w:rsidRDefault="00A35925" w:rsidP="00A35925">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14:paraId="157A3DD7" w14:textId="77777777" w:rsidR="00A35925" w:rsidRPr="0073056A" w:rsidRDefault="00A35925" w:rsidP="00A35925">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14:paraId="0DA317BB" w14:textId="77777777" w:rsidR="00A35925" w:rsidRDefault="00A35925" w:rsidP="00A35925">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14:paraId="44D2245E" w14:textId="77777777" w:rsidR="00A35925" w:rsidRDefault="00A35925" w:rsidP="00A35925">
      <w:pPr>
        <w:pStyle w:val="Texto"/>
        <w:numPr>
          <w:ilvl w:val="0"/>
          <w:numId w:val="5"/>
        </w:numPr>
        <w:tabs>
          <w:tab w:val="left" w:pos="284"/>
        </w:tabs>
        <w:spacing w:after="0" w:line="276" w:lineRule="auto"/>
        <w:rPr>
          <w:b/>
          <w:szCs w:val="18"/>
          <w:lang w:val="es-MX"/>
        </w:rPr>
      </w:pPr>
      <w:r>
        <w:rPr>
          <w:b/>
          <w:szCs w:val="18"/>
          <w:lang w:val="es-MX"/>
        </w:rPr>
        <w:t>Autorización e Historia</w:t>
      </w:r>
    </w:p>
    <w:p w14:paraId="4CCA1645"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 xml:space="preserve">El Estado de Tlaxcala es una de las </w:t>
      </w:r>
      <w:r w:rsidRPr="00E4317F">
        <w:rPr>
          <w:rFonts w:ascii="Arial" w:hAnsi="Arial" w:cs="Arial"/>
          <w:sz w:val="18"/>
          <w:szCs w:val="18"/>
        </w:rPr>
        <w:t>32 Entidades Federativas</w:t>
      </w:r>
      <w:r>
        <w:rPr>
          <w:rFonts w:ascii="Arial" w:hAnsi="Arial" w:cs="Arial"/>
          <w:sz w:val="18"/>
          <w:szCs w:val="18"/>
        </w:rPr>
        <w:t xml:space="preserve"> de </w:t>
      </w:r>
      <w:r w:rsidRPr="00E4317F">
        <w:rPr>
          <w:rFonts w:ascii="Arial" w:hAnsi="Arial" w:cs="Arial"/>
          <w:sz w:val="18"/>
          <w:szCs w:val="18"/>
        </w:rPr>
        <w:t>México</w:t>
      </w:r>
      <w:r>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14:paraId="7FC53306"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14:paraId="4B4364D7"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r w:rsidRPr="00E4317F">
        <w:rPr>
          <w:rFonts w:ascii="Arial" w:hAnsi="Arial" w:cs="Arial"/>
          <w:sz w:val="18"/>
          <w:szCs w:val="18"/>
        </w:rPr>
        <w:t>Nueva España</w:t>
      </w:r>
      <w:r>
        <w:rPr>
          <w:rFonts w:ascii="Arial" w:hAnsi="Arial" w:cs="Arial"/>
          <w:sz w:val="18"/>
          <w:szCs w:val="18"/>
        </w:rPr>
        <w:t xml:space="preserve"> </w:t>
      </w:r>
      <w:r w:rsidRPr="00E4317F">
        <w:rPr>
          <w:rFonts w:ascii="Arial" w:hAnsi="Arial" w:cs="Arial"/>
          <w:sz w:val="18"/>
          <w:szCs w:val="18"/>
        </w:rPr>
        <w:t>Antonio de Mendoza</w:t>
      </w:r>
      <w:r>
        <w:rPr>
          <w:rFonts w:ascii="Arial" w:hAnsi="Arial" w:cs="Arial"/>
          <w:sz w:val="18"/>
          <w:szCs w:val="18"/>
        </w:rPr>
        <w:t>. La ciudad de Tlaxcala fue fundada en la primavera de 1522.</w:t>
      </w:r>
    </w:p>
    <w:p w14:paraId="73806917"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En el año de 1535 Tlaxcala se convierte en la primera ciudad acreedora del escudo de armas por el rey Felipe II junto con el título de “Muy noble y muy leal ciudad de Tlaxcala”.</w:t>
      </w:r>
    </w:p>
    <w:p w14:paraId="204C8128"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El Estado de Tlaxcala es parte integrante de los Estados Unidos Mexicanos, es Libre y Soberano en lo concerniente a su régimen interior, para su organización política y administrativa se divide en 60 municipios, 8 Distritos Judiciales y 794 poblaciones.</w:t>
      </w:r>
    </w:p>
    <w:p w14:paraId="3203A14A"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 xml:space="preserve">El estado se localiza en la parte centro-oriente del país. Limita en su mayor parte con </w:t>
      </w:r>
      <w:r w:rsidRPr="00E4317F">
        <w:rPr>
          <w:rFonts w:ascii="Arial" w:hAnsi="Arial" w:cs="Arial"/>
          <w:sz w:val="18"/>
          <w:szCs w:val="18"/>
        </w:rPr>
        <w:t>Puebla</w:t>
      </w:r>
      <w:r>
        <w:rPr>
          <w:rFonts w:ascii="Arial" w:hAnsi="Arial" w:cs="Arial"/>
          <w:sz w:val="18"/>
          <w:szCs w:val="18"/>
        </w:rPr>
        <w:t xml:space="preserve"> al norte, este y sur, al oeste con el </w:t>
      </w:r>
      <w:r w:rsidRPr="00E4317F">
        <w:rPr>
          <w:rFonts w:ascii="Arial" w:hAnsi="Arial" w:cs="Arial"/>
          <w:sz w:val="18"/>
          <w:szCs w:val="18"/>
        </w:rPr>
        <w:t>Estado de México</w:t>
      </w:r>
      <w:r>
        <w:rPr>
          <w:rFonts w:ascii="Arial" w:hAnsi="Arial" w:cs="Arial"/>
          <w:sz w:val="18"/>
          <w:szCs w:val="18"/>
        </w:rPr>
        <w:t xml:space="preserve"> y al noroeste con </w:t>
      </w:r>
      <w:r w:rsidRPr="00E4317F">
        <w:rPr>
          <w:rFonts w:ascii="Arial" w:hAnsi="Arial" w:cs="Arial"/>
          <w:sz w:val="18"/>
          <w:szCs w:val="18"/>
        </w:rPr>
        <w:t>Hidalgo</w:t>
      </w:r>
      <w:r>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14:paraId="504F71D8"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El Estado de Tlaxcala, cuenta con una superficie de 3,991 kilómetros cuadrados, lo cual representa el 0,2 % del territorio nacional.</w:t>
      </w:r>
    </w:p>
    <w:p w14:paraId="12CF3CC5" w14:textId="77777777" w:rsidR="00A35925" w:rsidRDefault="00A35925" w:rsidP="00A35925">
      <w:pPr>
        <w:tabs>
          <w:tab w:val="left" w:pos="284"/>
        </w:tabs>
        <w:ind w:left="284"/>
        <w:jc w:val="both"/>
        <w:rPr>
          <w:rFonts w:ascii="Arial" w:hAnsi="Arial" w:cs="Arial"/>
          <w:sz w:val="18"/>
          <w:szCs w:val="18"/>
        </w:rPr>
      </w:pPr>
    </w:p>
    <w:p w14:paraId="335B081E" w14:textId="77777777" w:rsidR="00A35925" w:rsidRDefault="00A35925" w:rsidP="00A35925">
      <w:pPr>
        <w:pStyle w:val="Texto"/>
        <w:tabs>
          <w:tab w:val="left" w:pos="284"/>
        </w:tabs>
        <w:spacing w:after="0" w:line="276" w:lineRule="auto"/>
        <w:ind w:left="284" w:firstLine="0"/>
        <w:rPr>
          <w:b/>
          <w:szCs w:val="18"/>
          <w:lang w:val="es-MX"/>
        </w:rPr>
      </w:pPr>
      <w:r>
        <w:rPr>
          <w:b/>
          <w:szCs w:val="18"/>
          <w:lang w:val="es-MX"/>
        </w:rPr>
        <w:t xml:space="preserve">2. </w:t>
      </w:r>
      <w:r w:rsidRPr="0073056A">
        <w:rPr>
          <w:b/>
          <w:szCs w:val="18"/>
          <w:lang w:val="es-MX"/>
        </w:rPr>
        <w:t>Panorama Económico y Financiero</w:t>
      </w:r>
    </w:p>
    <w:p w14:paraId="48806993"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lastRenderedPageBreak/>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14:paraId="32E74812"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14:paraId="2D26777A"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14:paraId="3204B30A"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2025, la economía global mostró un desempeño mejor que el previsto a inicios del año, en un entorno caracterizado por la reconfiguración del comercio internacional y ajustes en la política comercial por parte de Estados Unidos (EE. UU.). Este resultado respondió, en una primera fase, al repunte del comercio durante la primera mitad del año, impulsado por la anticipación de mayores aranceles anunciados en abril. Hacia la segunda mitad del año, la actividad económica se vio respaldada por negociaciones comerciales con dicho país que derivaron en aranceles efectivos menores a los inicialmente anunciados, condiciones financieras más acomodaticias y la adopción de políticas fiscales más expansivas en las principales economías. </w:t>
      </w:r>
    </w:p>
    <w:p w14:paraId="59E764B3"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No obstante, la evolución de la actividad fue heterogénea entre países y sectores. En EE. UU., el crecimiento del Producto Interno Bruto (PIB) se habría ubicado en 2.3%, de acuerdo con el pronóstico más reciente de la Reserva Federal de Atlanta. Si bien este resultado superaría las proyecciones realizadas a inicios de 2025, sería 0.5 puntos porcentuales (</w:t>
      </w:r>
      <w:proofErr w:type="spellStart"/>
      <w:r w:rsidRPr="00D7755A">
        <w:rPr>
          <w:rFonts w:ascii="Arial" w:hAnsi="Arial" w:cs="Arial"/>
          <w:sz w:val="18"/>
          <w:szCs w:val="18"/>
        </w:rPr>
        <w:t>pp</w:t>
      </w:r>
      <w:proofErr w:type="spellEnd"/>
      <w:r w:rsidRPr="00D7755A">
        <w:rPr>
          <w:rFonts w:ascii="Arial" w:hAnsi="Arial" w:cs="Arial"/>
          <w:sz w:val="18"/>
          <w:szCs w:val="18"/>
        </w:rPr>
        <w:t xml:space="preserve">) inferior al crecimiento observado en 2024 por una moderación del consumo, reflejando una desaceleración en la creación de empleo. Aunque el cierre parcial del Gobierno Federal en el cuarto trimestre generó una debilidad transitoria de la actividad, el gasto en equipos de procesamiento de información y en propiedad intelectual continuó apoyando el crecimiento. </w:t>
      </w:r>
    </w:p>
    <w:p w14:paraId="649E0AF0"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Por su parte, las exportaciones netas tuvieron una contribución negativa al PIB en el promedio del año, principalmente por el adelanto de las importaciones en el primer trimestre. En la zona euro, el crecimiento anual se ubicó en 1.5%, 0.6 </w:t>
      </w:r>
      <w:proofErr w:type="spellStart"/>
      <w:r w:rsidRPr="00D7755A">
        <w:rPr>
          <w:rFonts w:ascii="Arial" w:hAnsi="Arial" w:cs="Arial"/>
          <w:sz w:val="18"/>
          <w:szCs w:val="18"/>
        </w:rPr>
        <w:t>pp</w:t>
      </w:r>
      <w:proofErr w:type="spellEnd"/>
      <w:r w:rsidRPr="00D7755A">
        <w:rPr>
          <w:rFonts w:ascii="Arial" w:hAnsi="Arial" w:cs="Arial"/>
          <w:sz w:val="18"/>
          <w:szCs w:val="18"/>
        </w:rPr>
        <w:t xml:space="preserve"> por encima del registrado en 2024, apoyado por una recuperación moderada de la demanda interna y un mercado laboral resiliente. En China, el impulso de las exportaciones netas y de la producción manufacturera — favorecido por la diversificación de destinos comerciales, un tipo de cambio más competitivo y acuerdos comerciales con EE. UU.— compensó la debilidad del consumo interno y la contracción del sector inmobiliario, resultando en un crecimiento anual de 5.0%, en línea con la meta oficial y similar al observado el año previo. </w:t>
      </w:r>
    </w:p>
    <w:p w14:paraId="615B41C7"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el resto de las economías emergentes, el crecimiento se mantuvo estable, sustentado en la resiliencia de la demanda externa y en fundamentos macroeconómicos sólidos. Durante 2025, el proceso de desinflación continuó avanzando hacia los objetivos de los bancos centrales, con un número creciente de economías convergiendo a sus metas de inflación. Sin embargo, persistieron rigideces en algunos precios de servicios —como restaurantes y rentas de vivienda—, así como aumentos moderados en ciertos bienes duraderos, particularmente en EE. UU. El traspaso de los aranceles a la inflación estadounidense fue más acotado de lo previsto, apoyado por acuerdos comerciales, la compresión de márgenes empresariales, la acumulación de inventarios y los rezagos en su implementación. </w:t>
      </w:r>
    </w:p>
    <w:p w14:paraId="20EDCA4C"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lastRenderedPageBreak/>
        <w:t xml:space="preserve">En las economías emergentes, la apreciación cambiaria asociada al debilitamiento del dólar contribuyó a mitigar presiones inflacionarias, aunque redujo parcialmente la competitividad externa. En los mercados de materias primas, los precios del petróleo mantuvieron una tendencia a la baja, influidos por un exceso de oferta derivado de incrementos en la producción de la Organización de Países Exportadores de Petróleo y sus miembros asociados (OPEP+), así como de EE. UU. y Brasil, pese a las tensiones geopolíticas en Medio Oriente y Europa del Este. De igual forma, los precios de diversos productos agropecuarios disminuyeron, favorecidos por mejores cosechas y condiciones climáticas más propicias, mientras que los metales industriales y preciosos registraron incrementos —particularmente el cobre y el aluminio— en un contexto de restricciones de oferta, tensiones comerciales y mayor demanda de activos de refugio. </w:t>
      </w:r>
    </w:p>
    <w:p w14:paraId="27D332DA"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este entorno, la mayoría de los bancos centrales ajustó su postura hacia una política monetaria más acomodaticia, manteniendo un enfoque cauteloso ante la persistencia inflacionaria y los riesgos económicos. La Reserva Federal (FED) reanudó su ciclo de recortes, reduciendo la tasa de referencia en tres ocasiones consecutivas a partir de septiembre, hasta ubicarla en un rango de 3.50–3.75%. El Banco Central Europeo (BCE) recortó su tasa de depósitos en cuatro ocasiones, situándola en 2.00%, mientras que el Banco Popular de China (BPC) redujo su principal tasa de referencia en 10 puntos base (pb) en mayo, para cerrar el año en 3.0%, con el objetivo de estimular la actividad económica. Por su parte, los mercados financieros mostraron un desempeño favorable, aunque con episodios breves de volatilidad asociados a anuncios de política comercial, valuaciones elevadas en el sector tecnológico y riesgos fiscales en algunas economías avanzadas. El mayor apetito por riesgo —especialmente en activos vinculados a la inteligencia artificial—, la depreciación del dólar y los recortes en tasas de política monetaria, impulsaron los mercados accionarios y contribuyeron a una reducción de las primas de riesgo en economías emergentes. </w:t>
      </w:r>
    </w:p>
    <w:p w14:paraId="388DDAE9"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Como resultado de ello, se observaron apreciaciones cambiarias y ganancias bursátiles en dichas economías. En este contexto, durante el cuarto trimestre de 2025 la economía mexicana retomó una trayectoria de crecimiento. Este desempeño estuvo sustentado principalmente en el dinamismo del sector servicios, en particular en actividades asociadas a la demanda interna, así como en una recuperación de las actividades industriales, especialmente la construcción. De acuerdo con la estimación oportuna del Instituto Nacional de Estadística y Geografía (INEGI), el crecimiento económico del año habría sido de 0.7%, con cifras ajustadas por estacionalidad. A lo largo de 2025, la economía enfrentó un entorno externo complejo derivado de los cambios en la política arancelaria de EE. UU., la cual operó a través de dos canales: una mayor cautela en las decisiones de gasto de empresas y hogares, y efectos directos sobre sectores con mayor exposición comercial, como la fabricación de equipo de transporte, productos metálicos y maquinaria. </w:t>
      </w:r>
    </w:p>
    <w:p w14:paraId="5A344119"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No obstante, la solidez de la demanda interna, así como la resiliencia de las exportaciones y un mayor aprovechamiento del T-MEC permitieron atenuar estos efectos y sostener la actividad económica. En particular, el sector servicios registró en 2025 un crecimiento de 1.4%, con cifras ajustadas por estacionalidad, con un desempeño destacado en actividades vinculadas al consumo interno, particularmente el comercio al por menor y los servicios de esparcimiento. Asimismo, los servicios profesionales mantuvieron el dinamismo observado el año previo, mientras que los servicios de apoyo a negocios continuaron mostrando resultados favorables, en el marco de su proceso de adaptación a la regulación posterior a la reforma al esquema de subcontratación. </w:t>
      </w:r>
    </w:p>
    <w:p w14:paraId="4CAEB1B3"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El mercado laboral mostró un desempeño sólido. La tasa de desempleo promedió 2.6% durante 2025, con lo que registró su valor más bajo desde que se tiene registro. Los salarios reales continuaron creciendo a ritmos superiores a sus promedios históricos, destacando el incremento de 6.8% anual en la mediana de los ingresos laborales reportados por la Encuesta Nacional de Ocupación y Empleo (ENOE). El sector externo mantuvo una evolución favorable, respaldada por el dinamismo de las exportaciones manufactureras de alto contenido tecnológico, lo que compensó las menores exportaciones automotrices. </w:t>
      </w:r>
    </w:p>
    <w:p w14:paraId="64E3FC43" w14:textId="77777777" w:rsid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2025, se registró un aumento significativo en la proporción de exportaciones a EE. UU. que ingresaron libres de arancel bajo el Tratado entre México, EE. UU. y Canadá (T-MEC), pasando de niveles inferiores a 50% a inicios del año a alrededor de 80% hacia su cierre. Este proceso, junto con una tasa arancelaria efectiva relativamente favorable frente a otros países, permitió que México se mantuviera como el principal socio comercial de EE. UU., al tiempo que mitigó los efectos de esta nueva política comercial sobre la planta productiva nacional. </w:t>
      </w:r>
    </w:p>
    <w:p w14:paraId="18D0B2EA" w14:textId="77777777" w:rsidR="00D7755A" w:rsidRPr="00D7755A" w:rsidRDefault="00D7755A" w:rsidP="00D7755A">
      <w:pPr>
        <w:tabs>
          <w:tab w:val="left" w:pos="284"/>
        </w:tabs>
        <w:ind w:left="284"/>
        <w:jc w:val="both"/>
        <w:rPr>
          <w:rFonts w:ascii="Arial" w:hAnsi="Arial" w:cs="Arial"/>
          <w:sz w:val="18"/>
          <w:szCs w:val="18"/>
        </w:rPr>
      </w:pPr>
    </w:p>
    <w:p w14:paraId="67BBDEAD" w14:textId="74AD5696"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lastRenderedPageBreak/>
        <w:t xml:space="preserve">Durante los primeros tres trimestres de 2025, la Inversión Extranjera Directa (IED) alcanzó un nuevo máximo histórico de 40 mil 906 millones de dólares, con un crecimiento anual de 14.5%, impulsado principalmente por inversiones en intermediación financiera, seguros, administración de fondos para el retiro y servicios de apoyo a negocios. En materia de precios, la inflación promedio anual se ubicó en 3.8%, dentro del objetivo del Banco de México, y su nivel más bajo desde 2020. Este resultado estuvo condicionado por una inflación subyacente de 4.1%, la cual se mantuvo sin cambios respecto a 2024, reflejo de dinámicas contrapuestas entre sus componentes de mercancías y servicios. </w:t>
      </w:r>
    </w:p>
    <w:p w14:paraId="06D68AC0"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En cambio, la inflación no subyacente se mantuvo a la baja, apoyada por la deflación en frutas y verduras y la contención de precios de los combustibles mediante la Estrategia Nacional para Estabilizar el Precio de la Gasolina. En este entorno, las expectativas inflacionarias permanecieron ancladas. El sistema financiero mexicano se mantuvo sólido y solvente, con un sector bancario bien capitalizado y niveles de morosidad bajos. El tipo de cambio cerró 2025 en 18.01 pesos por dólar, lo que representó una apreciación anual de 15.7%, en línea con otras monedas emergentes. Por su parte, el riesgo país de México, medido por el EMBI+, disminuyó 46 pb respecto al cierre de 2024, cerrando el año en 167 puntos.</w:t>
      </w:r>
    </w:p>
    <w:p w14:paraId="5C08D3DE"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En 2026 continuará el proceso de normalización gradual del déficit público, en línea con los principios de equilibrio y responsabilidad hacendaria, lo que contribuirá a preservar la solidez de las finanzas públicas y la estabilidad macroeconómica.</w:t>
      </w:r>
    </w:p>
    <w:p w14:paraId="1BD9F14B"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Durante el cuarto trimestre de 2025, la actividad económica global moderó su ritmo de crecimiento respecto al trimestre previo, tanto en algunas economías avanzadas como emergentes, en un entorno marcado por la reconfiguración del comercio internacional y cambios en política comercial por parte de EE. UU. Este entorno continuó influyendo en las decisiones de inversión y producción de las empresas, y en el consumo y ahorro de los hogares a nivel global. </w:t>
      </w:r>
    </w:p>
    <w:p w14:paraId="16A81B4F"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La agenda comercial de EE. UU. con diversas economías presentó mejoras notables. En noviembre, por ejemplo, se suspendió por un año el incremento de aranceles recíprocos con China del 10 al 20% y se eliminaron aranceles a la importación de ciertos productos agropecuarios de varios países con el fin de mitigar la presión en precios. Estos avances contribuyeron a mejorar las perspectivas comerciales y de crecimiento hacia el cierre del año, y permitieron que la incidencia de las políticas arancelarias sobre la actividad y los precios en EE. UU. se materializaran de forma más gradual de lo previsto a inicios del 2025. </w:t>
      </w:r>
    </w:p>
    <w:p w14:paraId="4A2C6F5A"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este contexto, el PIB de EE. UU. habría registrado en el último trimestre del año un crecimiento de 1.0% trimestral, de acuerdo con el pronóstico más reciente de la Reserva Federal de Atlanta al 29 de enero. El consumo privado se mantuvo resiliente, aunque con un menor impulso, debido a una moderación en el desempeño del mercado laboral. La inversión fija ligada al sector tecnológico, como equipos de procesamiento de información, continuó apoyando la actividad económica, compensando la caída de la inversión residencial. </w:t>
      </w:r>
    </w:p>
    <w:p w14:paraId="3B7A39D8"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Por su parte, las exportaciones netas aportaron en menor medida al crecimiento del PIB respecto al trimestre previo, reflejando una moderación en el dinamismo exportador y un aumento de las importaciones, especialmente en noviembre, en un contexto de ajustes arancelarios, apreciación cambiaria y desaceleración de la actividad en los principales socios comerciales. El cierre parcial del Gobierno Federal de EE. UU. entre octubre y mediados de noviembre generó una debilidad transitoria de la actividad económica, que se prevé se revierta en el primer trimestre de 2026. </w:t>
      </w:r>
    </w:p>
    <w:p w14:paraId="24833CA9"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la zona euro, el crecimiento se mantuvo moderado, respaldado por una recuperación gradual del consumo y un mercado laboral estable. En China, la actividad se aceleró ligeramente por el desempeño sólido de las exportaciones netas, alcanzando incluso niveles récord en las exportaciones, asociados a los acuerdos comerciales con EE. UU., la venta de mercancías a terceros países y un tipo de cambio favorable, que ayudó a dicha economía a compensar el menor dinamismo de su demanda interna y la caída en su sector inmobiliario. </w:t>
      </w:r>
    </w:p>
    <w:p w14:paraId="72FB7B5B"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El proceso de desinflación fue heterogéneo entre economías. En EE. UU., la inflación general se mantuvo por encima de su objetivo, llevando incluso al gobierno a suspender aranceles en ciertos productos alimenticios, mientras que en las principales economías de la zona euro, la inflación se ubicó alrededor o incluso por debajo de la meta de 2.0%. En particular, la inflación de servicios continuó mostrando persistencia en rubros como restaurantes, mientras que la inflación de bienes repuntó por alzas en precios de alimentos, gasolinas y por efectos arancelarios en otros bienes específicos, como electrodomésticos. </w:t>
      </w:r>
    </w:p>
    <w:p w14:paraId="1E3B85E2"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lastRenderedPageBreak/>
        <w:t xml:space="preserve">Estas divergencias reflejan diferencias en las dinámicas laborales, de costos y en el grado de holgura económica entre países. En los mercados de materias primas, los precios internacionales del petróleo mantuvieron una tendencia a la baja, influidos por un mercado con sobreoferta debido a los aumentos de producción de la OPEP+ y otras economías como EE. UU. y Brasil, pese a las tensiones geopolíticas observadas durante el cuarto trimestre. En contraste, los precios de metales industriales y preciosos presentaron incrementos asociados a una menor oferta, tensiones comerciales, y una mayor demanda de activos de refugio. </w:t>
      </w:r>
    </w:p>
    <w:p w14:paraId="52907F1C"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este entorno, la mayoría de los principales bancos centrales mantuvo una postura monetaria cautelosa ante la incertidumbre en la política económica global. No obstante, continuó el ciclo de recortes de tasas de referencia, donde la FED redujo el rango objetivo de la tasa de fondos federales en sus reuniones de octubre y diciembre, ubicándolo entre 3.50 y 3.75%. Mientras tanto, el BCE y el de China mantuvieron sin cambios sus tasas de referencia. </w:t>
      </w:r>
    </w:p>
    <w:p w14:paraId="3D5C73CF"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Finalmente, los mercados financieros globales mostraron un comportamiento relativamente estable, con episodios puntuales de volatilidad moderada asociados principalmente a la incertidumbre derivada de la ausencia temporal de publicaciones oficiales de indicadores económicos en EE. UU. tras el cierre parcial del gobierno, a un mayor sentimiento de cautela ante las elevadas valuaciones del sector tecnológico y de los mercados accionarios, así como a preocupaciones fiscales en algunas economías avanzadas. Como resultado, las condiciones financieras globales registraron fluctuaciones contenidas durante el trimestre. En las economías emergentes, se observaron apreciaciones cambiarias, avances en los mercados accionarios y una reducción en las primas de riesgo soberano.</w:t>
      </w:r>
    </w:p>
    <w:p w14:paraId="394D9707"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El entorno internacional continúa presentando retos relevantes. Persisten fuentes de volatilidad asociadas a conflictos geopolíticos, disrupciones en rutas estratégicas del comercio global y cambios en la política comercial de Estados Unidos (EE. UU.), en un contexto marcado por el proceso de revisión del Tratado entre México, Estados Unidos y Canadá (T-MEC). Sin embargo, México llega a esta etapa con fortalezas que le permiten enfrentar el entorno externo con mayor capacidad de respuesta. La economía mexicana cuenta con fundamentos sólidos, una deuda pública baja y sostenible, un sistema financiero resiliente, niveles históricamente altos de Inversión Extranjera Directa (IED) y una posición estratégica dentro de las cadenas de valor de América del Norte.</w:t>
      </w:r>
    </w:p>
    <w:p w14:paraId="5398BE59"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Durante el cuarto trimestre de 2025, la economía mexicana retomó una trayectoria de crecimiento tras la moderación de la actividad económica en el trimestre previo. El impulso provino principalmente de los servicios, especialmente los vinculados con la demanda interna y aquellos que se beneficiaron de una menor incidencia de disrupciones logísticas durante el periodo; tal fue el caso del comercio al por mayor, que también se benefició de la mayor actividad en la construcción. Por su parte, las actividades industriales registraron repuntes, aunque la manufactura mantuvo un desempeño moderado frente a la reconfiguración del comercio global. En el mercado laboral, durante el cuarto trimestre se observó una aceleración en la creación de empleo, mientras que los salarios reales continuaron creciendo a tasas superiores a sus promedios históricos. </w:t>
      </w:r>
    </w:p>
    <w:p w14:paraId="02BB8733"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Lo anterior, en un entorno donde la inflación se mantuvo dentro del intervalo de variabilidad del objetivo del Banco de México y las expectativas de largo plazo permanecieron ancladas. El sector externo fue impulsado por la resiliencia de las exportaciones de manufacturas de alto contenido tecnológico, que compensaron la debilidad de las exportaciones automotrices. Además, cerca del 80% de las exportaciones hacia EE. UU. continuaron exentas de arancel bajo el amparo del T-MEC. Lo anterior, en conjunto con una tasa arancelaria efectiva relativamente favorable frente a otros países, permitió que México se mantuviera como el principal socio comercial de EE. UU., al tiempo que mitigó parcialmente los efectos de esta nueva política comercial sobre la planta productiva nacional. En este contexto, con base en la estimación oportuna del INEGI, en el cuarto trimestre de 2025 el PIB habría registrado un repunte trimestral de 0.8%, con cifras ajustadas por estacionalidad. </w:t>
      </w:r>
    </w:p>
    <w:p w14:paraId="478E4D5B"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su interior, las actividades primarias habrían disminuido 2.7%, afectadas tanto por la intensidad de las lluvias en algunas regiones del país como por un elevado efecto base de comparación respecto al trimestre previo. En contraste, las actividades industriales habrían crecido 0.9%, debido a repuntes en la construcción y la minería, aunque con un desempeño moderado en la manufactura, que continuó afectada por los efectos directos en los cambios en la política comercial de EE. UU. </w:t>
      </w:r>
    </w:p>
    <w:p w14:paraId="13E37D8E"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Por su parte, los servicios habrían crecido 0.9% trimestral, impulsados por el dinamismo de los servicios vinculados con la demanda interna y por la recuperación del comercio al por mayor. De acuerdo con el Indicador Global de Actividad Económica (IGAE) correspondiente al bimestre octubre-noviembre, y con cifras ajustadas por estacionalidad, la economía presentó al interior de los grandes grupos de actividad el siguiente desempeño:</w:t>
      </w:r>
    </w:p>
    <w:p w14:paraId="5835ECF6"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lastRenderedPageBreak/>
        <w:sym w:font="Symbol" w:char="F0B7"/>
      </w:r>
      <w:r w:rsidRPr="00D7755A">
        <w:rPr>
          <w:rFonts w:ascii="Arial" w:hAnsi="Arial" w:cs="Arial"/>
          <w:sz w:val="18"/>
          <w:szCs w:val="18"/>
        </w:rPr>
        <w:t xml:space="preserve"> Las actividades primarias registraron una contracción bimestral de 4.4%, debido a las afectaciones ocasionadas por lluvias intensas durante los meses de octubre y noviembre en estados del centro y sur del país, que impactaron particularmente cultivos como maíz, cítricos, café y frijol. </w:t>
      </w:r>
    </w:p>
    <w:p w14:paraId="06899FC5" w14:textId="77777777" w:rsidR="00D7755A" w:rsidRPr="00D7755A" w:rsidRDefault="00D7755A" w:rsidP="001418E7">
      <w:pPr>
        <w:ind w:left="284"/>
        <w:jc w:val="both"/>
        <w:rPr>
          <w:rFonts w:ascii="Arial" w:hAnsi="Arial" w:cs="Arial"/>
          <w:sz w:val="18"/>
          <w:szCs w:val="18"/>
        </w:rPr>
      </w:pPr>
      <w:r w:rsidRPr="00D7755A">
        <w:rPr>
          <w:rFonts w:ascii="Arial" w:hAnsi="Arial" w:cs="Arial"/>
          <w:sz w:val="18"/>
          <w:szCs w:val="18"/>
        </w:rPr>
        <w:sym w:font="Symbol" w:char="F0B7"/>
      </w:r>
      <w:r w:rsidRPr="00D7755A">
        <w:rPr>
          <w:rFonts w:ascii="Arial" w:hAnsi="Arial" w:cs="Arial"/>
          <w:sz w:val="18"/>
          <w:szCs w:val="18"/>
        </w:rPr>
        <w:t xml:space="preserve"> La producción industrial mostró un crecimiento bimestral de 1.1%, favorecida por repuntes en la construcción y la minería, mientras que la producción de manufacturas registró un avance limitado. o Las manufacturas presentaron un crecimiento bimestral de 0.1%, con desempeños diferenciados en el interior. Por un lado, las actividades de refinación mantuvieron un buen dinamismo, con un incremento bimestral de 14.2%. Asimismo, las industrias de preparación de bebidas, textiles y calzado presentaron repuntes tras las contracciones observadas el trimestre previo. No obstante, las industrias más expuestas a los cambios en la política comercial internacional, como las metálicas básicas, maquinaria y equipo y fabricación de equipo de transporte, registraron contracciones bimestrales de 5.8, 3.4 y 0.7% respectivamente. </w:t>
      </w:r>
    </w:p>
    <w:p w14:paraId="1B1E05BD" w14:textId="77777777" w:rsidR="00D7755A" w:rsidRPr="00D7755A" w:rsidRDefault="00D7755A" w:rsidP="00D7755A">
      <w:pPr>
        <w:ind w:left="851"/>
        <w:jc w:val="both"/>
        <w:rPr>
          <w:rFonts w:ascii="Arial" w:hAnsi="Arial" w:cs="Arial"/>
          <w:sz w:val="18"/>
          <w:szCs w:val="18"/>
        </w:rPr>
      </w:pPr>
      <w:r w:rsidRPr="00D7755A">
        <w:rPr>
          <w:rFonts w:ascii="Arial" w:hAnsi="Arial" w:cs="Arial"/>
          <w:sz w:val="18"/>
          <w:szCs w:val="18"/>
        </w:rPr>
        <w:t xml:space="preserve">o La construcción registró un repunte bimestral de 3.8%, tras la contracción observada en el trimestre previo. En el interior, se observaron aumentos tanto en la edificación como en las obras de ingeniería civil. En el sector formal de la construcción destacó el avance en vivienda, así como en edificaciones comerciales, industriales y de infraestructura educativa. </w:t>
      </w:r>
    </w:p>
    <w:p w14:paraId="4330BC92" w14:textId="77777777" w:rsidR="00D7755A" w:rsidRPr="00D7755A" w:rsidRDefault="00D7755A" w:rsidP="00D7755A">
      <w:pPr>
        <w:ind w:left="851"/>
        <w:jc w:val="both"/>
        <w:rPr>
          <w:rFonts w:ascii="Arial" w:hAnsi="Arial" w:cs="Arial"/>
          <w:sz w:val="18"/>
          <w:szCs w:val="18"/>
        </w:rPr>
      </w:pPr>
      <w:r w:rsidRPr="00D7755A">
        <w:rPr>
          <w:rFonts w:ascii="Arial" w:hAnsi="Arial" w:cs="Arial"/>
          <w:sz w:val="18"/>
          <w:szCs w:val="18"/>
        </w:rPr>
        <w:t xml:space="preserve">o La minería exhibió un crecimiento bimestral de 1.1%, extendiendo el desempeño positivo del trimestre previo, con avances tanto en la extracción de petróleo y gas como en la minería no petrolera, que se ha visto favorecida por una mayor demanda de exportaciones hacia EE. UU. o El sector de electricidad, agua y gas registró un avance de 1.8% bimestral, favorecido tanto por el repunte de la actividad económica en segmentos comerciales y residenciales como por una mayor demanda asociada con el inicio de la temporada de frentes fríos. </w:t>
      </w:r>
    </w:p>
    <w:p w14:paraId="1F0D30B0"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sym w:font="Symbol" w:char="F0B7"/>
      </w:r>
      <w:r w:rsidRPr="00D7755A">
        <w:rPr>
          <w:rFonts w:ascii="Arial" w:hAnsi="Arial" w:cs="Arial"/>
          <w:sz w:val="18"/>
          <w:szCs w:val="18"/>
        </w:rPr>
        <w:t xml:space="preserve"> Los servicios registraron un crecimiento bimestral de 0.8%, con aumentos en todos sus subsectores. Destacó el repunte del comercio al por mayor, favorecido por menores disrupciones logísticas respecto al trimestre previo y una mayor actividad de la construcción. Asimismo, se observó un mayor dinamismo en los servicios vinculados a la demanda interna, particularmente en el comercio al por menor y los servicios de esparcimiento. En el comercio al por menor, la iniciativa del “Buen Fin” fomentó las ventas tanto en establecimientos físicos como en plataformas de comercio electrónico. Por su parte, los servicios profesionales mantuvieron un desempeño favorable, beneficiándose de una mayor demanda de consultoría y servicios especializados.</w:t>
      </w:r>
    </w:p>
    <w:p w14:paraId="353B708A"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octubre, el consumo privado registró un crecimiento mensual de 0.8%, con cifras ajustadas por estacionalidad. Al igual que en el tercer trimestre, el desempeño continuó impulsado por el consumo de bienes importados, especialmente duraderos, favorecido por la apreciación del tipo de cambio que ha reducido su precio relativo frente a bienes nacionales. </w:t>
      </w:r>
    </w:p>
    <w:p w14:paraId="2CF62671"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El consumo de bienes nacionales retrocedió 0.2% debido a una disminución en el gasto de los hogares en los bienes duraderos y no duraderos. Por su parte, el consumo de servicios se mantuvo resiliente, creciendo 0.4% mensual, en línea con el desempeño de los sectores de esparcimiento. Indicadores complementarios del consumo privado mostraron un desempeño heterogéneo durante el cuarto trimestre. La confianza del consumidor registró una caída respecto al trimestre anterior debido a un deterioro en la percepción de los hogares sobre la situación económica del país. </w:t>
      </w:r>
    </w:p>
    <w:p w14:paraId="406A4CDD"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Por su parte, las ventas de automóviles ligeros crecieron 3.5% trimestral, con cifras ajustadas por estacionalidad, registrando su mejor desempeño desde el tercer trimestre de 2024. La inversión fija bruta mostró un crecimiento mensual de 0.9% en octubre, con cifras ajustadas por estacionalidad. Esto fue resultado del impulso de la construcción que registró un crecimiento mensual de 3.9%, su mejor resultado desde noviembre del 2023. En el interior se registraron avances tanto en el segmento de construcción residencial como en el no residencial, destacando un crecimiento de 6.4% en el primero. </w:t>
      </w:r>
    </w:p>
    <w:p w14:paraId="49139D6A" w14:textId="77777777" w:rsidR="00D7755A" w:rsidRPr="00D7755A" w:rsidRDefault="00D7755A" w:rsidP="00D7755A">
      <w:pPr>
        <w:tabs>
          <w:tab w:val="left" w:pos="284"/>
        </w:tabs>
        <w:ind w:left="284"/>
        <w:jc w:val="both"/>
        <w:rPr>
          <w:rFonts w:ascii="Arial" w:hAnsi="Arial" w:cs="Arial"/>
          <w:sz w:val="18"/>
          <w:szCs w:val="18"/>
        </w:rPr>
      </w:pPr>
    </w:p>
    <w:p w14:paraId="108AD143"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La inversión en maquinaria y equipo disminuyó 2.2%, particularmente en el componente nacional y equipo de transporte. Otros indicadores relacionados con la inversión registraron comportamientos diferenciados. Por un lado, la confianza empresarial disminuyó 0.7 puntos en el último trimestre del año, con cifras ajustadas por estacionalidad, destacando la reducción del componente de momento adecuado para invertir en la construcción, </w:t>
      </w:r>
      <w:r w:rsidRPr="00D7755A">
        <w:rPr>
          <w:rFonts w:ascii="Arial" w:hAnsi="Arial" w:cs="Arial"/>
          <w:sz w:val="18"/>
          <w:szCs w:val="18"/>
        </w:rPr>
        <w:lastRenderedPageBreak/>
        <w:t>los servicios no financieros y la manufactura. No obstante, la información de la Encuesta Nacional de Empresas Constructoras (ENEC) y del Registro Único de Vivienda (RUV) del Instituto del Fondo Nacional de la Vivienda para los trabajadores (Infonavit) sugieren repuntes en la construcción residencial, particularmente en vivienda.</w:t>
      </w:r>
    </w:p>
    <w:p w14:paraId="3E9EF95E"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el mercado laboral prevaleció un ritmo positivo de creación de empleo, aunque con diferencias entre sectores. Entre octubre y diciembre, la población ocupada promedió 60.4 millones de personas, lo que representó un incremento de 642 mil trabajadores respecto al mismo periodo de 2024. Este crecimiento se concentró en los servicios y la construcción, que añadieron 503 mil y 143 mil personas ocupadas, respectivamente. Lo anterior compensó las reducciones observadas en la minería y en las manufacturas. Durante el cuarto trimestre de 2025, la tasa de participación laboral se ubicó en 59.3%, lo que representó una disminución de 0.5 </w:t>
      </w:r>
      <w:proofErr w:type="spellStart"/>
      <w:r w:rsidRPr="00D7755A">
        <w:rPr>
          <w:rFonts w:ascii="Arial" w:hAnsi="Arial" w:cs="Arial"/>
          <w:sz w:val="18"/>
          <w:szCs w:val="18"/>
        </w:rPr>
        <w:t>pp</w:t>
      </w:r>
      <w:proofErr w:type="spellEnd"/>
      <w:r w:rsidRPr="00D7755A">
        <w:rPr>
          <w:rFonts w:ascii="Arial" w:hAnsi="Arial" w:cs="Arial"/>
          <w:sz w:val="18"/>
          <w:szCs w:val="18"/>
        </w:rPr>
        <w:t xml:space="preserve"> respecto al mismo periodo de 2024. </w:t>
      </w:r>
    </w:p>
    <w:p w14:paraId="448BFF07"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Este descenso se explicó por un aumento de 1.4 millones de personas en la Población No Económicamente Activa (PNEA), que más que compensó el incremento de 677 mil personas en la Población Económicamente Activa (PEA). El aumento en la PNEA se concentró en población no disponible, principalmente entre personas que reportaron tener otras obligaciones, particularmente jóvenes y adultos en edad de retiro. </w:t>
      </w:r>
    </w:p>
    <w:p w14:paraId="6EDEB63C"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La población en situación de desempleo aumentó en 35 mil personas respecto al cuarto trimestre de 2024, con lo que la tasa de desempleo se ubicó en 2.6%, prácticamente en el mismo nivel que en 2024. Por su parte, la tasa de informalidad laboral aumentó 0.9 </w:t>
      </w:r>
      <w:proofErr w:type="spellStart"/>
      <w:r w:rsidRPr="00D7755A">
        <w:rPr>
          <w:rFonts w:ascii="Arial" w:hAnsi="Arial" w:cs="Arial"/>
          <w:sz w:val="18"/>
          <w:szCs w:val="18"/>
        </w:rPr>
        <w:t>pp</w:t>
      </w:r>
      <w:proofErr w:type="spellEnd"/>
      <w:r w:rsidRPr="00D7755A">
        <w:rPr>
          <w:rFonts w:ascii="Arial" w:hAnsi="Arial" w:cs="Arial"/>
          <w:sz w:val="18"/>
          <w:szCs w:val="18"/>
        </w:rPr>
        <w:t xml:space="preserve"> y se ubicó en 55.0% de la población ocupada. En contraste, la tasa de subocupación se redujo en 1.4 </w:t>
      </w:r>
      <w:proofErr w:type="spellStart"/>
      <w:r w:rsidRPr="00D7755A">
        <w:rPr>
          <w:rFonts w:ascii="Arial" w:hAnsi="Arial" w:cs="Arial"/>
          <w:sz w:val="18"/>
          <w:szCs w:val="18"/>
        </w:rPr>
        <w:t>pp</w:t>
      </w:r>
      <w:proofErr w:type="spellEnd"/>
      <w:r w:rsidRPr="00D7755A">
        <w:rPr>
          <w:rFonts w:ascii="Arial" w:hAnsi="Arial" w:cs="Arial"/>
          <w:sz w:val="18"/>
          <w:szCs w:val="18"/>
        </w:rPr>
        <w:t xml:space="preserve">, equivalente a una disminución de 789 mil personas. Los puestos de trabajo registrados en el Instituto Mexicano del Seguro Social (IMSS) registraron un crecimiento trimestral de 158 mil nuevas plazas, con cifras ajustadas por estacionalidad. </w:t>
      </w:r>
    </w:p>
    <w:p w14:paraId="771053BB"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Por sectores económicos, las mayores contribuciones a la creación de empleo se observaron en transporte, servicios para empresas y hogares y comercio, lo que compensó las contracciones registradas en manufacturas y en el sector agropecuario. Con estos resultados, durante 2025 se acumuló una creación neta de 279 mil puestos de trabajo respecto al cierre de 2024, de los cuales 207 mil se asocian a la prueba piloto del IMSS para trabajadores de plataformas digitales, iniciada en julio de 2025. Los salarios reales de los trabajadores mantuvieron una tendencia positiva. </w:t>
      </w:r>
    </w:p>
    <w:p w14:paraId="02B3CEF8"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El salario real mediano registrado ante el IMSS aumentó 2.6% anual durante el cuarto trimestre, mientras que el ingreso mediano reportado en la ENOE aumentó 5.8% real con respecto al año anterior. Por su parte, los salarios contractuales de jurisdicción federal aumentaron 2.5% anual entre octubre y diciembre, lo que benefició a 221 mil trabajadores. Finalmente, en el último trimestre de 2025, la masa salarial real de la población ocupada creció 7.8% anual, mientras que la registrada ante el IMSS aumentó 4.2%, ambas impulsadas tanto por el crecimiento del ingreso laboral real como por el aumento en el empleo.</w:t>
      </w:r>
    </w:p>
    <w:p w14:paraId="752B045F"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materia de precios, durante el cuarto trimestre de 2025 la inflación promedio al consumidor se ubicó en 3.7% anual, lo que representó un incremento de 0.1 </w:t>
      </w:r>
      <w:proofErr w:type="spellStart"/>
      <w:r w:rsidRPr="00D7755A">
        <w:rPr>
          <w:rFonts w:ascii="Arial" w:hAnsi="Arial" w:cs="Arial"/>
          <w:sz w:val="18"/>
          <w:szCs w:val="18"/>
        </w:rPr>
        <w:t>pp</w:t>
      </w:r>
      <w:proofErr w:type="spellEnd"/>
      <w:r w:rsidRPr="00D7755A">
        <w:rPr>
          <w:rFonts w:ascii="Arial" w:hAnsi="Arial" w:cs="Arial"/>
          <w:sz w:val="18"/>
          <w:szCs w:val="18"/>
        </w:rPr>
        <w:t xml:space="preserve"> respecto al trimestre previo, si bien se mantuvo dentro del intervalo de variabilidad del objetivo de Banco de México. Este resultado se explicó principalmente por los aumentos en las tarifas de gobierno y transporte, así como en las mercancías no alimenticias, los cuales fueron parcialmente compensado por una menor inflación en productos pecuarios. </w:t>
      </w:r>
    </w:p>
    <w:p w14:paraId="3AE5F748"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La inflación subyacente se ubicó en 4.3% promedio anual durante el cuarto trimestre, lo que representó un aumento de 0.1 </w:t>
      </w:r>
      <w:proofErr w:type="spellStart"/>
      <w:r w:rsidRPr="00D7755A">
        <w:rPr>
          <w:rFonts w:ascii="Arial" w:hAnsi="Arial" w:cs="Arial"/>
          <w:sz w:val="18"/>
          <w:szCs w:val="18"/>
        </w:rPr>
        <w:t>pp</w:t>
      </w:r>
      <w:proofErr w:type="spellEnd"/>
      <w:r w:rsidRPr="00D7755A">
        <w:rPr>
          <w:rFonts w:ascii="Arial" w:hAnsi="Arial" w:cs="Arial"/>
          <w:sz w:val="18"/>
          <w:szCs w:val="18"/>
        </w:rPr>
        <w:t xml:space="preserve"> respecto al trimestre previo. En el interior, se observó un comportamiento heterogéneo entre la inflación de mercancías, que aumentó 0.2 </w:t>
      </w:r>
      <w:proofErr w:type="spellStart"/>
      <w:r w:rsidRPr="00D7755A">
        <w:rPr>
          <w:rFonts w:ascii="Arial" w:hAnsi="Arial" w:cs="Arial"/>
          <w:sz w:val="18"/>
          <w:szCs w:val="18"/>
        </w:rPr>
        <w:t>pp</w:t>
      </w:r>
      <w:proofErr w:type="spellEnd"/>
      <w:r w:rsidRPr="00D7755A">
        <w:rPr>
          <w:rFonts w:ascii="Arial" w:hAnsi="Arial" w:cs="Arial"/>
          <w:sz w:val="18"/>
          <w:szCs w:val="18"/>
        </w:rPr>
        <w:t>, y la de servicios, que se mantuvo estable. En las mercancías, las presiones provinieron principalmente de los productos no alimenticios, como el papel higiénico y los suavizantes, así como los limpiadores. En los servicios, la mayor inflación en colegiaturas fue compensada por una ligera disminución en los precios de la vivienda.</w:t>
      </w:r>
    </w:p>
    <w:p w14:paraId="421C22DF"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La inflación no subyacente se mantuvo a la baja durante el año, pero sin cambios respecto al tercer trimestre de 2025, en 1.5% anual promedio. En el interior, la inflación de productos pecuarios disminuyó de 9.0 a 7.2% anual, tras haber aumentado en la primera mitad del año por presiones en los precios de la carne de res, el pollo y el huevo. </w:t>
      </w:r>
    </w:p>
    <w:p w14:paraId="64A97E57"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contraste, la inflación de tarifas autorizadas aumentó de 3.7 a 5.2%, impulsada por incrementos en los precios del transporte público, particularmente en la Ciudad de México y el Estado de México, donde las tarifas no se habían ajustado desde 2022 y 2020, respectivamente. Los precios de frutas y verduras continuaron en deflación </w:t>
      </w:r>
      <w:r w:rsidRPr="00D7755A">
        <w:rPr>
          <w:rFonts w:ascii="Arial" w:hAnsi="Arial" w:cs="Arial"/>
          <w:sz w:val="18"/>
          <w:szCs w:val="18"/>
        </w:rPr>
        <w:lastRenderedPageBreak/>
        <w:t xml:space="preserve">por cuarto trimestre consecutivo, con una caída de 7.9% anual, mientras que los energéticos registraron una inflación de 0.6%, apoyados por la Estrategia Nacional para Estabilizar el Precio de la Gasolina. </w:t>
      </w:r>
    </w:p>
    <w:p w14:paraId="79A19CF4"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La inflación al productor, sin incluir petróleo, se ubicó en 2.9% promedio anual en el cuarto trimestre, por debajo del 3.7% registrado el trimestre anterior. La disminución fue generalizada en los tres grandes grupos de actividad. Destacó la industria, cuya inflación al productor pasó de 3.2 a 1.8% anual, apoyada por la apreciación cambiaria de la segunda mitad del año. En los servicios, la inflación se redujo de 4.5 a 4.2%. En las actividades primarias, se registró una caída anual de 1.5%, acumulando dos trimestres en deflación conforme continuaron normalizándose las condiciones climáticas y se mitigaron los choques en productos pecuarios.</w:t>
      </w:r>
    </w:p>
    <w:p w14:paraId="084842B4"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Durante el cuarto trimestre de 2025, el sector externo mantuvo un desempeño favorable, impulsado por el dinamismo de las exportaciones manufactureras no automotrices, a pesar del entorno de cambios en la política comercial internacional y del reacomodo de las cadenas globales de suministro. Las importaciones de mercancías aumentaron ante una mayor demanda de bienes intermedios y de consumo. En el último trimestre del año, el valor de las exportaciones aumentó 6.1% trimestral, con cifras ajustadas por estacionalidad, impulsado por el dinamismo de las manufacturas no automotrices, que crecieron 9.7%. A lo largo del año destacó el incremento en los envíos de equipo de cómputo y electrónicos hacia EE. UU., que entre enero y noviembre registraron un crecimiento anual de 47.2%. </w:t>
      </w:r>
    </w:p>
    <w:p w14:paraId="750DF360"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En contraste, las exportaciones automotrices se contrajeron 0.9% trimestral, debido a su mayor exposición a los cambios en la política comercial internacional. Por su parte, las exportaciones petroleras disminuyeron 4.2% trimestral, afectadas tanto por menores volúmenes exportados como por una reducción en el precio de la mezcla mexicana. El valor de las importaciones aumentó 5.4% trimestral en el cuarto trimestre, con cifras ajustadas por estacionalidad, impulsadas por las no petroleras. En el interior de las no petroleras, destacó el crecimiento de los bienes de consumo (5.9%) y de los bienes intermedios (6.3%). En contraste, y en línea con la moderación de la inversión fija bruta, las de bienes de capital disminuyeron 2.4% trimestral.</w:t>
      </w:r>
    </w:p>
    <w:p w14:paraId="0593F881"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La balanza comercial registró un superávit trimestral de 345 millones de dólares, con datos ajustados por estacionalidad, lo que representó una mejoría respecto al déficit de 865 millones de dólares observado el trimestre previo. Este resultado se compone por el superávit en la balanza no petrolera de 7 mil 189 millones de dólares y un déficit en la petrolera de 6 mil 844 millones de dólares. El flujo de remesas se mantuvo en un nivel moderado, vinculado al debilitamiento del empleo de los trabajadores mexicanos migrantes en EE. UU., que en 2025 presentó una reducción anual de 4.5%. Entre enero y noviembre, el flujo acumulado de remesas alcanzó 56 mil 469 millones de dólares, 5.1% por debajo del registrado en el mismo periodo de 2024. </w:t>
      </w:r>
    </w:p>
    <w:p w14:paraId="5BF0B545"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Esta reducción obedeció a un menor número de operaciones, efecto que fue parcialmente mitigado por un ligero incremento de la remesa promedio. La llegada de viajeros internacionales continuó normalizándose respecto a los niveles previos a la pandemia. Entre enero y noviembre, el número de visitantes internacionales que llegaron a México alcanzó los 88.1 millones de personas, lo que representó un aumento de 13.8% con relación al mismo periodo de 2024; mientras que su gasto medio disminuyó 6.2, dinámica que reflejó una transición hacia un modelo de turismo de volumen con estadías más cortas y menor gasto por persona. </w:t>
      </w:r>
    </w:p>
    <w:p w14:paraId="3C670829"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No obstante, los ingresos por concepto de gasto total de viajeros alcanzaron los 31 mil 220 millones de dólares, 6.7% mayores a los reportados en el mismo periodo de 2024. En el tercer trimestre de 2025, la cuenta corriente registró un superávit de 2 mil 325 millones de dólares (0.5% del PIB), de tal forma que el saldo acumulado durante 2025 fue deficitario en 11 mil 782 millones de dólares y menor que el déficit registrado en el mismo periodo de 2024 (27 mil 526 millones de dólares). </w:t>
      </w:r>
    </w:p>
    <w:p w14:paraId="37099D8F"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Esta reducción se explicó por el fortalecimiento de la balanza de mercancías no petroleras, menores déficits en la balanza de servicios y en la balanza del ingreso primario, y la contracción del superávit del ingreso secundario. Por su parte, la cuenta financiera durante el tercer trimestre presentó una salida neta de recursos por 3 mil 245 millones de dólares, de acuerdo con los últimos datos disponibles; sin embargo, el saldo acumulado presentó una entrada neta por 2 mil 110 millones de dólares. </w:t>
      </w:r>
    </w:p>
    <w:p w14:paraId="7D4E01B1"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Este resultado se debió a que la inversión directa registró una entrada neta de recursos por 33 mil 821 millones de dólares, la cual fue compensada parcialmente por la salida neta de recursos de inversión de cartera, de derivados financieros, de otra inversión y de un aumento en los activos de reserva. Cabe destacar que la IED mantuvo un desempeño sólido, con una entrada de 7 mil 176 millones de dólares en el tercer trimestre. Con ello, la IED </w:t>
      </w:r>
      <w:r w:rsidRPr="00D7755A">
        <w:rPr>
          <w:rFonts w:ascii="Arial" w:hAnsi="Arial" w:cs="Arial"/>
          <w:sz w:val="18"/>
          <w:szCs w:val="18"/>
        </w:rPr>
        <w:lastRenderedPageBreak/>
        <w:t>acumulada al cierre de septiembre de 2025 alcanzó un nuevo máximo histórico de 40 mil 906 millones de dólares, cifra que representa un incremento de 14.5% respecto al mismo periodo de 2024.</w:t>
      </w:r>
    </w:p>
    <w:p w14:paraId="0F0815DB"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Durante el cuarto trimestre de 2025, el sistema financiero mexicano se mantuvo sólido y solvente, con un sector bancario bien capitalizado y niveles de morosidad bajos. Los mercados financieros mostraron un comportamiento relativamente estable; no obstante, se presentaron breves episodios de volatilidad asociados en gran medida con el contexto internacional, principalmente a la incertidumbre derivada de la ausencia temporal de publicaciones económicas oficiales en EE. UU. tras el cierre parcial del gobierno, al mayor sentimiento de cautela ante las elevadas valuaciones del sector tecnológico, así como a las preocupaciones fiscales en algunas economías avanzadas.</w:t>
      </w:r>
    </w:p>
    <w:p w14:paraId="2A99AB2E"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Al cierre de diciembre, el tipo de cambio en México se ubicó en 18.01 pesos por dólar, lo que representó una apreciación de 1.7% respecto al cierre del trimestre anterior, debido principalmente al debilitamiento del dólar, la posición favorable de México en sus relaciones comerciales con EE. UU. y al diferencial de tasas entre Banco de México y la FED que mantuvo el atractivo del peso. La volatilidad implícita a un mes del tipo de cambio descendió a 6.7%, esto fue 1.4 </w:t>
      </w:r>
      <w:proofErr w:type="spellStart"/>
      <w:r w:rsidRPr="00D7755A">
        <w:rPr>
          <w:rFonts w:ascii="Arial" w:hAnsi="Arial" w:cs="Arial"/>
          <w:sz w:val="18"/>
          <w:szCs w:val="18"/>
        </w:rPr>
        <w:t>pp</w:t>
      </w:r>
      <w:proofErr w:type="spellEnd"/>
      <w:r w:rsidRPr="00D7755A">
        <w:rPr>
          <w:rFonts w:ascii="Arial" w:hAnsi="Arial" w:cs="Arial"/>
          <w:sz w:val="18"/>
          <w:szCs w:val="18"/>
        </w:rPr>
        <w:t xml:space="preserve"> por debajo del trimestre previo, mientras que el riesgo país de México, medido por el EMBI+ promedió 164.4 pb, se ubicó 17 pb por debajo del tercer trimestre. </w:t>
      </w:r>
    </w:p>
    <w:p w14:paraId="556ED52F"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Otras divisas emergentes también se fortalecieron en el trimestre, entre las que destacaron el peso chileno (6.9%), el rand sudafricano (4.3%), el peso colombiano (3.8%) y el sol peruano (3.3%), asociado a un debilitamiento del dólar y, en el caso de Brasil y Colombia, a los altos retornos por las elevadas tasas de política monetaria. En materia de política monetaria, el Banco de México recortó la tasa de referencia en dos ocasiones (noviembre y diciembre), acumulando una reducción de 50 pb y ubicándola en 7.00%. </w:t>
      </w:r>
    </w:p>
    <w:p w14:paraId="17F55C05"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Estas decisiones se dieron en un contexto en el que la incertidumbre comercial aún representa riesgos a la baja para la actividad, mientras que el balance de riesgos para la inflación mantiene un sesgo al alza. En este entorno, la curva de rendimientos mostró un mayor empinamiento: el diferencial entre los bonos a 10 y 2 años aumentó a 163 pb desde 133 pb, reflejo de menores tasas en el tramo corto y un incremento moderado en el tramo largo.</w:t>
      </w:r>
    </w:p>
    <w:p w14:paraId="08C0395A"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el mercado de renta variable, el Índice de Precios y Cotizaciones (IPC) cerró el año en 64 mil 308 unidades, lo que representó un incremento de 2.2% respecto al cierre del trimestre anterior y lo ubicó cerca de su máximo histórico de 65 mil 636 unidades alcanzado el 26 de diciembre. A nivel sectorial, destacaron los avances de industriales (10.4%), materiales básicos (8.4%) y consumo básico (0.7%). </w:t>
      </w:r>
    </w:p>
    <w:p w14:paraId="244BB698"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contraste, los sectores financieros, telecomunicaciones y consumo discrecional registraron disminuciones de - 8.5, - 4.3 y -2.8%, respectivamente. Con base en las últimas cifras disponibles a noviembre de 2025, el crédito vigente de la banca comercial al sector privado no financiero aumentó 0.7% real respecto a septiembre, con cifras ajustadas por estacionalidad. El crédito al consumo creció 1.2%, impulsado principalmente por el sector automotriz y de nómina. El crédito hipotecario avanzó 0.2%, apoyado por la vivienda social. </w:t>
      </w:r>
    </w:p>
    <w:p w14:paraId="6B1069A9"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Por su parte, la cartera empresarial aumentó 0.7%, respaldada por los sectores de minería, transporte y comercio. En términos de solvencia, el índice de capitalización (ICAP) de la banca comercial alcanzó 20.5% en octubre, casi el doble del mínimo regulatorio de Basilea III (10.5%). La morosidad se ubicó en 2.3% y, ajustada por quitas y castigos, en 4.5%; si bien se observaron ligeros repuntes, estos fueron contenidos manteniéndose por debajo de los registros prepandemia (2015-2019) y de los observados en periodos de estrés (2020).</w:t>
      </w:r>
    </w:p>
    <w:p w14:paraId="29AFFB06"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En 2026, la economía recibirá un impulso adicional derivado de la celebración de la Copa Mundial de Futbol. La afluencia de visitantes nacionales e internacionales estimulará la actividad en sectores como alojamiento temporal, preparación de alimentos y bebidas, comercio al por menor y servicios de esparcimiento, así como el consumo de bienes duraderos. En el ámbito manufacturero, se anticipa la consolidación de sectores con dinamismo reciente. En particular, continuará el crecimiento de las actividades de refinación, fortaleciendo la seguridad energética en un contexto de tensiones geopolíticas. En este sentido, Pemex elevará su inversión productiva en 2026 a 425 mil millones de pesos, lo que representa un incremento de 34% respecto a 2025, con el objetivo de sostener la producción y mejorar la eficiencia operativa. Estos recursos se destinarán a proyectos prioritarios de exploración y producción, así como al desarrollo de campos de gas natural.</w:t>
      </w:r>
    </w:p>
    <w:p w14:paraId="64FEF062"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2026 continuará el proceso de normalización gradual del déficit público, en línea con los principios de equilibrio y responsabilidad hacendaria, lo que contribuirá a preservar la solidez de las finanzas públicas y la estabilidad macroeconómica. En este contexto, los RFSP se ubicarán en 4.1% del PIB, nivel consistente con la consolidación </w:t>
      </w:r>
      <w:r w:rsidRPr="00D7755A">
        <w:rPr>
          <w:rFonts w:ascii="Arial" w:hAnsi="Arial" w:cs="Arial"/>
          <w:sz w:val="18"/>
          <w:szCs w:val="18"/>
        </w:rPr>
        <w:lastRenderedPageBreak/>
        <w:t>fiscal observada desde 2025 y con el objetivo de mantener una trayectoria sostenible de la deuda pública (véase la tabla “Estimación de las finanzas públicas, 2026-2027).</w:t>
      </w:r>
    </w:p>
    <w:p w14:paraId="22D0FC0C"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Los ingresos presupuestarios se estiman en 8 billones 661.7 mil millones de pesos, monto inferior en 59.3 mil millones de pesos respecto a lo aprobado en la Ley de Ingresos de la Federación (LIF) para 2026. Esta disminución obedecerá principalmente a menores ingresos petroleros en 47.3 mil millones de pesos. En su interior, los ingresos propios de Pemex mostrarán una reducción de 59.3 mil millones de pesos, asociada con la apreciación del tipo de cambio respecto a lo proyectado en la LIF 2026, lo cual reduce el valor en moneda nacional de las exportaciones de petróleo. </w:t>
      </w:r>
    </w:p>
    <w:p w14:paraId="3ADFDD3E"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Cabe destacar que el monto originalmente aprobado de la línea presupuestaria para Pemex —equivalente a 263.5 mil millones de pesos— se reducirá en 59.4 mil millones de pesos, tanto por la apreciación cambiaria como por el refinanciamiento de certificados bursátiles (</w:t>
      </w:r>
      <w:proofErr w:type="spellStart"/>
      <w:r w:rsidRPr="00D7755A">
        <w:rPr>
          <w:rFonts w:ascii="Arial" w:hAnsi="Arial" w:cs="Arial"/>
          <w:sz w:val="18"/>
          <w:szCs w:val="18"/>
        </w:rPr>
        <w:t>Cebures</w:t>
      </w:r>
      <w:proofErr w:type="spellEnd"/>
      <w:r w:rsidRPr="00D7755A">
        <w:rPr>
          <w:rFonts w:ascii="Arial" w:hAnsi="Arial" w:cs="Arial"/>
          <w:sz w:val="18"/>
          <w:szCs w:val="18"/>
        </w:rPr>
        <w:t xml:space="preserve">) realizado a mediados de febrero, operación que fue posible gracias al fortalecimiento de la posición financiera de Pemex, derivado de los apoyos otorgados por el Gobierno Federal en 2025. Lo anterior permitió mejorar su perfil de vencimientos y reducir las necesidades presupuestarias previstas para este año. </w:t>
      </w:r>
    </w:p>
    <w:p w14:paraId="1CA52EE5"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Los menores ingresos de Pemex serán parcialmente compensados por mayores ingresos petroleros del Gobierno Federal en 12.0 mil millones de pesos, impulsados por un aumento en los precios internacionales de los hidrocarburos, en un contexto de presiones sobre la oferta vinculadas con los conflictos geopolíticos en Medio Oriente. Por su parte, los ingresos no petroleros serán menores en 12.0 mil millones de pesos respecto al programa. Dentro de este agregado, los ingresos tributarios del Gobierno Federal se ubicarán 15.8 mil millones de pesos por debajo de lo previsto, como resultado del apoyo otorgado mediante el estímulo al IEPS de combustibles para proteger el poder adquisitivo de las familias y contener presiones sobre los costos de transporte y producción, principalmente. </w:t>
      </w:r>
    </w:p>
    <w:p w14:paraId="38408661"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No obstante, estos ingresos continuarán mostrando una evolución favorable, con un crecimiento real anual de 4.7% y alcanzando un máximo histórico de 15.6% del PIB. Este desempeño estará respaldado por la fortaleza del mercado interno, el fortalecimiento de la fiscalización y los efectos de las reformas a la Ley Aduanera y a la Ley de los Impuestos Generales de Importación y Exportación, que reforzarán el control del comercio exterior y favorecerán una mayor captación en sectores estratégicos.</w:t>
      </w:r>
    </w:p>
    <w:p w14:paraId="4D1534E2"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contraste, los ingresos no tributarios serán mayores en 3.8 mil millones de pesos respecto al programa, debido principalmente a mayores aprovechamientos. Finalmente, los ingresos propios de los organismos, IMSS, ISSSTE y CFE, se mantendrán en línea con lo aprobado. El gasto neto presupuestario se estima en 10 billones 14.7 mil millones de pesos, equivalente a 100.1 mil millones de pesos por debajo del monto aprobado. Esta reducción provendrá tanto del gasto programable como del no programable. </w:t>
      </w:r>
    </w:p>
    <w:p w14:paraId="660F1F2F"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El primer componente será menor en 59.4 mil millones de pesos, principalmente como resultado del ahorro en la línea presupuestaria para la amortización de la deuda de Pemex, lo que permitirá preservar los recursos orientados a programas sociales y a la inversión productiva. En paralelo, el gasto no programable se reducirá en 40.8 mil millones de pesos respecto a lo aprobado, como reflejo de un menor costo financiero de la deuda —inferior en 47.8 mil millones de pesos al previsto, resultado de una gestión activa y prudente del portafolio—. </w:t>
      </w:r>
    </w:p>
    <w:p w14:paraId="5334BFF8"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Este efecto será parcialmente compensado por mayores participaciones a entidades federativas y municipios, que aumentarán en 7.1 mil millones de pesos, mientras que el pago de Adeudos de ejercicios fiscales anteriores (</w:t>
      </w:r>
      <w:proofErr w:type="spellStart"/>
      <w:r w:rsidRPr="00D7755A">
        <w:rPr>
          <w:rFonts w:ascii="Arial" w:hAnsi="Arial" w:cs="Arial"/>
          <w:sz w:val="18"/>
          <w:szCs w:val="18"/>
        </w:rPr>
        <w:t>Adefas</w:t>
      </w:r>
      <w:proofErr w:type="spellEnd"/>
      <w:r w:rsidRPr="00D7755A">
        <w:rPr>
          <w:rFonts w:ascii="Arial" w:hAnsi="Arial" w:cs="Arial"/>
          <w:sz w:val="18"/>
          <w:szCs w:val="18"/>
        </w:rPr>
        <w:t xml:space="preserve">) se mantendrá sin cambios. Como resultado de la evolución prevista de los ingresos y del gasto, el déficit presupuestario se ubicará en 1 billón 353.0 mil millones de pesos, —equivalente a 3.6% del PIB—, nivel menor al aprobado para 2026. Al incorporar los requerimientos extrapresupuestarios, los RFSP ascenderán a 1 billón 539.6 mil millones de pesos, —equivalentes a 4.1% del PIB—. </w:t>
      </w:r>
    </w:p>
    <w:p w14:paraId="29B57E03" w14:textId="77777777" w:rsidR="00D7755A" w:rsidRPr="00D7755A" w:rsidRDefault="00D7755A" w:rsidP="00D7755A">
      <w:pPr>
        <w:tabs>
          <w:tab w:val="left" w:pos="284"/>
        </w:tabs>
        <w:ind w:left="284"/>
        <w:jc w:val="both"/>
        <w:rPr>
          <w:rFonts w:ascii="Arial" w:hAnsi="Arial" w:cs="Arial"/>
          <w:sz w:val="18"/>
          <w:szCs w:val="18"/>
        </w:rPr>
      </w:pPr>
    </w:p>
    <w:p w14:paraId="32B008AA"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Este nivel implicará una reducción de 0.7 </w:t>
      </w:r>
      <w:proofErr w:type="spellStart"/>
      <w:r w:rsidRPr="00D7755A">
        <w:rPr>
          <w:rFonts w:ascii="Arial" w:hAnsi="Arial" w:cs="Arial"/>
          <w:sz w:val="18"/>
          <w:szCs w:val="18"/>
        </w:rPr>
        <w:t>pp</w:t>
      </w:r>
      <w:proofErr w:type="spellEnd"/>
      <w:r w:rsidRPr="00D7755A">
        <w:rPr>
          <w:rFonts w:ascii="Arial" w:hAnsi="Arial" w:cs="Arial"/>
          <w:sz w:val="18"/>
          <w:szCs w:val="18"/>
        </w:rPr>
        <w:t xml:space="preserve"> del PIB respecto a 2025 y de 1.7 puntos respecto a 2024, lo que permitirá continuar con el proceso de normalización fiscal y mantener una trayectoria compatible con la estabilización de la deuda pública como proporción del PIB. Finalmente, el Saldo Histórico de los Requerimientos Financieros del Sector Público (SHRFSP) se ubicará en 20 billones 419.8 mil millones de pesos, equivalente a 54.7% del PIB al cierre de 2026. Este nivel incorpora principalmente la revisión metodológica del PIB nominal </w:t>
      </w:r>
      <w:r w:rsidRPr="00D7755A">
        <w:rPr>
          <w:rFonts w:ascii="Arial" w:hAnsi="Arial" w:cs="Arial"/>
          <w:sz w:val="18"/>
          <w:szCs w:val="18"/>
        </w:rPr>
        <w:lastRenderedPageBreak/>
        <w:t>realizada por el INEGI en 2025, la cual modificó la base anterior, así como los ajustes en la proyección del marco macroeconómico, entre otros factores. Lo anterior es consistente con una trayectoria sostenible de la deuda pública.</w:t>
      </w:r>
    </w:p>
    <w:p w14:paraId="725E4373"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Tlaxcala tiene una localización geográfica estratégica al encontrarse en la región centro del país, integrada por los Estados de Guanajuato, Hidalgo, Morelos, Puebla, Querétaro, Ciudad de México y Estado de México; colindando con Hidalgo, Puebla y el Estado de México. En 2020, la población en Tlaxcala fue de 1,342,977 habitantes (48.4% hombres y 51.6% mujeres). En comparación a 2010, la población en Tlaxcala creció un 14.8 %.</w:t>
      </w:r>
    </w:p>
    <w:p w14:paraId="4DF16C67"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En el tercer trimestre de 2025, la actividad económica de Tlaxcala mostró un crecimiento anual de 2.6 por ciento. Este resultó del avance de las actividades primarias, secundarias y terciarias de 31.0, 0.2 y 2.8 %, respectivamente (ver gráfica 1).</w:t>
      </w:r>
    </w:p>
    <w:p w14:paraId="41D88256" w14:textId="7761C434"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noProof/>
          <w:sz w:val="18"/>
          <w:szCs w:val="18"/>
        </w:rPr>
        <w:drawing>
          <wp:inline distT="0" distB="0" distL="0" distR="0" wp14:anchorId="7683ED6E" wp14:editId="3F82DB57">
            <wp:extent cx="5672455" cy="3505200"/>
            <wp:effectExtent l="0" t="0" r="4445" b="0"/>
            <wp:docPr id="734078120"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5548" cy="3519470"/>
                    </a:xfrm>
                    <a:prstGeom prst="rect">
                      <a:avLst/>
                    </a:prstGeom>
                    <a:noFill/>
                    <a:ln>
                      <a:noFill/>
                    </a:ln>
                  </pic:spPr>
                </pic:pic>
              </a:graphicData>
            </a:graphic>
          </wp:inline>
        </w:drawing>
      </w:r>
    </w:p>
    <w:p w14:paraId="2A0CEBB2" w14:textId="77777777" w:rsid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Durante el periodo enero a septiembre de 2025, el acumulado de la actividad económica estatal creció 1.2 %, por el incremento en las actividades terciarias de 2.7 %; por su parte, las secundarias y primarias se redujeron 1.3 y 0.4 % (ver cuadro 1).</w:t>
      </w:r>
    </w:p>
    <w:p w14:paraId="2AAFA50F" w14:textId="77777777" w:rsidR="00A33194" w:rsidRDefault="00A33194" w:rsidP="00D7755A">
      <w:pPr>
        <w:tabs>
          <w:tab w:val="left" w:pos="284"/>
        </w:tabs>
        <w:ind w:left="284"/>
        <w:jc w:val="both"/>
        <w:rPr>
          <w:rFonts w:ascii="Arial" w:hAnsi="Arial" w:cs="Arial"/>
          <w:sz w:val="18"/>
          <w:szCs w:val="18"/>
        </w:rPr>
      </w:pPr>
    </w:p>
    <w:p w14:paraId="7900AAAE" w14:textId="77777777" w:rsidR="00A33194" w:rsidRDefault="00A33194" w:rsidP="00D7755A">
      <w:pPr>
        <w:tabs>
          <w:tab w:val="left" w:pos="284"/>
        </w:tabs>
        <w:ind w:left="284"/>
        <w:jc w:val="both"/>
        <w:rPr>
          <w:rFonts w:ascii="Arial" w:hAnsi="Arial" w:cs="Arial"/>
          <w:sz w:val="18"/>
          <w:szCs w:val="18"/>
        </w:rPr>
      </w:pPr>
    </w:p>
    <w:p w14:paraId="1AB4EED8" w14:textId="77777777" w:rsidR="00A33194" w:rsidRDefault="00A33194" w:rsidP="00D7755A">
      <w:pPr>
        <w:tabs>
          <w:tab w:val="left" w:pos="284"/>
        </w:tabs>
        <w:ind w:left="284"/>
        <w:jc w:val="both"/>
        <w:rPr>
          <w:rFonts w:ascii="Arial" w:hAnsi="Arial" w:cs="Arial"/>
          <w:sz w:val="18"/>
          <w:szCs w:val="18"/>
        </w:rPr>
      </w:pPr>
    </w:p>
    <w:p w14:paraId="4D05909B" w14:textId="77777777" w:rsidR="00A33194" w:rsidRDefault="00A33194" w:rsidP="00D7755A">
      <w:pPr>
        <w:tabs>
          <w:tab w:val="left" w:pos="284"/>
        </w:tabs>
        <w:ind w:left="284"/>
        <w:jc w:val="both"/>
        <w:rPr>
          <w:rFonts w:ascii="Arial" w:hAnsi="Arial" w:cs="Arial"/>
          <w:sz w:val="18"/>
          <w:szCs w:val="18"/>
        </w:rPr>
      </w:pPr>
    </w:p>
    <w:p w14:paraId="579A2E8D" w14:textId="77777777" w:rsidR="00A33194" w:rsidRDefault="00A33194" w:rsidP="00D7755A">
      <w:pPr>
        <w:tabs>
          <w:tab w:val="left" w:pos="284"/>
        </w:tabs>
        <w:ind w:left="284"/>
        <w:jc w:val="both"/>
        <w:rPr>
          <w:rFonts w:ascii="Arial" w:hAnsi="Arial" w:cs="Arial"/>
          <w:sz w:val="18"/>
          <w:szCs w:val="18"/>
        </w:rPr>
      </w:pPr>
    </w:p>
    <w:p w14:paraId="72FD7E55" w14:textId="77777777" w:rsidR="00A33194" w:rsidRDefault="00A33194" w:rsidP="00D7755A">
      <w:pPr>
        <w:tabs>
          <w:tab w:val="left" w:pos="284"/>
        </w:tabs>
        <w:ind w:left="284"/>
        <w:jc w:val="both"/>
        <w:rPr>
          <w:rFonts w:ascii="Arial" w:hAnsi="Arial" w:cs="Arial"/>
          <w:sz w:val="18"/>
          <w:szCs w:val="18"/>
        </w:rPr>
      </w:pPr>
    </w:p>
    <w:p w14:paraId="327D9CBB" w14:textId="77777777" w:rsidR="00A33194" w:rsidRPr="00D7755A" w:rsidRDefault="00A33194" w:rsidP="00D7755A">
      <w:pPr>
        <w:tabs>
          <w:tab w:val="left" w:pos="284"/>
        </w:tabs>
        <w:ind w:left="284"/>
        <w:jc w:val="both"/>
        <w:rPr>
          <w:rFonts w:ascii="Arial" w:hAnsi="Arial" w:cs="Arial"/>
          <w:sz w:val="18"/>
          <w:szCs w:val="18"/>
        </w:rPr>
      </w:pPr>
    </w:p>
    <w:p w14:paraId="4CBAC5F5" w14:textId="1BDD6966"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noProof/>
          <w:sz w:val="18"/>
          <w:szCs w:val="18"/>
        </w:rPr>
        <w:lastRenderedPageBreak/>
        <w:drawing>
          <wp:inline distT="0" distB="0" distL="0" distR="0" wp14:anchorId="3E388AAC" wp14:editId="6BAE6173">
            <wp:extent cx="5943600" cy="2233930"/>
            <wp:effectExtent l="0" t="0" r="0" b="0"/>
            <wp:docPr id="716426689"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233930"/>
                    </a:xfrm>
                    <a:prstGeom prst="rect">
                      <a:avLst/>
                    </a:prstGeom>
                    <a:noFill/>
                    <a:ln>
                      <a:noFill/>
                    </a:ln>
                  </pic:spPr>
                </pic:pic>
              </a:graphicData>
            </a:graphic>
          </wp:inline>
        </w:drawing>
      </w:r>
    </w:p>
    <w:p w14:paraId="34492DFB"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En el trimestre de estudio, las actividades terciarias contribuyeron 1.8 puntos porcentuales a la variación total del estado. En los primeros nueve meses del año, igualmente, las actividades terciarias fueron las que más aportaron a la variación (ver cuadro 2)</w:t>
      </w:r>
    </w:p>
    <w:p w14:paraId="7675D830" w14:textId="7FE7E0DA"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noProof/>
          <w:sz w:val="18"/>
          <w:szCs w:val="18"/>
        </w:rPr>
        <w:drawing>
          <wp:inline distT="0" distB="0" distL="0" distR="0" wp14:anchorId="1A2CD01D" wp14:editId="793BA2F7">
            <wp:extent cx="5943600" cy="2185670"/>
            <wp:effectExtent l="0" t="0" r="0" b="5080"/>
            <wp:docPr id="859552089"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185670"/>
                    </a:xfrm>
                    <a:prstGeom prst="rect">
                      <a:avLst/>
                    </a:prstGeom>
                    <a:noFill/>
                    <a:ln>
                      <a:noFill/>
                    </a:ln>
                  </pic:spPr>
                </pic:pic>
              </a:graphicData>
            </a:graphic>
          </wp:inline>
        </w:drawing>
      </w:r>
    </w:p>
    <w:p w14:paraId="21F399C2" w14:textId="77777777" w:rsidR="00D7755A" w:rsidRPr="00D7755A" w:rsidRDefault="00D7755A" w:rsidP="00D7755A">
      <w:pPr>
        <w:tabs>
          <w:tab w:val="left" w:pos="284"/>
        </w:tabs>
        <w:ind w:left="284"/>
        <w:jc w:val="both"/>
        <w:rPr>
          <w:rFonts w:ascii="Arial" w:hAnsi="Arial" w:cs="Arial"/>
          <w:sz w:val="18"/>
          <w:szCs w:val="18"/>
        </w:rPr>
      </w:pPr>
    </w:p>
    <w:p w14:paraId="195E65BF"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En el tercer trimestre de 2025, las actividades primarias (agricultura, cría y explotación de animales, aprovechamiento forestal, pesca y caza) reportaron un incremento anual de 31.0 por ciento. Con ello, Tlaxcala se situó en el tercer lugar a nivel nacional (ver gráfica 2).</w:t>
      </w:r>
    </w:p>
    <w:p w14:paraId="557201B0" w14:textId="77777777" w:rsidR="00D7755A" w:rsidRPr="00D7755A" w:rsidRDefault="00D7755A" w:rsidP="00D7755A">
      <w:pPr>
        <w:tabs>
          <w:tab w:val="left" w:pos="284"/>
        </w:tabs>
        <w:ind w:left="284"/>
        <w:jc w:val="both"/>
        <w:rPr>
          <w:rFonts w:ascii="Arial" w:hAnsi="Arial" w:cs="Arial"/>
          <w:sz w:val="18"/>
          <w:szCs w:val="18"/>
        </w:rPr>
      </w:pPr>
    </w:p>
    <w:p w14:paraId="11B7AAB6" w14:textId="683169BA" w:rsidR="00D7755A" w:rsidRPr="00D7755A" w:rsidRDefault="00D7755A" w:rsidP="00A33194">
      <w:pPr>
        <w:tabs>
          <w:tab w:val="left" w:pos="284"/>
        </w:tabs>
        <w:ind w:left="284"/>
        <w:jc w:val="center"/>
        <w:rPr>
          <w:rFonts w:ascii="Arial" w:hAnsi="Arial" w:cs="Arial"/>
          <w:sz w:val="18"/>
          <w:szCs w:val="18"/>
        </w:rPr>
      </w:pPr>
      <w:r w:rsidRPr="00D7755A">
        <w:rPr>
          <w:rFonts w:ascii="Arial" w:hAnsi="Arial" w:cs="Arial"/>
          <w:noProof/>
          <w:sz w:val="18"/>
          <w:szCs w:val="18"/>
        </w:rPr>
        <w:lastRenderedPageBreak/>
        <w:drawing>
          <wp:inline distT="0" distB="0" distL="0" distR="0" wp14:anchorId="4438A407" wp14:editId="269749CA">
            <wp:extent cx="5038725" cy="6013450"/>
            <wp:effectExtent l="0" t="0" r="9525" b="6350"/>
            <wp:docPr id="946946284"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5" cy="6013450"/>
                    </a:xfrm>
                    <a:prstGeom prst="rect">
                      <a:avLst/>
                    </a:prstGeom>
                    <a:noFill/>
                    <a:ln>
                      <a:noFill/>
                    </a:ln>
                  </pic:spPr>
                </pic:pic>
              </a:graphicData>
            </a:graphic>
          </wp:inline>
        </w:drawing>
      </w:r>
    </w:p>
    <w:p w14:paraId="4E1CBF90" w14:textId="77777777" w:rsid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Las actividades secundarias corresponden a los sectores dedicados a la industria de la minería, manufacturas, construcción y electricidad. El aumento de 0.2 % en estas actividades, ubicó a Tlaxcala en el lugar 15 de las 32 entidades federativas (ver gráfica 3).</w:t>
      </w:r>
    </w:p>
    <w:p w14:paraId="532CA5B7" w14:textId="77777777" w:rsidR="00A33194" w:rsidRDefault="00A33194" w:rsidP="00D7755A">
      <w:pPr>
        <w:tabs>
          <w:tab w:val="left" w:pos="284"/>
        </w:tabs>
        <w:ind w:left="284"/>
        <w:jc w:val="both"/>
        <w:rPr>
          <w:rFonts w:ascii="Arial" w:hAnsi="Arial" w:cs="Arial"/>
          <w:sz w:val="18"/>
          <w:szCs w:val="18"/>
        </w:rPr>
      </w:pPr>
    </w:p>
    <w:p w14:paraId="56164742" w14:textId="77777777" w:rsidR="00A33194" w:rsidRDefault="00A33194" w:rsidP="00D7755A">
      <w:pPr>
        <w:tabs>
          <w:tab w:val="left" w:pos="284"/>
        </w:tabs>
        <w:ind w:left="284"/>
        <w:jc w:val="both"/>
        <w:rPr>
          <w:rFonts w:ascii="Arial" w:hAnsi="Arial" w:cs="Arial"/>
          <w:sz w:val="18"/>
          <w:szCs w:val="18"/>
        </w:rPr>
      </w:pPr>
    </w:p>
    <w:p w14:paraId="54239A15" w14:textId="77777777" w:rsidR="00A33194" w:rsidRDefault="00A33194" w:rsidP="00D7755A">
      <w:pPr>
        <w:tabs>
          <w:tab w:val="left" w:pos="284"/>
        </w:tabs>
        <w:ind w:left="284"/>
        <w:jc w:val="both"/>
        <w:rPr>
          <w:rFonts w:ascii="Arial" w:hAnsi="Arial" w:cs="Arial"/>
          <w:sz w:val="18"/>
          <w:szCs w:val="18"/>
        </w:rPr>
      </w:pPr>
    </w:p>
    <w:p w14:paraId="0E8B18FA" w14:textId="77777777" w:rsidR="00A33194" w:rsidRDefault="00A33194" w:rsidP="00D7755A">
      <w:pPr>
        <w:tabs>
          <w:tab w:val="left" w:pos="284"/>
        </w:tabs>
        <w:ind w:left="284"/>
        <w:jc w:val="both"/>
        <w:rPr>
          <w:rFonts w:ascii="Arial" w:hAnsi="Arial" w:cs="Arial"/>
          <w:sz w:val="18"/>
          <w:szCs w:val="18"/>
        </w:rPr>
      </w:pPr>
    </w:p>
    <w:p w14:paraId="71FCD4F8" w14:textId="77777777" w:rsidR="00A33194" w:rsidRDefault="00A33194" w:rsidP="00D7755A">
      <w:pPr>
        <w:tabs>
          <w:tab w:val="left" w:pos="284"/>
        </w:tabs>
        <w:ind w:left="284"/>
        <w:jc w:val="both"/>
        <w:rPr>
          <w:rFonts w:ascii="Arial" w:hAnsi="Arial" w:cs="Arial"/>
          <w:sz w:val="18"/>
          <w:szCs w:val="18"/>
        </w:rPr>
      </w:pPr>
    </w:p>
    <w:p w14:paraId="40F03E3D" w14:textId="77777777" w:rsidR="00A33194" w:rsidRDefault="00A33194" w:rsidP="00D7755A">
      <w:pPr>
        <w:tabs>
          <w:tab w:val="left" w:pos="284"/>
        </w:tabs>
        <w:ind w:left="284"/>
        <w:jc w:val="both"/>
        <w:rPr>
          <w:rFonts w:ascii="Arial" w:hAnsi="Arial" w:cs="Arial"/>
          <w:sz w:val="18"/>
          <w:szCs w:val="18"/>
        </w:rPr>
      </w:pPr>
    </w:p>
    <w:p w14:paraId="514D2F5F" w14:textId="77777777" w:rsidR="00A33194" w:rsidRDefault="00A33194" w:rsidP="00D7755A">
      <w:pPr>
        <w:tabs>
          <w:tab w:val="left" w:pos="284"/>
        </w:tabs>
        <w:ind w:left="284"/>
        <w:jc w:val="both"/>
        <w:rPr>
          <w:rFonts w:ascii="Arial" w:hAnsi="Arial" w:cs="Arial"/>
          <w:sz w:val="18"/>
          <w:szCs w:val="18"/>
        </w:rPr>
      </w:pPr>
    </w:p>
    <w:p w14:paraId="5BC45064" w14:textId="77777777" w:rsidR="00A33194" w:rsidRDefault="00A33194" w:rsidP="00D7755A">
      <w:pPr>
        <w:tabs>
          <w:tab w:val="left" w:pos="284"/>
        </w:tabs>
        <w:ind w:left="284"/>
        <w:jc w:val="both"/>
        <w:rPr>
          <w:rFonts w:ascii="Arial" w:hAnsi="Arial" w:cs="Arial"/>
          <w:sz w:val="18"/>
          <w:szCs w:val="18"/>
        </w:rPr>
      </w:pPr>
    </w:p>
    <w:p w14:paraId="3FEDE109" w14:textId="69B3E606" w:rsidR="00D7755A" w:rsidRPr="00D7755A" w:rsidRDefault="00D7755A" w:rsidP="00A33194">
      <w:pPr>
        <w:tabs>
          <w:tab w:val="left" w:pos="284"/>
        </w:tabs>
        <w:ind w:left="284"/>
        <w:jc w:val="center"/>
        <w:rPr>
          <w:rFonts w:ascii="Arial" w:hAnsi="Arial" w:cs="Arial"/>
          <w:sz w:val="18"/>
          <w:szCs w:val="18"/>
        </w:rPr>
      </w:pPr>
      <w:r w:rsidRPr="00D7755A">
        <w:rPr>
          <w:rFonts w:ascii="Arial" w:hAnsi="Arial" w:cs="Arial"/>
          <w:noProof/>
          <w:sz w:val="18"/>
          <w:szCs w:val="18"/>
        </w:rPr>
        <w:drawing>
          <wp:inline distT="0" distB="0" distL="0" distR="0" wp14:anchorId="4BF982EC" wp14:editId="09A0679F">
            <wp:extent cx="5000625" cy="5629275"/>
            <wp:effectExtent l="0" t="0" r="9525" b="9525"/>
            <wp:docPr id="1841756950"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0625" cy="5629275"/>
                    </a:xfrm>
                    <a:prstGeom prst="rect">
                      <a:avLst/>
                    </a:prstGeom>
                    <a:noFill/>
                    <a:ln>
                      <a:noFill/>
                    </a:ln>
                  </pic:spPr>
                </pic:pic>
              </a:graphicData>
            </a:graphic>
          </wp:inline>
        </w:drawing>
      </w:r>
    </w:p>
    <w:p w14:paraId="23DEFB6D"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Las actividades terciarias incluyen a los sectores que se dedican a la distribución de bienes, a operaciones con información o con activos, así como a servicios cuyo insumo principal es el conocimiento y la experiencia del personal. Asimismo, abarcan la recreación y el gobierno. En el tercer trimestre de 2025, Tlaxcala registró una variación anual de 2.8 % en estas actividades. Así, se ubicó en el segundo lugar a nivel nacional (ver gráfica 4).</w:t>
      </w:r>
    </w:p>
    <w:p w14:paraId="3C604051" w14:textId="7DEB6299" w:rsidR="00D7755A" w:rsidRPr="00D7755A" w:rsidRDefault="00D7755A" w:rsidP="00A33194">
      <w:pPr>
        <w:tabs>
          <w:tab w:val="left" w:pos="284"/>
        </w:tabs>
        <w:ind w:left="284"/>
        <w:jc w:val="center"/>
        <w:rPr>
          <w:rFonts w:ascii="Arial" w:hAnsi="Arial" w:cs="Arial"/>
          <w:sz w:val="18"/>
          <w:szCs w:val="18"/>
        </w:rPr>
      </w:pPr>
      <w:r w:rsidRPr="00D7755A">
        <w:rPr>
          <w:rFonts w:ascii="Arial" w:hAnsi="Arial" w:cs="Arial"/>
          <w:noProof/>
          <w:sz w:val="18"/>
          <w:szCs w:val="18"/>
        </w:rPr>
        <w:lastRenderedPageBreak/>
        <w:drawing>
          <wp:inline distT="0" distB="0" distL="0" distR="0" wp14:anchorId="3E208488" wp14:editId="17DFC092">
            <wp:extent cx="4733925" cy="5467350"/>
            <wp:effectExtent l="0" t="0" r="9525" b="0"/>
            <wp:docPr id="1435066578"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3925" cy="5467350"/>
                    </a:xfrm>
                    <a:prstGeom prst="rect">
                      <a:avLst/>
                    </a:prstGeom>
                    <a:noFill/>
                    <a:ln>
                      <a:noFill/>
                    </a:ln>
                  </pic:spPr>
                </pic:pic>
              </a:graphicData>
            </a:graphic>
          </wp:inline>
        </w:drawing>
      </w:r>
    </w:p>
    <w:p w14:paraId="53903459" w14:textId="77777777" w:rsid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Finalmente, en el tercer trimestre de 2025 debido al aumento de 2.6 % en el total de la actividad económica, Tlaxcala se ubicó en el séptimo lugar y contribuyó con 0.01 puntos porcentuales a la variación nacional (ver gráfica 5).</w:t>
      </w:r>
    </w:p>
    <w:p w14:paraId="77EF582C" w14:textId="77777777" w:rsidR="00A33194" w:rsidRDefault="00A33194" w:rsidP="00D7755A">
      <w:pPr>
        <w:tabs>
          <w:tab w:val="left" w:pos="284"/>
        </w:tabs>
        <w:ind w:left="284"/>
        <w:jc w:val="both"/>
        <w:rPr>
          <w:rFonts w:ascii="Arial" w:hAnsi="Arial" w:cs="Arial"/>
          <w:sz w:val="18"/>
          <w:szCs w:val="18"/>
        </w:rPr>
      </w:pPr>
    </w:p>
    <w:p w14:paraId="5CA9E105" w14:textId="77777777" w:rsidR="00A33194" w:rsidRDefault="00A33194" w:rsidP="00D7755A">
      <w:pPr>
        <w:tabs>
          <w:tab w:val="left" w:pos="284"/>
        </w:tabs>
        <w:ind w:left="284"/>
        <w:jc w:val="both"/>
        <w:rPr>
          <w:rFonts w:ascii="Arial" w:hAnsi="Arial" w:cs="Arial"/>
          <w:sz w:val="18"/>
          <w:szCs w:val="18"/>
        </w:rPr>
      </w:pPr>
    </w:p>
    <w:p w14:paraId="0000548F" w14:textId="77777777" w:rsidR="00A33194" w:rsidRDefault="00A33194" w:rsidP="00D7755A">
      <w:pPr>
        <w:tabs>
          <w:tab w:val="left" w:pos="284"/>
        </w:tabs>
        <w:ind w:left="284"/>
        <w:jc w:val="both"/>
        <w:rPr>
          <w:rFonts w:ascii="Arial" w:hAnsi="Arial" w:cs="Arial"/>
          <w:sz w:val="18"/>
          <w:szCs w:val="18"/>
        </w:rPr>
      </w:pPr>
    </w:p>
    <w:p w14:paraId="72F6C986" w14:textId="77777777" w:rsidR="00A33194" w:rsidRDefault="00A33194" w:rsidP="00D7755A">
      <w:pPr>
        <w:tabs>
          <w:tab w:val="left" w:pos="284"/>
        </w:tabs>
        <w:ind w:left="284"/>
        <w:jc w:val="both"/>
        <w:rPr>
          <w:rFonts w:ascii="Arial" w:hAnsi="Arial" w:cs="Arial"/>
          <w:sz w:val="18"/>
          <w:szCs w:val="18"/>
        </w:rPr>
      </w:pPr>
    </w:p>
    <w:p w14:paraId="4CE93E1F" w14:textId="77777777" w:rsidR="00A33194" w:rsidRDefault="00A33194" w:rsidP="00D7755A">
      <w:pPr>
        <w:tabs>
          <w:tab w:val="left" w:pos="284"/>
        </w:tabs>
        <w:ind w:left="284"/>
        <w:jc w:val="both"/>
        <w:rPr>
          <w:rFonts w:ascii="Arial" w:hAnsi="Arial" w:cs="Arial"/>
          <w:sz w:val="18"/>
          <w:szCs w:val="18"/>
        </w:rPr>
      </w:pPr>
    </w:p>
    <w:p w14:paraId="64890CE9" w14:textId="77777777" w:rsidR="00A33194" w:rsidRDefault="00A33194" w:rsidP="00D7755A">
      <w:pPr>
        <w:tabs>
          <w:tab w:val="left" w:pos="284"/>
        </w:tabs>
        <w:ind w:left="284"/>
        <w:jc w:val="both"/>
        <w:rPr>
          <w:rFonts w:ascii="Arial" w:hAnsi="Arial" w:cs="Arial"/>
          <w:sz w:val="18"/>
          <w:szCs w:val="18"/>
        </w:rPr>
      </w:pPr>
    </w:p>
    <w:p w14:paraId="27D39B02" w14:textId="77777777" w:rsidR="00A33194" w:rsidRDefault="00A33194" w:rsidP="00D7755A">
      <w:pPr>
        <w:tabs>
          <w:tab w:val="left" w:pos="284"/>
        </w:tabs>
        <w:ind w:left="284"/>
        <w:jc w:val="both"/>
        <w:rPr>
          <w:rFonts w:ascii="Arial" w:hAnsi="Arial" w:cs="Arial"/>
          <w:sz w:val="18"/>
          <w:szCs w:val="18"/>
        </w:rPr>
      </w:pPr>
    </w:p>
    <w:p w14:paraId="0449A290" w14:textId="77777777" w:rsidR="00A33194" w:rsidRDefault="00A33194" w:rsidP="00D7755A">
      <w:pPr>
        <w:tabs>
          <w:tab w:val="left" w:pos="284"/>
        </w:tabs>
        <w:ind w:left="284"/>
        <w:jc w:val="both"/>
        <w:rPr>
          <w:rFonts w:ascii="Arial" w:hAnsi="Arial" w:cs="Arial"/>
          <w:sz w:val="18"/>
          <w:szCs w:val="18"/>
        </w:rPr>
      </w:pPr>
    </w:p>
    <w:p w14:paraId="23542DEC" w14:textId="77777777" w:rsidR="00A33194" w:rsidRDefault="00A33194" w:rsidP="00D7755A">
      <w:pPr>
        <w:tabs>
          <w:tab w:val="left" w:pos="284"/>
        </w:tabs>
        <w:ind w:left="284"/>
        <w:jc w:val="both"/>
        <w:rPr>
          <w:rFonts w:ascii="Arial" w:hAnsi="Arial" w:cs="Arial"/>
          <w:sz w:val="18"/>
          <w:szCs w:val="18"/>
        </w:rPr>
      </w:pPr>
    </w:p>
    <w:p w14:paraId="16190BFF" w14:textId="77777777" w:rsidR="00A33194" w:rsidRPr="00D7755A" w:rsidRDefault="00A33194" w:rsidP="00D7755A">
      <w:pPr>
        <w:tabs>
          <w:tab w:val="left" w:pos="284"/>
        </w:tabs>
        <w:ind w:left="284"/>
        <w:jc w:val="both"/>
        <w:rPr>
          <w:rFonts w:ascii="Arial" w:hAnsi="Arial" w:cs="Arial"/>
          <w:sz w:val="18"/>
          <w:szCs w:val="18"/>
        </w:rPr>
      </w:pPr>
    </w:p>
    <w:p w14:paraId="5E351AC3" w14:textId="4B8EF424"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noProof/>
          <w:sz w:val="18"/>
          <w:szCs w:val="18"/>
        </w:rPr>
        <w:drawing>
          <wp:inline distT="0" distB="0" distL="0" distR="0" wp14:anchorId="0089255C" wp14:editId="6B1CD11B">
            <wp:extent cx="5600700" cy="5562600"/>
            <wp:effectExtent l="0" t="0" r="0" b="0"/>
            <wp:docPr id="155373737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700" cy="5562600"/>
                    </a:xfrm>
                    <a:prstGeom prst="rect">
                      <a:avLst/>
                    </a:prstGeom>
                    <a:noFill/>
                    <a:ln>
                      <a:noFill/>
                    </a:ln>
                  </pic:spPr>
                </pic:pic>
              </a:graphicData>
            </a:graphic>
          </wp:inline>
        </w:drawing>
      </w:r>
    </w:p>
    <w:p w14:paraId="3650A247"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Se estima que la Entidad siga registrando márgenes operativos positivos en 2026, pero menores a los observados en 2025 y años previos. Las asignaciones en el PPEF 2026 para los gobiernos locales, que se integran por participaciones, aportaciones y otros conceptos, sumarán 2,810.8 </w:t>
      </w:r>
      <w:proofErr w:type="spellStart"/>
      <w:r w:rsidRPr="00D7755A">
        <w:rPr>
          <w:rFonts w:ascii="Arial" w:hAnsi="Arial" w:cs="Arial"/>
          <w:sz w:val="18"/>
          <w:szCs w:val="18"/>
        </w:rPr>
        <w:t>mmp</w:t>
      </w:r>
      <w:proofErr w:type="spellEnd"/>
      <w:r w:rsidRPr="00D7755A">
        <w:rPr>
          <w:rFonts w:ascii="Arial" w:hAnsi="Arial" w:cs="Arial"/>
          <w:sz w:val="18"/>
          <w:szCs w:val="18"/>
        </w:rPr>
        <w:t>, 3.0% más en términos reales que en el aprobado de 2025.</w:t>
      </w:r>
    </w:p>
    <w:p w14:paraId="7778924D"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La política fiscal que el Gobierno del Estado implementará en el ejercicio 2026, tendrá como finalidad mantener un balance presupuestario positivo, procurando que las fuentes de ingreso financien el gasto del ejercicio, por lo que se espera que se sigan registrando márgenes operativos positivos al cierre de 2025 y en 2026, pero menores a los registrados en ejercicios anteriores. Los resultados financieros balanceados y la política de deuda conservadora, han permitido que desde el ejercicio 2008 el Estado de Tlaxcala haya registrado una posición libre de endeudamiento.</w:t>
      </w:r>
    </w:p>
    <w:p w14:paraId="545EF194"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Con la finalidad de controlar el crecimiento del gasto se establecieron topes a ciertos rubros del gasto, mediante el Acuerdo que Establece los Lineamientos y Políticas Generales del Ejercicio del Presupuesto, las Medidas de Mejora y Modernización, así como de Austeridad del Gasto Público de la Gestión Administrativa, limitando el crecimiento del presupuesto.</w:t>
      </w:r>
    </w:p>
    <w:p w14:paraId="532E4423"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lastRenderedPageBreak/>
        <w:t>Se estima que para 2026, los ingresos propios se mantengan en niveles similares a los de 2025, en línea con las previsiones efectuadas por el Gobierno Federal. La liquidez del Estado de Tlaxcala es un factor que permite enfrentar choques externos imprevistos, por lo que se espera que el efectivo del Estado cubra al menos el 1% de los pasivos promedio para 2026, como resultado del buen manejo del presupuesto.</w:t>
      </w:r>
    </w:p>
    <w:p w14:paraId="57166F5D"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Ante un panorama económico que puede presentar riesgos en el corto y en el mediano plazo, esta administración no prevé la creación de nuevos impuestos ni el incremento de los ya vigentes, por lo que será una tarea fundamental </w:t>
      </w:r>
      <w:proofErr w:type="spellStart"/>
      <w:r w:rsidRPr="00D7755A">
        <w:rPr>
          <w:rFonts w:ascii="Arial" w:hAnsi="Arial" w:cs="Arial"/>
          <w:sz w:val="18"/>
          <w:szCs w:val="18"/>
        </w:rPr>
        <w:t>eficientar</w:t>
      </w:r>
      <w:proofErr w:type="spellEnd"/>
      <w:r w:rsidRPr="00D7755A">
        <w:rPr>
          <w:rFonts w:ascii="Arial" w:hAnsi="Arial" w:cs="Arial"/>
          <w:sz w:val="18"/>
          <w:szCs w:val="18"/>
        </w:rPr>
        <w:t xml:space="preserve"> la administración y recaudación de las diferentes fuentes de ingresos, mediante una política fiscal que favorezca el financiamiento del gasto público. En materia de incentivos fiscales estatales, se proponen políticas que fomentan la creación de nuevos empleos y la integración de cadenas productivas, que propicien el desarrollo de los sectores económicos del Estado.</w:t>
      </w:r>
    </w:p>
    <w:p w14:paraId="3239F5C9"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Al mes de febrero de 2026 la tasa de ocupación reflejó una participación del 1% al total nacional, presentando un decremento de 9,078 puestos de trabajo permanentes respecto a diciembre de 2025. Al mes de febrero de 2026, se tienen registrados 116,494 trabajadores asegurados en el IMSS, tal y como se muestra en los cuadros siguientes:</w:t>
      </w:r>
    </w:p>
    <w:p w14:paraId="7496EFBE" w14:textId="77777777" w:rsidR="00D7755A" w:rsidRPr="00D7755A" w:rsidRDefault="00D7755A" w:rsidP="00D7755A">
      <w:pPr>
        <w:tabs>
          <w:tab w:val="left" w:pos="284"/>
        </w:tabs>
        <w:ind w:left="284"/>
        <w:jc w:val="both"/>
        <w:rPr>
          <w:rFonts w:ascii="Arial" w:hAnsi="Arial" w:cs="Arial"/>
          <w:sz w:val="18"/>
          <w:szCs w:val="18"/>
        </w:rPr>
      </w:pPr>
    </w:p>
    <w:p w14:paraId="5D78300D" w14:textId="6AF20531"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noProof/>
          <w:sz w:val="18"/>
          <w:szCs w:val="18"/>
        </w:rPr>
        <w:drawing>
          <wp:inline distT="0" distB="0" distL="0" distR="0" wp14:anchorId="286AE6A2" wp14:editId="2847F0EA">
            <wp:extent cx="5943600" cy="4928870"/>
            <wp:effectExtent l="0" t="0" r="0" b="5080"/>
            <wp:docPr id="1839237329"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928870"/>
                    </a:xfrm>
                    <a:prstGeom prst="rect">
                      <a:avLst/>
                    </a:prstGeom>
                    <a:noFill/>
                    <a:ln>
                      <a:noFill/>
                    </a:ln>
                  </pic:spPr>
                </pic:pic>
              </a:graphicData>
            </a:graphic>
          </wp:inline>
        </w:drawing>
      </w:r>
    </w:p>
    <w:p w14:paraId="66D84F71"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De acuerdo al Directorio Estadístico Nacional de Unidades Económicas, Tlaxcala cuenta con 98,711 Unidades Económicas al mes de abril de 2026, lo que representa una participación del 1.6% del Estado en el total nacional. Al cuarto trimestre de 2025 la Población Económicamente Activa (PEA) ascendió a 699,152 personas, representando el 62.3% de la población en edad de trabajar. Del total de la PEA, el 97.1% está ocupada y el 2.9% se encuentra desocupada.</w:t>
      </w:r>
    </w:p>
    <w:p w14:paraId="136C9166" w14:textId="77777777" w:rsidR="00D7755A" w:rsidRPr="00D7755A" w:rsidRDefault="00D7755A" w:rsidP="00D7755A">
      <w:pPr>
        <w:tabs>
          <w:tab w:val="left" w:pos="284"/>
        </w:tabs>
        <w:ind w:left="284"/>
        <w:jc w:val="both"/>
        <w:rPr>
          <w:rFonts w:ascii="Arial" w:hAnsi="Arial" w:cs="Arial"/>
          <w:sz w:val="18"/>
          <w:szCs w:val="18"/>
        </w:rPr>
      </w:pPr>
    </w:p>
    <w:p w14:paraId="4712A662" w14:textId="2565C709"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noProof/>
          <w:sz w:val="18"/>
          <w:szCs w:val="18"/>
        </w:rPr>
        <w:drawing>
          <wp:inline distT="0" distB="0" distL="0" distR="0" wp14:anchorId="281E8EC6" wp14:editId="26BFC142">
            <wp:extent cx="5943600" cy="4155440"/>
            <wp:effectExtent l="0" t="0" r="0" b="0"/>
            <wp:docPr id="294276505"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155440"/>
                    </a:xfrm>
                    <a:prstGeom prst="rect">
                      <a:avLst/>
                    </a:prstGeom>
                    <a:noFill/>
                    <a:ln>
                      <a:noFill/>
                    </a:ln>
                  </pic:spPr>
                </pic:pic>
              </a:graphicData>
            </a:graphic>
          </wp:inline>
        </w:drawing>
      </w:r>
    </w:p>
    <w:p w14:paraId="3185DD83"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Los Objetivos de Desarrollo Sostenible (ODS), constituyen un llamado universal a la acción, para poner fin a la pobreza, proteger el planeta y mejorar la vida y la perspectiva de las personas en todo el mundo. El plan para alcanzar los objetivos planteados en el documento, es de 15 años. La ONU considera que se está progresando en muchos lugares, pero en general, las medidas encaminadas a lograr los propósitos todavía no avanzan a la velocidad, ni escalas necesarias. </w:t>
      </w:r>
    </w:p>
    <w:p w14:paraId="5E8FA2BD"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El año 2020 marcó el inicio de una década de acción ambiciosa a fin de alcanzar los objetivos para el 2030, por lo que en nuestro Estado consciente de la necesidad de integración en un entorno globalizado y observando los compromisos internacionales que nuestro país asumió en materia de desarrollo humano, cuidado del ambiente y responsabilidad con el planeta, hemos buscado insertar los productos tlaxcaltecas en los mercados nacional e internacional identificando las oportunidades de una economía globalizada y aprovecharlas, dado que se presentan mayores complejidades.</w:t>
      </w:r>
    </w:p>
    <w:p w14:paraId="3FD18D95"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Al cuarto trimestre de 2025, la Inversión Extranjera Directa al mes de diciembre de 2025 en el Estado de Tlaxcala fue de 319.2 millones de dólares, lo que representó un aporte del 0.23% al total nacional, tal y como se observa en el cuadro comparativo siguiente:</w:t>
      </w:r>
    </w:p>
    <w:p w14:paraId="653163D2" w14:textId="77777777" w:rsidR="00D7755A" w:rsidRDefault="00D7755A" w:rsidP="00D7755A">
      <w:pPr>
        <w:tabs>
          <w:tab w:val="left" w:pos="284"/>
        </w:tabs>
        <w:ind w:left="284"/>
        <w:jc w:val="both"/>
        <w:rPr>
          <w:rFonts w:ascii="Arial" w:hAnsi="Arial" w:cs="Arial"/>
          <w:sz w:val="18"/>
          <w:szCs w:val="18"/>
        </w:rPr>
      </w:pPr>
    </w:p>
    <w:p w14:paraId="003BFDF7" w14:textId="77777777" w:rsidR="001946F1" w:rsidRDefault="001946F1" w:rsidP="00D7755A">
      <w:pPr>
        <w:tabs>
          <w:tab w:val="left" w:pos="284"/>
        </w:tabs>
        <w:ind w:left="284"/>
        <w:jc w:val="both"/>
        <w:rPr>
          <w:rFonts w:ascii="Arial" w:hAnsi="Arial" w:cs="Arial"/>
          <w:sz w:val="18"/>
          <w:szCs w:val="18"/>
        </w:rPr>
      </w:pPr>
    </w:p>
    <w:p w14:paraId="16C9BE9B" w14:textId="77777777" w:rsidR="001946F1" w:rsidRDefault="001946F1" w:rsidP="00D7755A">
      <w:pPr>
        <w:tabs>
          <w:tab w:val="left" w:pos="284"/>
        </w:tabs>
        <w:ind w:left="284"/>
        <w:jc w:val="both"/>
        <w:rPr>
          <w:rFonts w:ascii="Arial" w:hAnsi="Arial" w:cs="Arial"/>
          <w:sz w:val="18"/>
          <w:szCs w:val="18"/>
        </w:rPr>
      </w:pPr>
    </w:p>
    <w:p w14:paraId="6616E871" w14:textId="77777777" w:rsidR="001946F1" w:rsidRDefault="001946F1" w:rsidP="00D7755A">
      <w:pPr>
        <w:tabs>
          <w:tab w:val="left" w:pos="284"/>
        </w:tabs>
        <w:ind w:left="284"/>
        <w:jc w:val="both"/>
        <w:rPr>
          <w:rFonts w:ascii="Arial" w:hAnsi="Arial" w:cs="Arial"/>
          <w:sz w:val="18"/>
          <w:szCs w:val="18"/>
        </w:rPr>
      </w:pPr>
    </w:p>
    <w:p w14:paraId="0F4D0EF2" w14:textId="77777777" w:rsidR="001946F1" w:rsidRDefault="001946F1" w:rsidP="00D7755A">
      <w:pPr>
        <w:tabs>
          <w:tab w:val="left" w:pos="284"/>
        </w:tabs>
        <w:ind w:left="284"/>
        <w:jc w:val="both"/>
        <w:rPr>
          <w:rFonts w:ascii="Arial" w:hAnsi="Arial" w:cs="Arial"/>
          <w:sz w:val="18"/>
          <w:szCs w:val="18"/>
        </w:rPr>
      </w:pPr>
    </w:p>
    <w:p w14:paraId="1890D093" w14:textId="77777777" w:rsidR="001946F1" w:rsidRDefault="001946F1" w:rsidP="00D7755A">
      <w:pPr>
        <w:tabs>
          <w:tab w:val="left" w:pos="284"/>
        </w:tabs>
        <w:ind w:left="284"/>
        <w:jc w:val="both"/>
        <w:rPr>
          <w:rFonts w:ascii="Arial" w:hAnsi="Arial" w:cs="Arial"/>
          <w:sz w:val="18"/>
          <w:szCs w:val="18"/>
        </w:rPr>
      </w:pPr>
    </w:p>
    <w:p w14:paraId="014F6F8D" w14:textId="77777777" w:rsidR="001946F1" w:rsidRPr="00D7755A" w:rsidRDefault="001946F1" w:rsidP="00D7755A">
      <w:pPr>
        <w:tabs>
          <w:tab w:val="left" w:pos="284"/>
        </w:tabs>
        <w:ind w:left="284"/>
        <w:jc w:val="both"/>
        <w:rPr>
          <w:rFonts w:ascii="Arial" w:hAnsi="Arial" w:cs="Arial"/>
          <w:sz w:val="18"/>
          <w:szCs w:val="18"/>
        </w:rPr>
      </w:pPr>
    </w:p>
    <w:p w14:paraId="32CF4F33" w14:textId="322C2F36" w:rsidR="00D7755A" w:rsidRPr="00D7755A" w:rsidRDefault="001946F1" w:rsidP="00D7755A">
      <w:pPr>
        <w:tabs>
          <w:tab w:val="left" w:pos="284"/>
        </w:tabs>
        <w:ind w:left="284"/>
        <w:jc w:val="both"/>
        <w:rPr>
          <w:rFonts w:ascii="Arial" w:hAnsi="Arial" w:cs="Arial"/>
          <w:sz w:val="18"/>
          <w:szCs w:val="18"/>
        </w:rPr>
      </w:pPr>
      <w:r w:rsidRPr="00D7755A">
        <w:rPr>
          <w:rFonts w:ascii="Arial" w:hAnsi="Arial" w:cs="Arial"/>
          <w:noProof/>
          <w:sz w:val="18"/>
          <w:szCs w:val="18"/>
        </w:rPr>
        <mc:AlternateContent>
          <mc:Choice Requires="wps">
            <w:drawing>
              <wp:anchor distT="0" distB="0" distL="114300" distR="114300" simplePos="0" relativeHeight="251663872" behindDoc="0" locked="0" layoutInCell="1" allowOverlap="1" wp14:anchorId="1363CB88" wp14:editId="61DAFD4B">
                <wp:simplePos x="0" y="0"/>
                <wp:positionH relativeFrom="column">
                  <wp:posOffset>170815</wp:posOffset>
                </wp:positionH>
                <wp:positionV relativeFrom="paragraph">
                  <wp:posOffset>2631122</wp:posOffset>
                </wp:positionV>
                <wp:extent cx="5972175" cy="71437"/>
                <wp:effectExtent l="0" t="0" r="28575" b="24130"/>
                <wp:wrapNone/>
                <wp:docPr id="735817353"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71437"/>
                        </a:xfrm>
                        <a:prstGeom prst="rect">
                          <a:avLst/>
                        </a:prstGeom>
                        <a:noFill/>
                        <a:ln w="9525">
                          <a:solidFill>
                            <a:srgbClr val="EE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F4FEF" id="Rectángulo 50" o:spid="_x0000_s1026" style="position:absolute;margin-left:13.45pt;margin-top:207.15pt;width:470.25pt;height:5.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" filled="f" strokecolor="#e00"/>
            </w:pict>
          </mc:Fallback>
        </mc:AlternateContent>
      </w:r>
      <w:r w:rsidR="00D7755A" w:rsidRPr="00D7755A">
        <w:rPr>
          <w:rFonts w:ascii="Arial" w:hAnsi="Arial" w:cs="Arial"/>
          <w:noProof/>
          <w:sz w:val="18"/>
          <w:szCs w:val="18"/>
        </w:rPr>
        <w:drawing>
          <wp:inline distT="0" distB="0" distL="0" distR="0" wp14:anchorId="37581091" wp14:editId="63673ECA">
            <wp:extent cx="5943600" cy="3209925"/>
            <wp:effectExtent l="0" t="0" r="0" b="0"/>
            <wp:docPr id="1215969439"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5418" cy="3210907"/>
                    </a:xfrm>
                    <a:prstGeom prst="rect">
                      <a:avLst/>
                    </a:prstGeom>
                    <a:noFill/>
                    <a:ln>
                      <a:noFill/>
                    </a:ln>
                  </pic:spPr>
                </pic:pic>
              </a:graphicData>
            </a:graphic>
          </wp:inline>
        </w:drawing>
      </w:r>
    </w:p>
    <w:p w14:paraId="561E1E2F" w14:textId="100530C2"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El ejercicio del gasto público es un elemento fundamental por lo que, la eficacia y la eficiencia en su ejercicio contribuirá a la identificación de posibles casos de corrupción. El Instituto Mexicano para la Competitividad A.C. elaboró el Índice de Información Presupuestal Estatal (IIPE); actual Barómetro de Información Presupuestal Estatal (BIPE), que evalúa la calidad del reporte de la información presupuestal de las 32 Entidades Federativas. </w:t>
      </w:r>
    </w:p>
    <w:p w14:paraId="22B3D1AC"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La economía del Estado es débil en relación con otras Entidades Federativas, lo que limita su capacidad de generación de ingresos de la base fiscal regional; se espera que las actividades productivas del Estado se desarrollen a la par de las nacionales durante el transcurso del ejercicio 2026. La evolución de las finanzas públicas del Estado obedece a la dinámica recaudatoria de los ingresos estatales totales y de las transferencias federales, las que a su vez son determinados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14:paraId="1EC00FFB"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En función de los factores antes mencionados, las perspectivas económicas locales en el corto plazo son moderadamente favorables, por lo que el manejo del gasto es un factor fundamental en el quehacer gubernamental, lo cual redundará en mejores condiciones económicas para el Estado y los Municipios en el mediano plazo.</w:t>
      </w:r>
    </w:p>
    <w:p w14:paraId="15F812E3"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14:paraId="68F94FCD" w14:textId="77777777" w:rsidR="00D7755A" w:rsidRPr="00D7755A" w:rsidRDefault="00D7755A" w:rsidP="00D7755A">
      <w:pPr>
        <w:tabs>
          <w:tab w:val="left" w:pos="284"/>
        </w:tabs>
        <w:ind w:left="284"/>
        <w:jc w:val="both"/>
        <w:rPr>
          <w:rFonts w:ascii="Arial" w:hAnsi="Arial" w:cs="Arial"/>
          <w:sz w:val="18"/>
          <w:szCs w:val="18"/>
        </w:rPr>
      </w:pPr>
    </w:p>
    <w:p w14:paraId="38A6180D" w14:textId="77777777" w:rsidR="00D7755A" w:rsidRPr="00D7755A" w:rsidRDefault="00D7755A" w:rsidP="00D7755A">
      <w:pPr>
        <w:tabs>
          <w:tab w:val="left" w:pos="284"/>
        </w:tabs>
        <w:ind w:left="284"/>
        <w:jc w:val="both"/>
        <w:rPr>
          <w:rFonts w:ascii="Arial" w:hAnsi="Arial" w:cs="Arial"/>
          <w:sz w:val="18"/>
          <w:szCs w:val="18"/>
        </w:rPr>
      </w:pPr>
    </w:p>
    <w:p w14:paraId="48718540" w14:textId="77777777" w:rsidR="00D7755A" w:rsidRPr="00D7755A" w:rsidRDefault="00D7755A" w:rsidP="00D7755A">
      <w:pPr>
        <w:tabs>
          <w:tab w:val="left" w:pos="284"/>
        </w:tabs>
        <w:ind w:left="284"/>
        <w:jc w:val="both"/>
        <w:rPr>
          <w:rFonts w:ascii="Arial" w:hAnsi="Arial" w:cs="Arial"/>
          <w:sz w:val="18"/>
          <w:szCs w:val="18"/>
        </w:rPr>
      </w:pPr>
    </w:p>
    <w:p w14:paraId="317547DB" w14:textId="77777777" w:rsidR="00D7755A" w:rsidRDefault="00D7755A" w:rsidP="00D7755A">
      <w:pPr>
        <w:tabs>
          <w:tab w:val="left" w:pos="284"/>
        </w:tabs>
        <w:ind w:left="284"/>
        <w:jc w:val="both"/>
        <w:rPr>
          <w:rFonts w:ascii="Arial" w:hAnsi="Arial" w:cs="Arial"/>
          <w:sz w:val="18"/>
          <w:szCs w:val="18"/>
        </w:rPr>
      </w:pPr>
    </w:p>
    <w:p w14:paraId="760F3742" w14:textId="77777777" w:rsidR="00A35925" w:rsidRDefault="00A35925" w:rsidP="00A35925">
      <w:pPr>
        <w:pStyle w:val="Texto"/>
        <w:numPr>
          <w:ilvl w:val="0"/>
          <w:numId w:val="6"/>
        </w:numPr>
        <w:tabs>
          <w:tab w:val="left" w:pos="284"/>
        </w:tabs>
        <w:spacing w:after="0" w:line="276" w:lineRule="auto"/>
        <w:rPr>
          <w:b/>
          <w:szCs w:val="18"/>
          <w:lang w:val="es-MX"/>
        </w:rPr>
      </w:pPr>
      <w:r>
        <w:rPr>
          <w:b/>
          <w:szCs w:val="18"/>
          <w:lang w:val="es-MX"/>
        </w:rPr>
        <w:lastRenderedPageBreak/>
        <w:t>Organización y Objeto Social</w:t>
      </w:r>
    </w:p>
    <w:p w14:paraId="40C7C8C7"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14:paraId="4B6E400D"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El Gobierno del Estado, a través de la Secretaría de Finanzas es la dependencia encargada de la administración de la Hacienda Pública; entre muchas de sus labores,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14:paraId="5F9C10AE" w14:textId="77777777" w:rsidR="00A35925" w:rsidRDefault="00A35925" w:rsidP="00A35925">
      <w:pPr>
        <w:pStyle w:val="Texto"/>
        <w:numPr>
          <w:ilvl w:val="0"/>
          <w:numId w:val="6"/>
        </w:numPr>
        <w:tabs>
          <w:tab w:val="left" w:pos="284"/>
        </w:tabs>
        <w:spacing w:after="0" w:line="276" w:lineRule="auto"/>
        <w:rPr>
          <w:b/>
          <w:szCs w:val="18"/>
          <w:lang w:val="es-MX"/>
        </w:rPr>
      </w:pPr>
      <w:r>
        <w:rPr>
          <w:b/>
          <w:szCs w:val="18"/>
          <w:lang w:val="es-MX"/>
        </w:rPr>
        <w:t>Bases de Preparación de los Estados Financieros</w:t>
      </w:r>
    </w:p>
    <w:p w14:paraId="0138DAE0"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14:paraId="7D3179EB"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del CONAC.</w:t>
      </w:r>
    </w:p>
    <w:p w14:paraId="6E1F3590"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14:paraId="3E56D12B"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14:paraId="0B252665" w14:textId="77777777" w:rsidR="00025D5F" w:rsidRDefault="00025D5F" w:rsidP="00A35925">
      <w:pPr>
        <w:tabs>
          <w:tab w:val="left" w:pos="284"/>
        </w:tabs>
        <w:ind w:left="284"/>
        <w:jc w:val="both"/>
        <w:rPr>
          <w:rFonts w:ascii="Arial" w:hAnsi="Arial" w:cs="Arial"/>
          <w:sz w:val="18"/>
          <w:szCs w:val="18"/>
        </w:rPr>
      </w:pPr>
    </w:p>
    <w:p w14:paraId="23A34234" w14:textId="77777777" w:rsidR="00A35925" w:rsidRPr="00FB4A59" w:rsidRDefault="00A35925" w:rsidP="00A35925">
      <w:pPr>
        <w:pStyle w:val="Texto"/>
        <w:numPr>
          <w:ilvl w:val="0"/>
          <w:numId w:val="6"/>
        </w:numPr>
        <w:tabs>
          <w:tab w:val="left" w:pos="284"/>
        </w:tabs>
        <w:spacing w:after="0" w:line="276" w:lineRule="auto"/>
        <w:rPr>
          <w:b/>
          <w:szCs w:val="18"/>
          <w:lang w:val="es-MX"/>
        </w:rPr>
      </w:pPr>
      <w:r w:rsidRPr="00FB4A59">
        <w:rPr>
          <w:b/>
          <w:szCs w:val="18"/>
          <w:lang w:val="es-MX"/>
        </w:rPr>
        <w:lastRenderedPageBreak/>
        <w:t>Políticas de Contabilidad Significativas</w:t>
      </w:r>
    </w:p>
    <w:p w14:paraId="492F87BA"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14:paraId="3F76C54F"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Los registros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 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 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 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p>
    <w:p w14:paraId="4A7C4044" w14:textId="77777777" w:rsidR="00A35925" w:rsidRPr="003A3004" w:rsidRDefault="00A35925" w:rsidP="00A35925">
      <w:pPr>
        <w:pStyle w:val="Prrafodelista"/>
        <w:numPr>
          <w:ilvl w:val="0"/>
          <w:numId w:val="6"/>
        </w:numPr>
        <w:tabs>
          <w:tab w:val="left" w:pos="284"/>
        </w:tabs>
        <w:jc w:val="both"/>
        <w:rPr>
          <w:rFonts w:ascii="Arial" w:eastAsia="Times New Roman" w:hAnsi="Arial" w:cs="Arial"/>
          <w:b/>
          <w:sz w:val="18"/>
          <w:szCs w:val="18"/>
          <w:lang w:eastAsia="es-ES"/>
        </w:rPr>
      </w:pPr>
      <w:r w:rsidRPr="003A3004">
        <w:rPr>
          <w:rFonts w:ascii="Arial" w:eastAsia="Times New Roman" w:hAnsi="Arial" w:cs="Arial"/>
          <w:b/>
          <w:sz w:val="18"/>
          <w:szCs w:val="18"/>
          <w:lang w:eastAsia="es-ES"/>
        </w:rPr>
        <w:t>Posición en Moneda Extranjera y Protección por Riesgo Cambiario</w:t>
      </w:r>
    </w:p>
    <w:p w14:paraId="1BBA3F01" w14:textId="1B722B36" w:rsidR="00A35925" w:rsidRPr="00C733C0" w:rsidRDefault="00A35925" w:rsidP="00A35925">
      <w:pPr>
        <w:tabs>
          <w:tab w:val="left" w:pos="284"/>
        </w:tabs>
        <w:ind w:left="288"/>
        <w:jc w:val="both"/>
        <w:rPr>
          <w:rFonts w:ascii="Arial" w:hAnsi="Arial" w:cs="Arial"/>
          <w:sz w:val="18"/>
          <w:szCs w:val="18"/>
        </w:rPr>
      </w:pPr>
      <w:r w:rsidRPr="00C733C0">
        <w:rPr>
          <w:rFonts w:ascii="Arial" w:hAnsi="Arial" w:cs="Arial"/>
          <w:sz w:val="18"/>
          <w:szCs w:val="18"/>
        </w:rPr>
        <w:t xml:space="preserve">Se informa que al </w:t>
      </w:r>
      <w:r>
        <w:rPr>
          <w:rFonts w:ascii="Arial" w:hAnsi="Arial" w:cs="Arial"/>
          <w:sz w:val="18"/>
          <w:szCs w:val="18"/>
        </w:rPr>
        <w:t>31 de marzo d</w:t>
      </w:r>
      <w:r w:rsidRPr="00C733C0">
        <w:rPr>
          <w:rFonts w:ascii="Arial" w:hAnsi="Arial" w:cs="Arial"/>
          <w:sz w:val="18"/>
          <w:szCs w:val="18"/>
        </w:rPr>
        <w:t>el ejercicio 202</w:t>
      </w:r>
      <w:r w:rsidR="00025D5F">
        <w:rPr>
          <w:rFonts w:ascii="Arial" w:hAnsi="Arial" w:cs="Arial"/>
          <w:sz w:val="18"/>
          <w:szCs w:val="18"/>
        </w:rPr>
        <w:t>6</w:t>
      </w:r>
      <w:r w:rsidRPr="00C733C0">
        <w:rPr>
          <w:rFonts w:ascii="Arial" w:hAnsi="Arial" w:cs="Arial"/>
          <w:sz w:val="18"/>
          <w:szCs w:val="18"/>
        </w:rPr>
        <w:t xml:space="preserve">, el Poder Ejecutivo </w:t>
      </w:r>
      <w:r>
        <w:rPr>
          <w:rFonts w:ascii="Arial" w:hAnsi="Arial" w:cs="Arial"/>
          <w:sz w:val="18"/>
          <w:szCs w:val="18"/>
        </w:rPr>
        <w:t>no</w:t>
      </w:r>
      <w:r w:rsidRPr="00C733C0">
        <w:rPr>
          <w:rFonts w:ascii="Arial" w:hAnsi="Arial" w:cs="Arial"/>
          <w:sz w:val="18"/>
          <w:szCs w:val="18"/>
        </w:rPr>
        <w:t xml:space="preserve"> tiene activos o pasivos en moneda extranjera</w:t>
      </w:r>
      <w:r>
        <w:rPr>
          <w:rFonts w:ascii="Arial" w:hAnsi="Arial" w:cs="Arial"/>
          <w:sz w:val="18"/>
          <w:szCs w:val="18"/>
        </w:rPr>
        <w:t>.</w:t>
      </w:r>
    </w:p>
    <w:p w14:paraId="530FDC15" w14:textId="77777777" w:rsidR="00A35925" w:rsidRPr="003A3004" w:rsidRDefault="00A35925" w:rsidP="00A35925">
      <w:pPr>
        <w:pStyle w:val="Prrafodelista"/>
        <w:numPr>
          <w:ilvl w:val="0"/>
          <w:numId w:val="6"/>
        </w:numPr>
        <w:tabs>
          <w:tab w:val="left" w:pos="284"/>
        </w:tabs>
        <w:jc w:val="both"/>
        <w:rPr>
          <w:rFonts w:ascii="Arial" w:eastAsia="Times New Roman" w:hAnsi="Arial" w:cs="Arial"/>
          <w:b/>
          <w:sz w:val="18"/>
          <w:szCs w:val="18"/>
          <w:lang w:eastAsia="es-ES"/>
        </w:rPr>
      </w:pPr>
      <w:r w:rsidRPr="003A3004">
        <w:rPr>
          <w:rFonts w:ascii="Arial" w:eastAsia="Times New Roman" w:hAnsi="Arial" w:cs="Arial"/>
          <w:b/>
          <w:sz w:val="18"/>
          <w:szCs w:val="18"/>
          <w:lang w:eastAsia="es-ES"/>
        </w:rPr>
        <w:t>Reporte Analítico del Activo</w:t>
      </w:r>
    </w:p>
    <w:p w14:paraId="227AFFDA" w14:textId="22F063A1" w:rsidR="00A35925" w:rsidRPr="001A2210" w:rsidRDefault="00A35925" w:rsidP="00A35925">
      <w:pPr>
        <w:tabs>
          <w:tab w:val="left" w:pos="284"/>
        </w:tabs>
        <w:ind w:left="284"/>
        <w:jc w:val="both"/>
        <w:rPr>
          <w:rFonts w:ascii="Arial" w:hAnsi="Arial" w:cs="Arial"/>
          <w:sz w:val="18"/>
          <w:szCs w:val="18"/>
        </w:rPr>
      </w:pPr>
      <w:r w:rsidRPr="001A2210">
        <w:rPr>
          <w:rFonts w:ascii="Arial" w:hAnsi="Arial" w:cs="Arial"/>
          <w:sz w:val="18"/>
          <w:szCs w:val="18"/>
        </w:rPr>
        <w:t xml:space="preserve">Al </w:t>
      </w:r>
      <w:r>
        <w:rPr>
          <w:rFonts w:ascii="Arial" w:hAnsi="Arial" w:cs="Arial"/>
          <w:sz w:val="18"/>
          <w:szCs w:val="18"/>
        </w:rPr>
        <w:t>31 de marzo d</w:t>
      </w:r>
      <w:r w:rsidRPr="00C733C0">
        <w:rPr>
          <w:rFonts w:ascii="Arial" w:hAnsi="Arial" w:cs="Arial"/>
          <w:sz w:val="18"/>
          <w:szCs w:val="18"/>
        </w:rPr>
        <w:t>el ejercicio 202</w:t>
      </w:r>
      <w:r w:rsidR="001418E7">
        <w:rPr>
          <w:rFonts w:ascii="Arial" w:hAnsi="Arial" w:cs="Arial"/>
          <w:sz w:val="18"/>
          <w:szCs w:val="18"/>
        </w:rPr>
        <w:t>5</w:t>
      </w:r>
      <w:r w:rsidRPr="001A2210">
        <w:rPr>
          <w:rFonts w:ascii="Arial" w:hAnsi="Arial" w:cs="Arial"/>
          <w:sz w:val="18"/>
          <w:szCs w:val="18"/>
        </w:rPr>
        <w:t>, el saldo reflejado en la cuenta de bienes muebles es de $</w:t>
      </w:r>
      <w:r w:rsidRPr="008736CF">
        <w:rPr>
          <w:rFonts w:ascii="Arial" w:hAnsi="Arial" w:cs="Arial"/>
          <w:sz w:val="18"/>
          <w:szCs w:val="18"/>
        </w:rPr>
        <w:t>3</w:t>
      </w:r>
      <w:r>
        <w:rPr>
          <w:rFonts w:ascii="Arial" w:hAnsi="Arial" w:cs="Arial"/>
          <w:sz w:val="18"/>
          <w:szCs w:val="18"/>
        </w:rPr>
        <w:t>,</w:t>
      </w:r>
      <w:r w:rsidRPr="008736CF">
        <w:rPr>
          <w:rFonts w:ascii="Arial" w:hAnsi="Arial" w:cs="Arial"/>
          <w:sz w:val="18"/>
          <w:szCs w:val="18"/>
        </w:rPr>
        <w:t>536</w:t>
      </w:r>
      <w:r>
        <w:rPr>
          <w:rFonts w:ascii="Arial" w:hAnsi="Arial" w:cs="Arial"/>
          <w:sz w:val="18"/>
          <w:szCs w:val="18"/>
        </w:rPr>
        <w:t>,</w:t>
      </w:r>
      <w:r w:rsidRPr="008736CF">
        <w:rPr>
          <w:rFonts w:ascii="Arial" w:hAnsi="Arial" w:cs="Arial"/>
          <w:sz w:val="18"/>
          <w:szCs w:val="18"/>
        </w:rPr>
        <w:t>942</w:t>
      </w:r>
      <w:r>
        <w:rPr>
          <w:rFonts w:ascii="Arial" w:hAnsi="Arial" w:cs="Arial"/>
          <w:sz w:val="18"/>
          <w:szCs w:val="18"/>
        </w:rPr>
        <w:t>,</w:t>
      </w:r>
      <w:r w:rsidRPr="008736CF">
        <w:rPr>
          <w:rFonts w:ascii="Arial" w:hAnsi="Arial" w:cs="Arial"/>
          <w:sz w:val="18"/>
          <w:szCs w:val="18"/>
        </w:rPr>
        <w:t>630</w:t>
      </w:r>
      <w:r w:rsidRPr="001A2210">
        <w:rPr>
          <w:rFonts w:ascii="Arial" w:hAnsi="Arial" w:cs="Arial"/>
          <w:sz w:val="18"/>
          <w:szCs w:val="18"/>
        </w:rPr>
        <w:t>, integrado por mobiliario y equipo de administración; instrumental médico y de laboratorio; equipo de transporte; equipo de defensa y seguridad; maquinaria y equipo agropecuario necesarios</w:t>
      </w:r>
      <w:r>
        <w:rPr>
          <w:rFonts w:ascii="Arial" w:hAnsi="Arial" w:cs="Arial"/>
          <w:sz w:val="18"/>
          <w:szCs w:val="18"/>
        </w:rPr>
        <w:t xml:space="preserve"> y </w:t>
      </w:r>
      <w:r w:rsidRPr="00F619D6">
        <w:rPr>
          <w:rFonts w:ascii="Arial" w:hAnsi="Arial" w:cs="Arial"/>
          <w:sz w:val="18"/>
          <w:szCs w:val="18"/>
        </w:rPr>
        <w:t>la cuenta de bienes inmuebles es de $</w:t>
      </w:r>
      <w:r w:rsidRPr="003A3004">
        <w:rPr>
          <w:rFonts w:ascii="Arial" w:hAnsi="Arial" w:cs="Arial"/>
          <w:sz w:val="18"/>
          <w:szCs w:val="18"/>
        </w:rPr>
        <w:t>11</w:t>
      </w:r>
      <w:r>
        <w:rPr>
          <w:rFonts w:ascii="Arial" w:hAnsi="Arial" w:cs="Arial"/>
          <w:sz w:val="18"/>
          <w:szCs w:val="18"/>
        </w:rPr>
        <w:t>,</w:t>
      </w:r>
      <w:r w:rsidRPr="003A3004">
        <w:rPr>
          <w:rFonts w:ascii="Arial" w:hAnsi="Arial" w:cs="Arial"/>
          <w:sz w:val="18"/>
          <w:szCs w:val="18"/>
        </w:rPr>
        <w:t>006</w:t>
      </w:r>
      <w:r>
        <w:rPr>
          <w:rFonts w:ascii="Arial" w:hAnsi="Arial" w:cs="Arial"/>
          <w:sz w:val="18"/>
          <w:szCs w:val="18"/>
        </w:rPr>
        <w:t>,</w:t>
      </w:r>
      <w:r w:rsidRPr="003A3004">
        <w:rPr>
          <w:rFonts w:ascii="Arial" w:hAnsi="Arial" w:cs="Arial"/>
          <w:sz w:val="18"/>
          <w:szCs w:val="18"/>
        </w:rPr>
        <w:t>896</w:t>
      </w:r>
      <w:r>
        <w:rPr>
          <w:rFonts w:ascii="Arial" w:hAnsi="Arial" w:cs="Arial"/>
          <w:sz w:val="18"/>
          <w:szCs w:val="18"/>
        </w:rPr>
        <w:t>,</w:t>
      </w:r>
      <w:r w:rsidRPr="003A3004">
        <w:rPr>
          <w:rFonts w:ascii="Arial" w:hAnsi="Arial" w:cs="Arial"/>
          <w:sz w:val="18"/>
          <w:szCs w:val="18"/>
        </w:rPr>
        <w:t>175</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w:t>
      </w:r>
      <w:r>
        <w:rPr>
          <w:rFonts w:ascii="Arial" w:hAnsi="Arial" w:cs="Arial"/>
          <w:sz w:val="18"/>
          <w:szCs w:val="18"/>
        </w:rPr>
        <w:t>l</w:t>
      </w:r>
      <w:r w:rsidRPr="0073056A">
        <w:rPr>
          <w:rFonts w:ascii="Arial" w:hAnsi="Arial" w:cs="Arial"/>
          <w:sz w:val="18"/>
          <w:szCs w:val="18"/>
        </w:rPr>
        <w:t xml:space="preserve"> </w:t>
      </w:r>
      <w:r>
        <w:rPr>
          <w:rFonts w:ascii="Arial" w:hAnsi="Arial" w:cs="Arial"/>
          <w:sz w:val="18"/>
          <w:szCs w:val="18"/>
        </w:rPr>
        <w:t>ente</w:t>
      </w:r>
      <w:r w:rsidRPr="0073056A">
        <w:rPr>
          <w:rFonts w:ascii="Arial" w:hAnsi="Arial" w:cs="Arial"/>
          <w:sz w:val="18"/>
          <w:szCs w:val="18"/>
        </w:rPr>
        <w:t xml:space="preserve"> público</w:t>
      </w:r>
      <w:r w:rsidRPr="001A2210">
        <w:rPr>
          <w:rFonts w:ascii="Arial" w:hAnsi="Arial" w:cs="Arial"/>
          <w:sz w:val="18"/>
          <w:szCs w:val="18"/>
        </w:rPr>
        <w:t xml:space="preserve"> para el desarrollo de las funci</w:t>
      </w:r>
      <w:r>
        <w:rPr>
          <w:rFonts w:ascii="Arial" w:hAnsi="Arial" w:cs="Arial"/>
          <w:sz w:val="18"/>
          <w:szCs w:val="18"/>
        </w:rPr>
        <w:t>ones de derecho público.</w:t>
      </w:r>
    </w:p>
    <w:p w14:paraId="63B60916" w14:textId="77777777" w:rsidR="00A35925" w:rsidRPr="003A3004" w:rsidRDefault="00A35925" w:rsidP="00A35925">
      <w:pPr>
        <w:pStyle w:val="Prrafodelista"/>
        <w:numPr>
          <w:ilvl w:val="0"/>
          <w:numId w:val="6"/>
        </w:numPr>
        <w:tabs>
          <w:tab w:val="left" w:pos="284"/>
        </w:tabs>
        <w:jc w:val="both"/>
        <w:rPr>
          <w:rFonts w:ascii="Arial" w:eastAsia="Times New Roman" w:hAnsi="Arial" w:cs="Arial"/>
          <w:b/>
          <w:sz w:val="18"/>
          <w:szCs w:val="18"/>
          <w:lang w:eastAsia="es-ES"/>
        </w:rPr>
      </w:pPr>
      <w:r w:rsidRPr="003A3004">
        <w:rPr>
          <w:rFonts w:ascii="Arial" w:eastAsia="Times New Roman" w:hAnsi="Arial" w:cs="Arial"/>
          <w:b/>
          <w:sz w:val="18"/>
          <w:szCs w:val="18"/>
          <w:lang w:eastAsia="es-ES"/>
        </w:rPr>
        <w:t>Fideicomisos, Mandatos y Análogos</w:t>
      </w:r>
    </w:p>
    <w:p w14:paraId="5987885A" w14:textId="34E186A8" w:rsidR="00A35925" w:rsidRPr="001A2210" w:rsidRDefault="00A35925" w:rsidP="00A35925">
      <w:pPr>
        <w:tabs>
          <w:tab w:val="left" w:pos="284"/>
        </w:tabs>
        <w:ind w:left="284"/>
        <w:jc w:val="both"/>
        <w:rPr>
          <w:rFonts w:ascii="Arial" w:eastAsia="Times New Roman" w:hAnsi="Arial" w:cs="Arial"/>
          <w:b/>
          <w:sz w:val="18"/>
          <w:szCs w:val="18"/>
          <w:lang w:eastAsia="es-ES"/>
        </w:rPr>
      </w:pPr>
      <w:r>
        <w:rPr>
          <w:rFonts w:ascii="Arial" w:hAnsi="Arial" w:cs="Arial"/>
          <w:sz w:val="18"/>
          <w:szCs w:val="18"/>
        </w:rPr>
        <w:t>Al 31 de marzo d</w:t>
      </w:r>
      <w:r w:rsidRPr="00C733C0">
        <w:rPr>
          <w:rFonts w:ascii="Arial" w:hAnsi="Arial" w:cs="Arial"/>
          <w:sz w:val="18"/>
          <w:szCs w:val="18"/>
        </w:rPr>
        <w:t>el ejercicio 202</w:t>
      </w:r>
      <w:r w:rsidR="001418E7">
        <w:rPr>
          <w:rFonts w:ascii="Arial" w:hAnsi="Arial" w:cs="Arial"/>
          <w:sz w:val="18"/>
          <w:szCs w:val="18"/>
        </w:rPr>
        <w:t>5</w:t>
      </w:r>
      <w:r>
        <w:rPr>
          <w:rFonts w:ascii="Arial" w:hAnsi="Arial" w:cs="Arial"/>
          <w:sz w:val="18"/>
          <w:szCs w:val="18"/>
        </w:rPr>
        <w:t xml:space="preserve"> el Poder Ejecutivo cuenta con Inversiones en Fideicomisos sin estructura orgánica por un importe de $</w:t>
      </w:r>
      <w:r w:rsidR="00B27AB3">
        <w:rPr>
          <w:rFonts w:ascii="Arial" w:hAnsi="Arial" w:cs="Arial"/>
          <w:sz w:val="18"/>
          <w:szCs w:val="18"/>
        </w:rPr>
        <w:t>593</w:t>
      </w:r>
      <w:r>
        <w:rPr>
          <w:rFonts w:ascii="Arial" w:hAnsi="Arial" w:cs="Arial"/>
          <w:sz w:val="18"/>
          <w:szCs w:val="18"/>
        </w:rPr>
        <w:t>,</w:t>
      </w:r>
      <w:r w:rsidR="00B27AB3">
        <w:rPr>
          <w:rFonts w:ascii="Arial" w:hAnsi="Arial" w:cs="Arial"/>
          <w:sz w:val="18"/>
          <w:szCs w:val="18"/>
        </w:rPr>
        <w:t>006</w:t>
      </w:r>
      <w:r>
        <w:rPr>
          <w:rFonts w:ascii="Arial" w:hAnsi="Arial" w:cs="Arial"/>
          <w:sz w:val="18"/>
          <w:szCs w:val="18"/>
        </w:rPr>
        <w:t>,</w:t>
      </w:r>
      <w:r w:rsidR="00B27AB3">
        <w:rPr>
          <w:rFonts w:ascii="Arial" w:hAnsi="Arial" w:cs="Arial"/>
          <w:sz w:val="18"/>
          <w:szCs w:val="18"/>
        </w:rPr>
        <w:t>853</w:t>
      </w:r>
      <w:r>
        <w:rPr>
          <w:rFonts w:ascii="Arial" w:hAnsi="Arial" w:cs="Arial"/>
          <w:sz w:val="18"/>
          <w:szCs w:val="18"/>
        </w:rPr>
        <w:t>.</w:t>
      </w:r>
    </w:p>
    <w:p w14:paraId="3F86CC19" w14:textId="77777777" w:rsidR="00A35925" w:rsidRPr="00EC084F" w:rsidRDefault="00A35925" w:rsidP="00A35925">
      <w:pPr>
        <w:pStyle w:val="Prrafodelista"/>
        <w:numPr>
          <w:ilvl w:val="0"/>
          <w:numId w:val="6"/>
        </w:numPr>
        <w:tabs>
          <w:tab w:val="left" w:pos="284"/>
        </w:tabs>
        <w:jc w:val="both"/>
        <w:rPr>
          <w:rFonts w:ascii="Arial" w:eastAsia="Times New Roman" w:hAnsi="Arial" w:cs="Arial"/>
          <w:b/>
          <w:sz w:val="18"/>
          <w:szCs w:val="18"/>
          <w:lang w:eastAsia="es-ES"/>
        </w:rPr>
      </w:pPr>
      <w:r w:rsidRPr="00EC084F">
        <w:rPr>
          <w:rFonts w:ascii="Arial" w:eastAsia="Times New Roman" w:hAnsi="Arial" w:cs="Arial"/>
          <w:b/>
          <w:sz w:val="18"/>
          <w:szCs w:val="18"/>
          <w:lang w:eastAsia="es-ES"/>
        </w:rPr>
        <w:t>Reporte de la Recaudación</w:t>
      </w:r>
    </w:p>
    <w:p w14:paraId="3150A809" w14:textId="77777777" w:rsidR="00A35925" w:rsidRPr="006149C2" w:rsidRDefault="00A35925" w:rsidP="00A35925">
      <w:pPr>
        <w:pStyle w:val="Prrafodelista"/>
        <w:numPr>
          <w:ilvl w:val="0"/>
          <w:numId w:val="16"/>
        </w:numPr>
        <w:tabs>
          <w:tab w:val="left" w:pos="284"/>
        </w:tabs>
        <w:jc w:val="both"/>
        <w:rPr>
          <w:rFonts w:ascii="Arial" w:eastAsia="Times New Roman" w:hAnsi="Arial" w:cs="Arial"/>
          <w:sz w:val="18"/>
          <w:szCs w:val="18"/>
          <w:lang w:eastAsia="es-ES"/>
        </w:rPr>
      </w:pPr>
      <w:r w:rsidRPr="006149C2">
        <w:rPr>
          <w:rFonts w:ascii="Arial" w:eastAsia="Times New Roman" w:hAnsi="Arial" w:cs="Arial"/>
          <w:sz w:val="18"/>
          <w:szCs w:val="18"/>
          <w:lang w:eastAsia="es-ES"/>
        </w:rPr>
        <w:t>Análisis del comportamiento de la recaudación:</w:t>
      </w:r>
    </w:p>
    <w:p w14:paraId="7E4B29A6" w14:textId="75998FAF" w:rsidR="00A35925" w:rsidRPr="00C531C9" w:rsidRDefault="00A35925" w:rsidP="00A35925">
      <w:pPr>
        <w:tabs>
          <w:tab w:val="left" w:pos="284"/>
        </w:tabs>
        <w:ind w:left="288"/>
        <w:jc w:val="both"/>
        <w:rPr>
          <w:rFonts w:ascii="Arial" w:eastAsia="Times New Roman" w:hAnsi="Arial" w:cs="Arial"/>
          <w:sz w:val="18"/>
          <w:szCs w:val="18"/>
          <w:lang w:eastAsia="es-ES"/>
        </w:rPr>
      </w:pPr>
      <w:r w:rsidRPr="00C531C9">
        <w:rPr>
          <w:rFonts w:ascii="Arial" w:eastAsia="Times New Roman" w:hAnsi="Arial" w:cs="Arial"/>
          <w:sz w:val="18"/>
          <w:szCs w:val="18"/>
          <w:lang w:eastAsia="es-ES"/>
        </w:rPr>
        <w:t>Al primer trimestre del ejercicio fiscal 202</w:t>
      </w:r>
      <w:r w:rsidR="00B27AB3" w:rsidRPr="00C531C9">
        <w:rPr>
          <w:rFonts w:ascii="Arial" w:eastAsia="Times New Roman" w:hAnsi="Arial" w:cs="Arial"/>
          <w:sz w:val="18"/>
          <w:szCs w:val="18"/>
          <w:lang w:eastAsia="es-ES"/>
        </w:rPr>
        <w:t>6</w:t>
      </w:r>
      <w:r w:rsidRPr="00C531C9">
        <w:rPr>
          <w:rFonts w:ascii="Arial" w:eastAsia="Times New Roman" w:hAnsi="Arial" w:cs="Arial"/>
          <w:sz w:val="18"/>
          <w:szCs w:val="18"/>
          <w:lang w:eastAsia="es-ES"/>
        </w:rPr>
        <w:t xml:space="preserve">, los ingresos por fuentes locales, que son recaudados por el Estado, presentan un comportamiento favorable, ya que la Ley de Ingresos para el Estado de Tlaxcala presentó cifras aprobadas por un monto de </w:t>
      </w:r>
      <w:r w:rsidR="00C531C9" w:rsidRPr="00C531C9">
        <w:rPr>
          <w:rFonts w:ascii="Arial" w:eastAsia="Times New Roman" w:hAnsi="Arial" w:cs="Arial"/>
          <w:sz w:val="18"/>
          <w:szCs w:val="18"/>
          <w:lang w:eastAsia="es-ES"/>
        </w:rPr>
        <w:t>600,443,719</w:t>
      </w:r>
      <w:r w:rsidRPr="00C531C9">
        <w:rPr>
          <w:rFonts w:ascii="Arial" w:eastAsia="Times New Roman" w:hAnsi="Arial" w:cs="Arial"/>
          <w:sz w:val="18"/>
          <w:szCs w:val="18"/>
          <w:lang w:eastAsia="es-ES"/>
        </w:rPr>
        <w:t xml:space="preserve"> y al primer trimestre se recaudó un monto de </w:t>
      </w:r>
      <w:r w:rsidR="00C531C9" w:rsidRPr="00C531C9">
        <w:rPr>
          <w:rFonts w:ascii="Arial" w:eastAsia="Times New Roman" w:hAnsi="Arial" w:cs="Arial"/>
          <w:sz w:val="18"/>
          <w:szCs w:val="18"/>
          <w:lang w:eastAsia="es-ES"/>
        </w:rPr>
        <w:t>717</w:t>
      </w:r>
      <w:r w:rsidRPr="00C531C9">
        <w:rPr>
          <w:rFonts w:ascii="Arial" w:eastAsia="Times New Roman" w:hAnsi="Arial" w:cs="Arial"/>
          <w:sz w:val="18"/>
          <w:szCs w:val="18"/>
          <w:lang w:eastAsia="es-ES"/>
        </w:rPr>
        <w:t>,</w:t>
      </w:r>
      <w:r w:rsidR="00C531C9" w:rsidRPr="00C531C9">
        <w:rPr>
          <w:rFonts w:ascii="Arial" w:eastAsia="Times New Roman" w:hAnsi="Arial" w:cs="Arial"/>
          <w:sz w:val="18"/>
          <w:szCs w:val="18"/>
          <w:lang w:eastAsia="es-ES"/>
        </w:rPr>
        <w:t>385,552</w:t>
      </w:r>
      <w:r w:rsidRPr="00C531C9">
        <w:rPr>
          <w:rFonts w:ascii="Arial" w:eastAsia="Times New Roman" w:hAnsi="Arial" w:cs="Arial"/>
          <w:sz w:val="18"/>
          <w:szCs w:val="18"/>
          <w:lang w:eastAsia="es-ES"/>
        </w:rPr>
        <w:t xml:space="preserve"> que representa un monto de </w:t>
      </w:r>
      <w:r w:rsidR="00C531C9" w:rsidRPr="00C531C9">
        <w:rPr>
          <w:rFonts w:ascii="Arial" w:eastAsia="Times New Roman" w:hAnsi="Arial" w:cs="Arial"/>
          <w:sz w:val="18"/>
          <w:szCs w:val="18"/>
          <w:lang w:eastAsia="es-ES"/>
        </w:rPr>
        <w:t>116</w:t>
      </w:r>
      <w:r w:rsidRPr="00C531C9">
        <w:rPr>
          <w:rFonts w:ascii="Arial" w:eastAsia="Times New Roman" w:hAnsi="Arial" w:cs="Arial"/>
          <w:sz w:val="18"/>
          <w:szCs w:val="18"/>
          <w:lang w:eastAsia="es-ES"/>
        </w:rPr>
        <w:t>,</w:t>
      </w:r>
      <w:r w:rsidR="00C531C9" w:rsidRPr="00C531C9">
        <w:rPr>
          <w:rFonts w:ascii="Arial" w:eastAsia="Times New Roman" w:hAnsi="Arial" w:cs="Arial"/>
          <w:sz w:val="18"/>
          <w:szCs w:val="18"/>
          <w:lang w:eastAsia="es-ES"/>
        </w:rPr>
        <w:t>941</w:t>
      </w:r>
      <w:r w:rsidRPr="00C531C9">
        <w:rPr>
          <w:rFonts w:ascii="Arial" w:eastAsia="Times New Roman" w:hAnsi="Arial" w:cs="Arial"/>
          <w:sz w:val="18"/>
          <w:szCs w:val="18"/>
          <w:lang w:eastAsia="es-ES"/>
        </w:rPr>
        <w:t>,</w:t>
      </w:r>
      <w:r w:rsidR="00C531C9" w:rsidRPr="00C531C9">
        <w:rPr>
          <w:rFonts w:ascii="Arial" w:eastAsia="Times New Roman" w:hAnsi="Arial" w:cs="Arial"/>
          <w:sz w:val="18"/>
          <w:szCs w:val="18"/>
          <w:lang w:eastAsia="es-ES"/>
        </w:rPr>
        <w:t>833</w:t>
      </w:r>
      <w:r w:rsidRPr="00C531C9">
        <w:rPr>
          <w:rFonts w:ascii="Arial" w:eastAsia="Times New Roman" w:hAnsi="Arial" w:cs="Arial"/>
          <w:sz w:val="18"/>
          <w:szCs w:val="18"/>
          <w:lang w:eastAsia="es-ES"/>
        </w:rPr>
        <w:t xml:space="preserve"> con un crecimiento de </w:t>
      </w:r>
      <w:r w:rsidR="00C531C9" w:rsidRPr="00C531C9">
        <w:rPr>
          <w:rFonts w:ascii="Arial" w:eastAsia="Times New Roman" w:hAnsi="Arial" w:cs="Arial"/>
          <w:sz w:val="18"/>
          <w:szCs w:val="18"/>
          <w:lang w:eastAsia="es-ES"/>
        </w:rPr>
        <w:t>19</w:t>
      </w:r>
      <w:r w:rsidRPr="00C531C9">
        <w:rPr>
          <w:rFonts w:ascii="Arial" w:eastAsia="Times New Roman" w:hAnsi="Arial" w:cs="Arial"/>
          <w:sz w:val="18"/>
          <w:szCs w:val="18"/>
          <w:lang w:eastAsia="es-ES"/>
        </w:rPr>
        <w:t>.</w:t>
      </w:r>
      <w:r w:rsidR="00C531C9" w:rsidRPr="00C531C9">
        <w:rPr>
          <w:rFonts w:ascii="Arial" w:eastAsia="Times New Roman" w:hAnsi="Arial" w:cs="Arial"/>
          <w:sz w:val="18"/>
          <w:szCs w:val="18"/>
          <w:lang w:eastAsia="es-ES"/>
        </w:rPr>
        <w:t>48</w:t>
      </w:r>
      <w:r w:rsidRPr="00C531C9">
        <w:rPr>
          <w:rFonts w:ascii="Arial" w:eastAsia="Times New Roman" w:hAnsi="Arial" w:cs="Arial"/>
          <w:sz w:val="18"/>
          <w:szCs w:val="18"/>
          <w:lang w:eastAsia="es-ES"/>
        </w:rPr>
        <w:t>%.</w:t>
      </w:r>
    </w:p>
    <w:p w14:paraId="2489B0FB" w14:textId="77777777" w:rsidR="00A35925" w:rsidRPr="00C531C9" w:rsidRDefault="00A35925" w:rsidP="00A35925">
      <w:pPr>
        <w:pStyle w:val="Prrafodelista"/>
        <w:numPr>
          <w:ilvl w:val="0"/>
          <w:numId w:val="16"/>
        </w:numPr>
        <w:tabs>
          <w:tab w:val="left" w:pos="284"/>
        </w:tabs>
        <w:jc w:val="both"/>
        <w:rPr>
          <w:rFonts w:ascii="Arial" w:eastAsia="Times New Roman" w:hAnsi="Arial" w:cs="Arial"/>
          <w:sz w:val="18"/>
          <w:szCs w:val="18"/>
          <w:lang w:eastAsia="es-ES"/>
        </w:rPr>
      </w:pPr>
      <w:r w:rsidRPr="00C531C9">
        <w:rPr>
          <w:rFonts w:ascii="Arial" w:eastAsia="Times New Roman" w:hAnsi="Arial" w:cs="Arial"/>
          <w:sz w:val="18"/>
          <w:szCs w:val="18"/>
          <w:lang w:eastAsia="es-ES"/>
        </w:rPr>
        <w:t>Proyección de la recaudación e ingresos en el mediano plazo</w:t>
      </w:r>
    </w:p>
    <w:p w14:paraId="51574168" w14:textId="3697E793" w:rsidR="00A35925" w:rsidRDefault="00A35925" w:rsidP="00A35925">
      <w:pPr>
        <w:tabs>
          <w:tab w:val="left" w:pos="284"/>
        </w:tabs>
        <w:ind w:left="284"/>
        <w:jc w:val="both"/>
        <w:rPr>
          <w:rFonts w:ascii="Arial" w:eastAsia="Times New Roman" w:hAnsi="Arial" w:cs="Arial"/>
          <w:sz w:val="18"/>
          <w:szCs w:val="18"/>
          <w:lang w:eastAsia="es-ES"/>
        </w:rPr>
      </w:pPr>
      <w:r w:rsidRPr="00C531C9">
        <w:rPr>
          <w:rFonts w:ascii="Arial" w:eastAsia="Times New Roman" w:hAnsi="Arial" w:cs="Arial"/>
          <w:sz w:val="18"/>
          <w:szCs w:val="18"/>
          <w:lang w:eastAsia="es-ES"/>
        </w:rPr>
        <w:t>Para el ejercicio fiscal 202</w:t>
      </w:r>
      <w:r w:rsidR="00C531C9" w:rsidRPr="00C531C9">
        <w:rPr>
          <w:rFonts w:ascii="Arial" w:eastAsia="Times New Roman" w:hAnsi="Arial" w:cs="Arial"/>
          <w:sz w:val="18"/>
          <w:szCs w:val="18"/>
          <w:lang w:eastAsia="es-ES"/>
        </w:rPr>
        <w:t>6</w:t>
      </w:r>
      <w:r w:rsidRPr="00C531C9">
        <w:rPr>
          <w:rFonts w:ascii="Arial" w:eastAsia="Times New Roman" w:hAnsi="Arial" w:cs="Arial"/>
          <w:sz w:val="18"/>
          <w:szCs w:val="18"/>
          <w:lang w:eastAsia="es-ES"/>
        </w:rPr>
        <w:t xml:space="preserve"> se tiene una proyección de crecimiento de </w:t>
      </w:r>
      <w:r w:rsidR="00C531C9" w:rsidRPr="00C531C9">
        <w:rPr>
          <w:rFonts w:ascii="Arial" w:eastAsia="Times New Roman" w:hAnsi="Arial" w:cs="Arial"/>
          <w:sz w:val="18"/>
          <w:szCs w:val="18"/>
          <w:lang w:eastAsia="es-ES"/>
        </w:rPr>
        <w:t>1</w:t>
      </w:r>
      <w:r w:rsidRPr="00C531C9">
        <w:rPr>
          <w:rFonts w:ascii="Arial" w:eastAsia="Times New Roman" w:hAnsi="Arial" w:cs="Arial"/>
          <w:sz w:val="18"/>
          <w:szCs w:val="18"/>
          <w:lang w:eastAsia="es-ES"/>
        </w:rPr>
        <w:t>4.</w:t>
      </w:r>
      <w:r w:rsidR="00C531C9" w:rsidRPr="00C531C9">
        <w:rPr>
          <w:rFonts w:ascii="Arial" w:eastAsia="Times New Roman" w:hAnsi="Arial" w:cs="Arial"/>
          <w:sz w:val="18"/>
          <w:szCs w:val="18"/>
          <w:lang w:eastAsia="es-ES"/>
        </w:rPr>
        <w:t>8</w:t>
      </w:r>
      <w:r w:rsidRPr="00C531C9">
        <w:rPr>
          <w:rFonts w:ascii="Arial" w:eastAsia="Times New Roman" w:hAnsi="Arial" w:cs="Arial"/>
          <w:sz w:val="18"/>
          <w:szCs w:val="18"/>
          <w:lang w:eastAsia="es-ES"/>
        </w:rPr>
        <w:t>9%, ya que de la cifra aprobada en el ejercicio fiscal 202</w:t>
      </w:r>
      <w:r w:rsidR="00C531C9" w:rsidRPr="00C531C9">
        <w:rPr>
          <w:rFonts w:ascii="Arial" w:eastAsia="Times New Roman" w:hAnsi="Arial" w:cs="Arial"/>
          <w:sz w:val="18"/>
          <w:szCs w:val="18"/>
          <w:lang w:eastAsia="es-ES"/>
        </w:rPr>
        <w:t>5</w:t>
      </w:r>
      <w:r w:rsidRPr="00C531C9">
        <w:rPr>
          <w:rFonts w:ascii="Arial" w:eastAsia="Times New Roman" w:hAnsi="Arial" w:cs="Arial"/>
          <w:sz w:val="18"/>
          <w:szCs w:val="18"/>
          <w:lang w:eastAsia="es-ES"/>
        </w:rPr>
        <w:t xml:space="preserve"> de </w:t>
      </w:r>
      <w:r w:rsidR="00C531C9" w:rsidRPr="00C531C9">
        <w:rPr>
          <w:rFonts w:ascii="Arial" w:eastAsia="Times New Roman" w:hAnsi="Arial" w:cs="Arial"/>
          <w:sz w:val="18"/>
          <w:szCs w:val="18"/>
          <w:lang w:eastAsia="es-ES"/>
        </w:rPr>
        <w:t>1,958,188,805</w:t>
      </w:r>
      <w:r w:rsidRPr="00C531C9">
        <w:rPr>
          <w:rFonts w:ascii="Arial" w:eastAsia="Times New Roman" w:hAnsi="Arial" w:cs="Arial"/>
          <w:sz w:val="18"/>
          <w:szCs w:val="18"/>
          <w:lang w:eastAsia="es-ES"/>
        </w:rPr>
        <w:t xml:space="preserve">, se proyecta recaudar </w:t>
      </w:r>
      <w:r w:rsidR="00C531C9" w:rsidRPr="00C531C9">
        <w:rPr>
          <w:rFonts w:ascii="Arial" w:eastAsia="Times New Roman" w:hAnsi="Arial" w:cs="Arial"/>
          <w:sz w:val="18"/>
          <w:szCs w:val="18"/>
          <w:lang w:eastAsia="es-ES"/>
        </w:rPr>
        <w:t>2</w:t>
      </w:r>
      <w:r w:rsidRPr="00C531C9">
        <w:rPr>
          <w:rFonts w:ascii="Arial" w:eastAsia="Times New Roman" w:hAnsi="Arial" w:cs="Arial"/>
          <w:sz w:val="18"/>
          <w:szCs w:val="18"/>
          <w:lang w:eastAsia="es-ES"/>
        </w:rPr>
        <w:t>,</w:t>
      </w:r>
      <w:r w:rsidR="00C531C9" w:rsidRPr="00C531C9">
        <w:rPr>
          <w:rFonts w:ascii="Arial" w:eastAsia="Times New Roman" w:hAnsi="Arial" w:cs="Arial"/>
          <w:sz w:val="18"/>
          <w:szCs w:val="18"/>
          <w:lang w:eastAsia="es-ES"/>
        </w:rPr>
        <w:t>249</w:t>
      </w:r>
      <w:r w:rsidRPr="00C531C9">
        <w:rPr>
          <w:rFonts w:ascii="Arial" w:eastAsia="Times New Roman" w:hAnsi="Arial" w:cs="Arial"/>
          <w:sz w:val="18"/>
          <w:szCs w:val="18"/>
          <w:lang w:eastAsia="es-ES"/>
        </w:rPr>
        <w:t>,</w:t>
      </w:r>
      <w:r w:rsidR="00C531C9" w:rsidRPr="00C531C9">
        <w:rPr>
          <w:rFonts w:ascii="Arial" w:eastAsia="Times New Roman" w:hAnsi="Arial" w:cs="Arial"/>
          <w:sz w:val="18"/>
          <w:szCs w:val="18"/>
          <w:lang w:eastAsia="es-ES"/>
        </w:rPr>
        <w:t>830</w:t>
      </w:r>
      <w:r w:rsidRPr="00C531C9">
        <w:rPr>
          <w:rFonts w:ascii="Arial" w:eastAsia="Times New Roman" w:hAnsi="Arial" w:cs="Arial"/>
          <w:sz w:val="18"/>
          <w:szCs w:val="18"/>
          <w:lang w:eastAsia="es-ES"/>
        </w:rPr>
        <w:t>,</w:t>
      </w:r>
      <w:r w:rsidR="00C531C9" w:rsidRPr="00C531C9">
        <w:rPr>
          <w:rFonts w:ascii="Arial" w:eastAsia="Times New Roman" w:hAnsi="Arial" w:cs="Arial"/>
          <w:sz w:val="18"/>
          <w:szCs w:val="18"/>
          <w:lang w:eastAsia="es-ES"/>
        </w:rPr>
        <w:t>796</w:t>
      </w:r>
      <w:r w:rsidRPr="00C531C9">
        <w:rPr>
          <w:rFonts w:ascii="Arial" w:eastAsia="Times New Roman" w:hAnsi="Arial" w:cs="Arial"/>
          <w:sz w:val="18"/>
          <w:szCs w:val="18"/>
          <w:lang w:eastAsia="es-ES"/>
        </w:rPr>
        <w:t xml:space="preserve">, esto es </w:t>
      </w:r>
      <w:r w:rsidR="00C531C9" w:rsidRPr="00C531C9">
        <w:rPr>
          <w:rFonts w:ascii="Arial" w:eastAsia="Times New Roman" w:hAnsi="Arial" w:cs="Arial"/>
          <w:sz w:val="18"/>
          <w:szCs w:val="18"/>
          <w:lang w:eastAsia="es-ES"/>
        </w:rPr>
        <w:t>291</w:t>
      </w:r>
      <w:r w:rsidRPr="00C531C9">
        <w:rPr>
          <w:rFonts w:ascii="Arial" w:eastAsia="Times New Roman" w:hAnsi="Arial" w:cs="Arial"/>
          <w:sz w:val="18"/>
          <w:szCs w:val="18"/>
          <w:lang w:eastAsia="es-ES"/>
        </w:rPr>
        <w:t>,</w:t>
      </w:r>
      <w:r w:rsidR="00C531C9" w:rsidRPr="00C531C9">
        <w:rPr>
          <w:rFonts w:ascii="Arial" w:eastAsia="Times New Roman" w:hAnsi="Arial" w:cs="Arial"/>
          <w:sz w:val="18"/>
          <w:szCs w:val="18"/>
          <w:lang w:eastAsia="es-ES"/>
        </w:rPr>
        <w:t>641</w:t>
      </w:r>
      <w:r w:rsidRPr="00C531C9">
        <w:rPr>
          <w:rFonts w:ascii="Arial" w:eastAsia="Times New Roman" w:hAnsi="Arial" w:cs="Arial"/>
          <w:sz w:val="18"/>
          <w:szCs w:val="18"/>
          <w:lang w:eastAsia="es-ES"/>
        </w:rPr>
        <w:t>,</w:t>
      </w:r>
      <w:r w:rsidR="00C531C9" w:rsidRPr="00C531C9">
        <w:rPr>
          <w:rFonts w:ascii="Arial" w:eastAsia="Times New Roman" w:hAnsi="Arial" w:cs="Arial"/>
          <w:sz w:val="18"/>
          <w:szCs w:val="18"/>
          <w:lang w:eastAsia="es-ES"/>
        </w:rPr>
        <w:t>991</w:t>
      </w:r>
      <w:r w:rsidRPr="00C531C9">
        <w:rPr>
          <w:rFonts w:ascii="Arial" w:eastAsia="Times New Roman" w:hAnsi="Arial" w:cs="Arial"/>
          <w:sz w:val="18"/>
          <w:szCs w:val="18"/>
          <w:lang w:eastAsia="es-ES"/>
        </w:rPr>
        <w:t>.</w:t>
      </w:r>
    </w:p>
    <w:p w14:paraId="32AEDBFB" w14:textId="77777777" w:rsidR="00025D5F" w:rsidRPr="00307D7E" w:rsidRDefault="00025D5F" w:rsidP="00A35925">
      <w:pPr>
        <w:tabs>
          <w:tab w:val="left" w:pos="284"/>
        </w:tabs>
        <w:ind w:left="284"/>
        <w:jc w:val="both"/>
        <w:rPr>
          <w:rFonts w:ascii="Arial" w:eastAsia="Times New Roman" w:hAnsi="Arial" w:cs="Arial"/>
          <w:sz w:val="18"/>
          <w:szCs w:val="18"/>
          <w:lang w:eastAsia="es-ES"/>
        </w:rPr>
      </w:pPr>
    </w:p>
    <w:p w14:paraId="1B7523C7" w14:textId="77777777" w:rsidR="00A35925" w:rsidRDefault="00A35925" w:rsidP="00A35925">
      <w:pPr>
        <w:pStyle w:val="Texto"/>
        <w:tabs>
          <w:tab w:val="left" w:pos="284"/>
        </w:tabs>
        <w:spacing w:after="0" w:line="276" w:lineRule="auto"/>
        <w:ind w:left="284" w:firstLine="0"/>
        <w:rPr>
          <w:b/>
          <w:szCs w:val="18"/>
          <w:lang w:val="es-MX"/>
        </w:rPr>
      </w:pPr>
      <w:r>
        <w:rPr>
          <w:b/>
          <w:szCs w:val="18"/>
          <w:lang w:val="es-MX"/>
        </w:rPr>
        <w:lastRenderedPageBreak/>
        <w:t>10. Información sobre la Deuda y el Reporte Analítico de la Deuda</w:t>
      </w:r>
    </w:p>
    <w:p w14:paraId="6A23E2FB"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La deuda pública es una de las principales herramientas de los gobiernos para la obtención de recursos financieros adicionales para el desarrollo económico y social. En las comunidades con organización federal, como la mexicana, existen aparatos institucionales diseñados para procurar que el uso del instrumento por parte de los gobiernos locales se realice de manera disciplinada y productiva. En este sentido, la Constitución estipula obligaciones en cuanto al origen y el destino del endeudamiento, a partir de las cuales las entidades federativas llevan a cabo sus legislaciones; luego de un incremento generalizado en las cifras de endeudamiento de los estados y municipios, vinculados con acusaciones de corrupción y manejo indebido de recursos, se aprobó una reforma constitucional que incluye una Ley de Disciplina Financiera para las Entidades Federativas y los Municipios, al respecto se establece un Registro Público Único de Obligaciones y Empréstitos de Entidades y Municipios a cargo de la Secretaría de Hacienda y Crédito Público, que tiene por objeto documentar los financiamientos adquiridos por los gobiernos locales.</w:t>
      </w:r>
    </w:p>
    <w:p w14:paraId="6D697576"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En un ambiente macroeconómico mundial de incertidumbre y volatilidad, teniendo como premisa el mantener la disciplina en las finanzas públicas, a través de un programa de austeridad y eficiencia en el gasto público, se han establecido políticas para la hacienda pública estatal que permitirán sustentar fuentes de ingreso estables y permanentes, así como un gasto público austero y basado en resultados.</w:t>
      </w:r>
    </w:p>
    <w:p w14:paraId="0CCDE8CC"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Con la publicación y entrada en vigor de la Ley de Disciplina Financiera de las Entidades Federativas y los Municipios el 27 de abril de 2016, se establecieron criterios de mayor transparencia en el uso del financiamiento de los gobiernos locales entre los que destacan: </w:t>
      </w:r>
    </w:p>
    <w:p w14:paraId="0ECD8A84"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a) Nuevas reglas de disciplina financiera que contemplan mecanismos de equilibrio presupuestario y de distribución de ingresos excedentes;</w:t>
      </w:r>
    </w:p>
    <w:p w14:paraId="1E078445"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b) Un sistema de alertas, el cual mide los niveles de endeudamiento, del servicio de la deuda y las condiciones de liquidez de las entidades federativas, los municipios y sus entes públicos, y</w:t>
      </w:r>
    </w:p>
    <w:p w14:paraId="216A1AB8"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c) Un Registro Público Único que permite la inscripción de la totalidad de las obligaciones de los gobiernos locales. De ahí la importancia de presentar este reporte trimestral que muestra de manera sencilla la situación actual que guarda la deuda de entidades federativas, municipios y sus entes públicos (deuda subnacional).</w:t>
      </w:r>
    </w:p>
    <w:p w14:paraId="6B1A8DE6"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La deuda del Gobierno Federal comprende las obligaciones de los poderes Legislativo y Judicial, las dependencias del Poder Ejecutivo Federal y sus órganos desconcentrados, así como las obligaciones contraídas por entidades que formaron parte de la Administración Pública Federal paraestatal y que fueron transformadas en órganos autónomos, en particular, el Instituto Nacional de Transparencia, Acceso a la Información y Protección de Datos Personales (INAI), y el Instituto Federal de Telecomunicaciones (IFT). </w:t>
      </w:r>
    </w:p>
    <w:p w14:paraId="68663DDD"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Por su parte, la deuda del Sector Público está integrada por la deuda del Gobierno Federal más las obligaciones de las entidades de control presupuestario directo, de las Empresas Productivas del Estado y sus subsidiarias, y de la banca de desarrollo. Finalmente, el SHRFSP está integrado por la deuda del Sector Público Presupuestario más las obligaciones que, por diversos ordenamientos jurídicos y prácticas presupuestarias, no se incluyen en la deuda pública. </w:t>
      </w:r>
    </w:p>
    <w:p w14:paraId="4844A7DC"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En particular, el SHRFSP incluye las obligaciones financieras netas del Instituto para la Protección al Ahorro Bancario (IPAB) y el programa de apoyo a deudores, las obligaciones de los </w:t>
      </w:r>
      <w:proofErr w:type="spellStart"/>
      <w:r w:rsidRPr="00025D5F">
        <w:rPr>
          <w:rFonts w:ascii="Arial" w:eastAsia="Times New Roman" w:hAnsi="Arial" w:cs="Arial"/>
          <w:sz w:val="18"/>
          <w:szCs w:val="18"/>
          <w:lang w:eastAsia="es-ES"/>
        </w:rPr>
        <w:t>Pidiregas</w:t>
      </w:r>
      <w:proofErr w:type="spellEnd"/>
      <w:r w:rsidRPr="00025D5F">
        <w:rPr>
          <w:rFonts w:ascii="Arial" w:eastAsia="Times New Roman" w:hAnsi="Arial" w:cs="Arial"/>
          <w:sz w:val="18"/>
          <w:szCs w:val="18"/>
          <w:lang w:eastAsia="es-ES"/>
        </w:rPr>
        <w:t>, las obligaciones derivadas del entonces Fideicomiso de Apoyo para el Rescate de Autopistas Concesionadas (FARAC), hoy Fondo Nacional de Infraestructura (</w:t>
      </w:r>
      <w:proofErr w:type="spellStart"/>
      <w:r w:rsidRPr="00025D5F">
        <w:rPr>
          <w:rFonts w:ascii="Arial" w:eastAsia="Times New Roman" w:hAnsi="Arial" w:cs="Arial"/>
          <w:sz w:val="18"/>
          <w:szCs w:val="18"/>
          <w:lang w:eastAsia="es-ES"/>
        </w:rPr>
        <w:t>Fonadin</w:t>
      </w:r>
      <w:proofErr w:type="spellEnd"/>
      <w:r w:rsidRPr="00025D5F">
        <w:rPr>
          <w:rFonts w:ascii="Arial" w:eastAsia="Times New Roman" w:hAnsi="Arial" w:cs="Arial"/>
          <w:sz w:val="18"/>
          <w:szCs w:val="18"/>
          <w:lang w:eastAsia="es-ES"/>
        </w:rPr>
        <w:t>); y el patrimonio de las Instituciones de Fomento.</w:t>
      </w:r>
    </w:p>
    <w:p w14:paraId="4E91104E"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Al cierre del cuarto trimestre, la deuda pública, medida por el SHRFSP, se ubicó en 18 billones 576 mil 989.7 millones de pesos, equivalente al 52.6% del PIB. El componente interno ascendió a 14 billones 375 mil 476.1 millones de pesos (77.4% del total), mientras que el externo registró un nivel de 233 mil 850.0 millones de dólares (22.6% del total). </w:t>
      </w:r>
    </w:p>
    <w:p w14:paraId="4F380D24"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Con respecto a la política de deuda pública, durante el cuarto trimestre se priorizó el financiamiento interno a largo plazo y tasa fija, mientras que el externo se utilizó como una fuente complementaria del crédito público orientada a diversificar el portafolio, diversificar costos y respaldar proyectos de impacto social. En el mercado interno, durante 2025 se llevó a cabo el refinanciamiento de pasivos por un total de 1 billón 25 mil 377.0 millones de pesos. </w:t>
      </w:r>
      <w:r w:rsidRPr="00025D5F">
        <w:rPr>
          <w:rFonts w:ascii="Arial" w:eastAsia="Times New Roman" w:hAnsi="Arial" w:cs="Arial"/>
          <w:sz w:val="18"/>
          <w:szCs w:val="18"/>
          <w:lang w:eastAsia="es-ES"/>
        </w:rPr>
        <w:lastRenderedPageBreak/>
        <w:t xml:space="preserve">Estas transacciones fortalecieron el portafolio de deuda al mejorar la liquidez, incrementar el plazo promedio y extender el perfil de vencimientos de la deuda. </w:t>
      </w:r>
    </w:p>
    <w:p w14:paraId="6EED350A"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Con respecto a las operaciones de manejo de pasivos, en 2025 el gobierno refinanció 6 mil 94.0 millones de dólares en el mercado externo, lo que mejoró la posición financiera del país y redujo la exposición a choques externos. México fue reconocido como Emisor SSAR del año por sus operaciones récord en los mercados internacionales de deuda y por usar instrumentos innovadores para fortalecer su perfil de deuda pública. Además, el FMI renovó por dos años la Línea de Crédito Flexible (LCF) y las agencias calificadoras KBRA y HR Ratings ratificaron la calificación soberana de México en “BBB” y “BBB+”, respectivamente. </w:t>
      </w:r>
    </w:p>
    <w:p w14:paraId="56F302C9"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Esto demuestra que México sigue siendo un referente global y que los inversores nacionales e internacionales confían en sus emisiones soberanas. Cabe mencionar que todas las operaciones de financiamiento se realizaron en línea con el Programa Anual de Financiamiento y en estricto apego a los techos de endeudamiento autorizados por el H. Congreso de la Unión para el ejercicio fiscal 2025.</w:t>
      </w:r>
    </w:p>
    <w:p w14:paraId="06D4C89B"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Al cuarto trimestre de 2025, la deuda neta del Gobierno Federal se ubicó en 17 billones 30 mil 193.6 millones de pesos. La estructura del portafolio de la deuda mantuvo la mayor parte de sus pasivos denominados en moneda nacional, representando el 84.3% del saldo de la deuda neta del Gobierno Federal, al 31 de diciembre de 2025.</w:t>
      </w:r>
    </w:p>
    <w:p w14:paraId="784D3B21"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Al cierre del cuarto trimestre de 2025, el saldo de la deuda interna neta del Gobierno Federal ascendió a 14 billones 350 mil 268.0 millones de pesos. La variación del saldo de la deuda interna respecto del cierre de 2024 fue el resultado de: i) un endeudamiento interno neto por 1 billón 613 mil 103.4 millones de pesos; </w:t>
      </w:r>
      <w:proofErr w:type="spellStart"/>
      <w:r w:rsidRPr="00025D5F">
        <w:rPr>
          <w:rFonts w:ascii="Arial" w:eastAsia="Times New Roman" w:hAnsi="Arial" w:cs="Arial"/>
          <w:sz w:val="18"/>
          <w:szCs w:val="18"/>
          <w:lang w:eastAsia="es-ES"/>
        </w:rPr>
        <w:t>ii</w:t>
      </w:r>
      <w:proofErr w:type="spellEnd"/>
      <w:r w:rsidRPr="00025D5F">
        <w:rPr>
          <w:rFonts w:ascii="Arial" w:eastAsia="Times New Roman" w:hAnsi="Arial" w:cs="Arial"/>
          <w:sz w:val="18"/>
          <w:szCs w:val="18"/>
          <w:lang w:eastAsia="es-ES"/>
        </w:rPr>
        <w:t xml:space="preserve">) un incremento en las disponibilidades del Gobierno Federal por 112 mil 713.0 millones de pesos; y, </w:t>
      </w:r>
      <w:proofErr w:type="spellStart"/>
      <w:r w:rsidRPr="00025D5F">
        <w:rPr>
          <w:rFonts w:ascii="Arial" w:eastAsia="Times New Roman" w:hAnsi="Arial" w:cs="Arial"/>
          <w:sz w:val="18"/>
          <w:szCs w:val="18"/>
          <w:lang w:eastAsia="es-ES"/>
        </w:rPr>
        <w:t>iii</w:t>
      </w:r>
      <w:proofErr w:type="spellEnd"/>
      <w:r w:rsidRPr="00025D5F">
        <w:rPr>
          <w:rFonts w:ascii="Arial" w:eastAsia="Times New Roman" w:hAnsi="Arial" w:cs="Arial"/>
          <w:sz w:val="18"/>
          <w:szCs w:val="18"/>
          <w:lang w:eastAsia="es-ES"/>
        </w:rPr>
        <w:t>) ajustes contables positivos por 146 mil 84.7 millones de pesos, derivados del efecto inflacionario de la deuda interna indizada y del ajuste por las operaciones de permuta de deuda. Este desempeño fue congruente con el techo de endeudamiento interno neto aprobado por el H. Congreso de la Unión para 2025.</w:t>
      </w:r>
    </w:p>
    <w:p w14:paraId="17BD51BA"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En cuanto a la composición de la deuda interna del Gobierno Federal, al cierre del cuarto trimestre de 2025, el 49.8% se encontró contratada en instrumentos a tasa nominal fija y de largo plazo. Adicionalmente, como resultado de la colocación de instrumentos a largo plazo al cierre del cuarto trimestre de 2025, se observó una participación de 80.0% de los valores a tasa fija nominal y real a plazo mayor de un año en el saldo de valores gubernamentales. Por su parte, el plazo promedio de vencimiento de valores gubernamentales emitidos en el mercado local a diciembre de 2025 fue de 7.9 años.</w:t>
      </w:r>
    </w:p>
    <w:p w14:paraId="57FB27EA"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Entre los cierres de 2024 y 2025, los Cetes incrementaron su participación en el saldo total de los valores gubernamentales al pasar de 14.5 a 15.9%, al igual que los Bonos Tasa Fija Bono M al pasar de 37.6 a 38.2%; los Bondes G al pasar de 1.0 a 1.4%; y, los Bonos Tasa Fija Bono MS que pasaron de 0.2 a 0.3%. Por su parte, la participación de los Bondes F disminuyó de 15.5 a 13.7% y los Bondes D que pasaron de 1.0 a 0.3%. Mientras tanto, los </w:t>
      </w:r>
      <w:proofErr w:type="spellStart"/>
      <w:r w:rsidRPr="00025D5F">
        <w:rPr>
          <w:rFonts w:ascii="Arial" w:eastAsia="Times New Roman" w:hAnsi="Arial" w:cs="Arial"/>
          <w:sz w:val="18"/>
          <w:szCs w:val="18"/>
          <w:lang w:eastAsia="es-ES"/>
        </w:rPr>
        <w:t>Udibonos</w:t>
      </w:r>
      <w:proofErr w:type="spellEnd"/>
      <w:r w:rsidRPr="00025D5F">
        <w:rPr>
          <w:rFonts w:ascii="Arial" w:eastAsia="Times New Roman" w:hAnsi="Arial" w:cs="Arial"/>
          <w:sz w:val="18"/>
          <w:szCs w:val="18"/>
          <w:lang w:eastAsia="es-ES"/>
        </w:rPr>
        <w:t>, durante el periodo, permanecieron sin cambio en 30.2%.</w:t>
      </w:r>
    </w:p>
    <w:p w14:paraId="34DD2E82"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Con respecto al perfil de amortizaciones de la deuda interna del Gobierno Federal, de acuerdo con su saldo contractual registrado al 31 de diciembre de 2025, se espera que, durante 2026, las amortizaciones alcancen un monto de 3 billones 163 mil 63.2 millones de pesos. Del total de amortizaciones, sin incluir Cetes, 1 billón 531 mil 796.0 millones de pesos se encuentran asociadas a los vencimientos de valores gubernamentales, cuyo refinanciamiento se realizará a través del programa de subastas que lleva a cabo el Gobierno Federal.</w:t>
      </w:r>
    </w:p>
    <w:p w14:paraId="60AC811D"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En el cuarto trimestre de 2025, se llevaron a cabo diversas operaciones de refinanciamiento que superaron los 300 mil millones de pesos, con el objetivo de extender el plazo promedio de vencimiento del portafolio de deuda, a su vez, se ejecutaron las siguientes acciones para el manejo de deuda en el mercado interno:</w:t>
      </w:r>
    </w:p>
    <w:p w14:paraId="54E223D4"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sym w:font="Symbol" w:char="F0B7"/>
      </w:r>
      <w:r w:rsidRPr="00025D5F">
        <w:rPr>
          <w:rFonts w:ascii="Arial" w:eastAsia="Times New Roman" w:hAnsi="Arial" w:cs="Arial"/>
          <w:sz w:val="18"/>
          <w:szCs w:val="18"/>
          <w:lang w:eastAsia="es-ES"/>
        </w:rPr>
        <w:t xml:space="preserve"> El 2 de octubre, se llevó a cabo una recompra de Cetes, Bonos M y </w:t>
      </w:r>
      <w:proofErr w:type="spellStart"/>
      <w:r w:rsidRPr="00025D5F">
        <w:rPr>
          <w:rFonts w:ascii="Arial" w:eastAsia="Times New Roman" w:hAnsi="Arial" w:cs="Arial"/>
          <w:sz w:val="18"/>
          <w:szCs w:val="18"/>
          <w:lang w:eastAsia="es-ES"/>
        </w:rPr>
        <w:t>Udibonos</w:t>
      </w:r>
      <w:proofErr w:type="spellEnd"/>
      <w:r w:rsidRPr="00025D5F">
        <w:rPr>
          <w:rFonts w:ascii="Arial" w:eastAsia="Times New Roman" w:hAnsi="Arial" w:cs="Arial"/>
          <w:sz w:val="18"/>
          <w:szCs w:val="18"/>
          <w:lang w:eastAsia="es-ES"/>
        </w:rPr>
        <w:t xml:space="preserve">, con vencimientos entre 2025 y 2050, en conjunto con una subasta de Cetes, Bondes F, Bonos M y </w:t>
      </w:r>
      <w:proofErr w:type="spellStart"/>
      <w:r w:rsidRPr="00025D5F">
        <w:rPr>
          <w:rFonts w:ascii="Arial" w:eastAsia="Times New Roman" w:hAnsi="Arial" w:cs="Arial"/>
          <w:sz w:val="18"/>
          <w:szCs w:val="18"/>
          <w:lang w:eastAsia="es-ES"/>
        </w:rPr>
        <w:t>Udibonos</w:t>
      </w:r>
      <w:proofErr w:type="spellEnd"/>
      <w:r w:rsidRPr="00025D5F">
        <w:rPr>
          <w:rFonts w:ascii="Arial" w:eastAsia="Times New Roman" w:hAnsi="Arial" w:cs="Arial"/>
          <w:sz w:val="18"/>
          <w:szCs w:val="18"/>
          <w:lang w:eastAsia="es-ES"/>
        </w:rPr>
        <w:t>, con vencimientos entre 2027 y 2054. El monto total de esta operación fue de 137 mil 77.0 millones de pesos.</w:t>
      </w:r>
    </w:p>
    <w:p w14:paraId="52636B66"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sym w:font="Symbol" w:char="F0B7"/>
      </w:r>
      <w:r w:rsidRPr="00025D5F">
        <w:rPr>
          <w:rFonts w:ascii="Arial" w:eastAsia="Times New Roman" w:hAnsi="Arial" w:cs="Arial"/>
          <w:sz w:val="18"/>
          <w:szCs w:val="18"/>
          <w:lang w:eastAsia="es-ES"/>
        </w:rPr>
        <w:t xml:space="preserve"> El 30 de octubre, se realizó una colocación sindicada de dos nuevas referencias de Bonos M a 5 y 30 años, con una tasa cupón del 8.0%, por un monto de 16 mil 500.0 millones de pesos, la cual tuvo como objetivo actualizar las referencias la curva nominal y gestionar el perfil de vencimientos. </w:t>
      </w:r>
    </w:p>
    <w:p w14:paraId="4B1C0FD5"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p>
    <w:p w14:paraId="0E983ED1"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lastRenderedPageBreak/>
        <w:sym w:font="Symbol" w:char="F0B7"/>
      </w:r>
      <w:r w:rsidRPr="00025D5F">
        <w:rPr>
          <w:rFonts w:ascii="Arial" w:eastAsia="Times New Roman" w:hAnsi="Arial" w:cs="Arial"/>
          <w:sz w:val="18"/>
          <w:szCs w:val="18"/>
          <w:lang w:eastAsia="es-ES"/>
        </w:rPr>
        <w:t xml:space="preserve"> El 31 de octubre, se ejecutó el segundo intercambio cruzado del trimestre. Este consistió en un intercambio de Cetes, Bonos M y </w:t>
      </w:r>
      <w:proofErr w:type="spellStart"/>
      <w:r w:rsidRPr="00025D5F">
        <w:rPr>
          <w:rFonts w:ascii="Arial" w:eastAsia="Times New Roman" w:hAnsi="Arial" w:cs="Arial"/>
          <w:sz w:val="18"/>
          <w:szCs w:val="18"/>
          <w:lang w:eastAsia="es-ES"/>
        </w:rPr>
        <w:t>Udibonos</w:t>
      </w:r>
      <w:proofErr w:type="spellEnd"/>
      <w:r w:rsidRPr="00025D5F">
        <w:rPr>
          <w:rFonts w:ascii="Arial" w:eastAsia="Times New Roman" w:hAnsi="Arial" w:cs="Arial"/>
          <w:sz w:val="18"/>
          <w:szCs w:val="18"/>
          <w:lang w:eastAsia="es-ES"/>
        </w:rPr>
        <w:t xml:space="preserve"> con vencimientos entre 2025 y 2053 por los mismos instrumentos con vencimientos desde 2027 hasta 2055. La operación sumó 165 mil 85.0 millones de pesos y logró extender el plazo promedio de la deuda refinanciada a 6.2 años. </w:t>
      </w:r>
    </w:p>
    <w:p w14:paraId="1ED66F39"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sym w:font="Symbol" w:char="F0B7"/>
      </w:r>
      <w:r w:rsidRPr="00025D5F">
        <w:rPr>
          <w:rFonts w:ascii="Arial" w:eastAsia="Times New Roman" w:hAnsi="Arial" w:cs="Arial"/>
          <w:sz w:val="18"/>
          <w:szCs w:val="18"/>
          <w:lang w:eastAsia="es-ES"/>
        </w:rPr>
        <w:t xml:space="preserve"> El 4 de diciembre, se fortaleció la estrategia de financiamiento sostenible en el mercado interno mediante la segunda colocación conjunta del año de Bondes G y Bono S, por 26 mil 200.0 millones de pesos, con plazos de 2, 4 y 6 años. La emisión registró una amplia participación de inversionistas, equivalente a 1.83 veces el monto colocado.</w:t>
      </w:r>
    </w:p>
    <w:p w14:paraId="7382DBE3"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Todas las colocaciones de deuda se enmarcaron dentro del Programa Anual de Financiamiento, son congruentes con la Ley Federal de Deuda Pública y están en línea con los techos de endeudamiento aprobados por el H. Congreso de la Unión para el ejercicio fiscal 2025.</w:t>
      </w:r>
    </w:p>
    <w:p w14:paraId="29090FD1"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Al cierre del cuarto trimestre de 2025, el saldo de la deuda externa neta del Gobierno Federal fue de 149 mil 160.7 millones de dólares. La evolución de la deuda externa neta del Gobierno Federal durante el periodo enero a diciembre de 2025 fue resultado de los siguientes factores: </w:t>
      </w:r>
    </w:p>
    <w:p w14:paraId="1FC7EDE6"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sym w:font="Symbol" w:char="F0B7"/>
      </w:r>
      <w:r w:rsidRPr="00025D5F">
        <w:rPr>
          <w:rFonts w:ascii="Arial" w:eastAsia="Times New Roman" w:hAnsi="Arial" w:cs="Arial"/>
          <w:sz w:val="18"/>
          <w:szCs w:val="18"/>
          <w:lang w:eastAsia="es-ES"/>
        </w:rPr>
        <w:t xml:space="preserve"> Endeudamiento externo neto de 22 mil 681.3 millones de dólares, derivado de disposiciones por 33 mil 589.3 millones de dólares y amortizaciones por 10 mil 908.0 millones de dólares. </w:t>
      </w:r>
    </w:p>
    <w:p w14:paraId="5D25B156"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sym w:font="Symbol" w:char="F0B7"/>
      </w:r>
      <w:r w:rsidRPr="00025D5F">
        <w:rPr>
          <w:rFonts w:ascii="Arial" w:eastAsia="Times New Roman" w:hAnsi="Arial" w:cs="Arial"/>
          <w:sz w:val="18"/>
          <w:szCs w:val="18"/>
          <w:lang w:eastAsia="es-ES"/>
        </w:rPr>
        <w:t xml:space="preserve"> Incremento de los activos internacionales del Gobierno Federal asociados a la deuda externa por 1 mil 623.7 millones de dólares con respecto al cierre de 2024. Este cambio se debe a la variación en el saldo neto denominado en dólares de la Cuenta General de la Tesorería de la Federación. </w:t>
      </w:r>
    </w:p>
    <w:p w14:paraId="4A945B1C"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sym w:font="Symbol" w:char="F0B7"/>
      </w:r>
      <w:r w:rsidRPr="00025D5F">
        <w:rPr>
          <w:rFonts w:ascii="Arial" w:eastAsia="Times New Roman" w:hAnsi="Arial" w:cs="Arial"/>
          <w:sz w:val="18"/>
          <w:szCs w:val="18"/>
          <w:lang w:eastAsia="es-ES"/>
        </w:rPr>
        <w:t xml:space="preserve"> Ajustes contables positivos por 4 mil 224.1 millones de dólares, derivados principalmente de la variación del dólar con respecto a otras monedas en las que se encuentra contratada la deuda.</w:t>
      </w:r>
    </w:p>
    <w:p w14:paraId="7585732B"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Con respecto al perfil de amortizaciones de la deuda externa del Gobierno Federal, con base en su saldo contractual al 31 de diciembre de 2025, se espera que, las amortizaciones durante 2026, asciendan a 3 mil 448.0 millones de dólares, los cuales se encuentran asociados, principalmente, a los vencimientos de créditos contratados con los Organismos Financieros Internacionales (</w:t>
      </w:r>
      <w:proofErr w:type="spellStart"/>
      <w:r w:rsidRPr="00025D5F">
        <w:rPr>
          <w:rFonts w:ascii="Arial" w:eastAsia="Times New Roman" w:hAnsi="Arial" w:cs="Arial"/>
          <w:sz w:val="18"/>
          <w:szCs w:val="18"/>
          <w:lang w:eastAsia="es-ES"/>
        </w:rPr>
        <w:t>OFIs</w:t>
      </w:r>
      <w:proofErr w:type="spellEnd"/>
      <w:r w:rsidRPr="00025D5F">
        <w:rPr>
          <w:rFonts w:ascii="Arial" w:eastAsia="Times New Roman" w:hAnsi="Arial" w:cs="Arial"/>
          <w:sz w:val="18"/>
          <w:szCs w:val="18"/>
          <w:lang w:eastAsia="es-ES"/>
        </w:rPr>
        <w:t>).</w:t>
      </w:r>
    </w:p>
    <w:p w14:paraId="6C380DD4"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En el cuarto trimestre de 2025, el Gobierno Federal realizó erogaciones por concepto de costo financiero neto total de su deuda por 334 mil 914.4 millones de pesos (Ramo 24). Con ello, el total de pagos durante el periodo enero a diciembre de 2025 por dicho concepto ascendió a 1 billón 79 mil 765.3 millones de pesos. Esta cifra comprende erogaciones por 964 mil 441.4 millones de pesos para el pago de intereses y gastos asociados a la deuda interna, la cual incluye un monto de 28 mil 586.9 millones de pesos para el pago anticipado de intereses derivados del intercambio de deuda a través de las operaciones de permuta de deuda, así como erogaciones por un monto de 6 mil 878.9 millones de dólares para cubrir el pago por concepto de intereses, comisiones y gastos asociados a la deuda externa.</w:t>
      </w:r>
    </w:p>
    <w:p w14:paraId="2A5D7119"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Adicionalmente, durante el cuarto trimestre de 2025, el Gobierno Federal no realizó erogaciones para los Programas de Apoyo a Ahorradores y Deudores de la Banca (Ramo 34), por lo que, el total pagado por este concepto en el periodo de enero a diciembre de 2025 fue de 52 mil 451.9 millones de pesos. Estos recursos se destinaron al Programa de Apoyo a Ahorradores a través del IPAB.</w:t>
      </w:r>
    </w:p>
    <w:p w14:paraId="72AF61A4"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La estrategia de manejo del portafolio de deuda prioriza el financiamiento en el mercado interno, a tasas de interés fijas y de largo plazo. Asimismo, como parte de la gestión de riesgos, se busca contar con un portafolio de deuda diversificado en términos de divisas, así como llevar a cabo la implementación del programa de coberturas. Estas acciones mantienen acotada la sensibilidad del costo financiero de la deuda ante incrementos en la tasa de interés y el tipo de cambio, y favorecen a un portafolio sostenible, sólido y resistente ante choques externos. Las tasas implícitas de costo financiero estimadas para 2025 son 6.75, 7.01 y 5.40% para el costo total del Ramo 24, el costo interno y el costo externo, respectivamente. Si sólo se toma en cuenta la deuda externa, el costo externo implícito es de 4.93%.</w:t>
      </w:r>
    </w:p>
    <w:p w14:paraId="4D41C145"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p>
    <w:p w14:paraId="6EA05519"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lastRenderedPageBreak/>
        <w:t xml:space="preserve">Al cierre del cuarto trimestre de 2025, el saldo de la deuda con garantía explícita del Gobierno Federal se ubicó en 421 mil 128.2 millones de pesos, monto superior en 203 mil 179.3 millones de pesos al observado al cierre del año anterior. Dentro de los Programas de Apoyo a Deudores se encuentra el Programa de Reestructuración en </w:t>
      </w:r>
      <w:proofErr w:type="spellStart"/>
      <w:r w:rsidRPr="00025D5F">
        <w:rPr>
          <w:rFonts w:ascii="Arial" w:eastAsia="Times New Roman" w:hAnsi="Arial" w:cs="Arial"/>
          <w:sz w:val="18"/>
          <w:szCs w:val="18"/>
          <w:lang w:eastAsia="es-ES"/>
        </w:rPr>
        <w:t>Udis</w:t>
      </w:r>
      <w:proofErr w:type="spellEnd"/>
      <w:r w:rsidRPr="00025D5F">
        <w:rPr>
          <w:rFonts w:ascii="Arial" w:eastAsia="Times New Roman" w:hAnsi="Arial" w:cs="Arial"/>
          <w:sz w:val="18"/>
          <w:szCs w:val="18"/>
          <w:lang w:eastAsia="es-ES"/>
        </w:rPr>
        <w:t>, mediante el cual se ofrecieron tasas reales fijas a los acreditados durante toda la vida de sus créditos, lo que requirió que el Gobierno Federal realizara un intercambio entre esta tasa y una tasa nominal de mercado. Al 31 de diciembre de 2025, el resultado preliminar de este intercambio ascendió a 34 mil 475.6 millones de pesos, mismos que no están incorporados en las obligaciones garantizadas reportadas por el Gobierno Federal, ya que su evolución futura es contingente al comportamiento de las tasas de interés.</w:t>
      </w:r>
    </w:p>
    <w:p w14:paraId="0DB5B5B0"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Al cierre del cuarto trimestre de 2025, el monto de la deuda neta del sector público federal (Gobierno Federal, empresas públicas del Estado y la Banca de Desarrollo), se situó en 18 billones 950 mil 190.2 millones de pesos. Al finalizar el cuarto trimestre de 2025, el saldo de la deuda interna neta del sector público federal se ubicó en 14 billones 733 mil 780.6 millones de pesos. La variación de este saldo entre los cierres de 2024 y 2025, fue el resultado de los siguientes factores: i) un endeudamiento interno neto por 1 billón 611 mil 528.0 millones de pesos; </w:t>
      </w:r>
      <w:proofErr w:type="spellStart"/>
      <w:r w:rsidRPr="00025D5F">
        <w:rPr>
          <w:rFonts w:ascii="Arial" w:eastAsia="Times New Roman" w:hAnsi="Arial" w:cs="Arial"/>
          <w:sz w:val="18"/>
          <w:szCs w:val="18"/>
          <w:lang w:eastAsia="es-ES"/>
        </w:rPr>
        <w:t>ii</w:t>
      </w:r>
      <w:proofErr w:type="spellEnd"/>
      <w:r w:rsidRPr="00025D5F">
        <w:rPr>
          <w:rFonts w:ascii="Arial" w:eastAsia="Times New Roman" w:hAnsi="Arial" w:cs="Arial"/>
          <w:sz w:val="18"/>
          <w:szCs w:val="18"/>
          <w:lang w:eastAsia="es-ES"/>
        </w:rPr>
        <w:t xml:space="preserve">) una variación positiva en los activos internos del sector público federal por 157 mil 983.8 millones de pesos y </w:t>
      </w:r>
      <w:proofErr w:type="spellStart"/>
      <w:r w:rsidRPr="00025D5F">
        <w:rPr>
          <w:rFonts w:ascii="Arial" w:eastAsia="Times New Roman" w:hAnsi="Arial" w:cs="Arial"/>
          <w:sz w:val="18"/>
          <w:szCs w:val="18"/>
          <w:lang w:eastAsia="es-ES"/>
        </w:rPr>
        <w:t>iii</w:t>
      </w:r>
      <w:proofErr w:type="spellEnd"/>
      <w:r w:rsidRPr="00025D5F">
        <w:rPr>
          <w:rFonts w:ascii="Arial" w:eastAsia="Times New Roman" w:hAnsi="Arial" w:cs="Arial"/>
          <w:sz w:val="18"/>
          <w:szCs w:val="18"/>
          <w:lang w:eastAsia="es-ES"/>
        </w:rPr>
        <w:t>) ajustes contables positivos por 150 mil 701.2 millones de pesos, que reflejaron, principalmente, el efecto inflacionario sobre los pasivos indizados a esta variable y operaciones de permuta de deuda.</w:t>
      </w:r>
    </w:p>
    <w:p w14:paraId="3A69D84F"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Con base en el saldo contractual de la deuda interna del sector público federal registrado al 31 de diciembre de 2025, las amortizaciones durante el año 2026, serán de 3 billones 404 mil 2.1 millones de pesos. De este monto, el 97.1% se encuentra asociado a los vencimientos de valores colocados en los mercados nacionales.</w:t>
      </w:r>
    </w:p>
    <w:p w14:paraId="4758E178"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Al término del cuarto trimestre de 2025, el saldo de la deuda externa neta del sector público federal se ubicó en 234 mil 679.1 millones de dólares. La evolución de la deuda externa neta del sector público federal fue resultado de los siguientes factores: i) un endeudamiento externo neto de 14 mil 218.5 millones de dólares; </w:t>
      </w:r>
      <w:proofErr w:type="spellStart"/>
      <w:r w:rsidRPr="00025D5F">
        <w:rPr>
          <w:rFonts w:ascii="Arial" w:eastAsia="Times New Roman" w:hAnsi="Arial" w:cs="Arial"/>
          <w:sz w:val="18"/>
          <w:szCs w:val="18"/>
          <w:lang w:eastAsia="es-ES"/>
        </w:rPr>
        <w:t>ii</w:t>
      </w:r>
      <w:proofErr w:type="spellEnd"/>
      <w:r w:rsidRPr="00025D5F">
        <w:rPr>
          <w:rFonts w:ascii="Arial" w:eastAsia="Times New Roman" w:hAnsi="Arial" w:cs="Arial"/>
          <w:sz w:val="18"/>
          <w:szCs w:val="18"/>
          <w:lang w:eastAsia="es-ES"/>
        </w:rPr>
        <w:t xml:space="preserve">) los activos internacionales del sector público federal asociados a la deuda externa presentaron una variación positiva de 2 mil 918.5 millones de dólares, y </w:t>
      </w:r>
      <w:proofErr w:type="spellStart"/>
      <w:r w:rsidRPr="00025D5F">
        <w:rPr>
          <w:rFonts w:ascii="Arial" w:eastAsia="Times New Roman" w:hAnsi="Arial" w:cs="Arial"/>
          <w:sz w:val="18"/>
          <w:szCs w:val="18"/>
          <w:lang w:eastAsia="es-ES"/>
        </w:rPr>
        <w:t>iii</w:t>
      </w:r>
      <w:proofErr w:type="spellEnd"/>
      <w:r w:rsidRPr="00025D5F">
        <w:rPr>
          <w:rFonts w:ascii="Arial" w:eastAsia="Times New Roman" w:hAnsi="Arial" w:cs="Arial"/>
          <w:sz w:val="18"/>
          <w:szCs w:val="18"/>
          <w:lang w:eastAsia="es-ES"/>
        </w:rPr>
        <w:t>) ajustes contables positivos por 5 mil 52.4 millones de dólares, que reflejaron, principalmente, la variación del dólar con respecto a otras monedas en las que se encuentra contratada la deuda.</w:t>
      </w:r>
    </w:p>
    <w:p w14:paraId="093F303C"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De enero a diciembre de 2025, el sector público federal realizó erogaciones por concepto de costo financiero de su deuda pública interna por un monto de 1 billón 29 mil 161.4 millones de pesos. Por otra parte, durante el mismo periodo se efectuaron erogaciones por un monto de 13 mil 729.5 millones de dólares para cubrir el pago por concepto de intereses, comisiones y gastos asociados a la deuda pública externa. Finalmente, cabe señalar que el nivel de deuda pública es moderado como proporción del PIB anual, lo cual se compara favorablemente con respecto a los niveles que mantienen otras economías emergentes y de América Latina. Asimismo, este nivel de endeudamiento es congruente con los techos de endeudamiento aprobados por el H. Congreso de la Unión.</w:t>
      </w:r>
    </w:p>
    <w:p w14:paraId="6411A32D"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El SHRFSP representa el acervo neto de las obligaciones contraídas para alcanzar los objetivos de las políticas públicas, tanto de las entidades adscritas al sector público como de las entidades privadas que actúan por cuenta del Gobierno Federal. Es decir, pasivos menos activos financieros disponibles, por concesión de préstamos y por fondos para la amortización de la deuda como reflejo de la trayectoria anual observada a lo largo del tiempo de los RFSP. </w:t>
      </w:r>
    </w:p>
    <w:p w14:paraId="11422FF6"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De esta manera, el SHRFSP agrupa la deuda neta del sector público presupuestario (Gobierno Federal y Entidades de control directo), las obligaciones netas del IPAB, los pasivos del FONADIN, los asociados a los </w:t>
      </w:r>
      <w:proofErr w:type="spellStart"/>
      <w:r w:rsidRPr="00025D5F">
        <w:rPr>
          <w:rFonts w:ascii="Arial" w:eastAsia="Times New Roman" w:hAnsi="Arial" w:cs="Arial"/>
          <w:sz w:val="18"/>
          <w:szCs w:val="18"/>
          <w:lang w:eastAsia="es-ES"/>
        </w:rPr>
        <w:t>Pidiregas</w:t>
      </w:r>
      <w:proofErr w:type="spellEnd"/>
      <w:r w:rsidRPr="00025D5F">
        <w:rPr>
          <w:rFonts w:ascii="Arial" w:eastAsia="Times New Roman" w:hAnsi="Arial" w:cs="Arial"/>
          <w:sz w:val="18"/>
          <w:szCs w:val="18"/>
          <w:lang w:eastAsia="es-ES"/>
        </w:rPr>
        <w:t xml:space="preserve"> y los correspondientes a los Programas de Apoyo a Deudores, así como el cambio en la situación patrimonial de las Instituciones de Fomento, y constituye la medida más amplia de deuda pública. Al cierre del cuarto trimestre de 2025, el SHRFSP se ubicó en 18 billones 576 mil 989.7 millones de pesos El componente interno del SHRFSP se ubicó en 14 billones 375 mil 476.1 millones de pesos y el componente externo fue de 233 mil 850.0 millones de dólares.</w:t>
      </w:r>
    </w:p>
    <w:p w14:paraId="53F0335A"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En diciembre de 2025, la SHCP publicó el Plan Anual de Financiamiento 2026 (PAF 2026), documento que da a conocer los principales elementos de la política de deuda de las entidades del Sector Público: el Gobierno Federal, las empresas públicas del Estado, la banca de desarrollo y otros emisores que acceden a los mercados de deuda.</w:t>
      </w:r>
    </w:p>
    <w:p w14:paraId="40EEF2BD"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Para 2026, las finanzas públicas se manejarán con prudencia fiscal, bajo un escenario de convergencia fiscal gradual, con el compromiso de fortalecer la sostenibilidad de la deuda pública a través de una trayectoria </w:t>
      </w:r>
      <w:r w:rsidRPr="00025D5F">
        <w:rPr>
          <w:rFonts w:ascii="Arial" w:eastAsia="Times New Roman" w:hAnsi="Arial" w:cs="Arial"/>
          <w:sz w:val="18"/>
          <w:szCs w:val="18"/>
          <w:lang w:eastAsia="es-ES"/>
        </w:rPr>
        <w:lastRenderedPageBreak/>
        <w:t xml:space="preserve">equilibrada entre deuda y PIB, en línea con los principios de equilibrio y responsabilidad fiscal y con los objetivos de desarrollo económico con bienestar y humanismo. </w:t>
      </w:r>
    </w:p>
    <w:p w14:paraId="29E31DD8"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Así, la política de financiamiento estará cimentada en cinco ejes principales: </w:t>
      </w:r>
    </w:p>
    <w:p w14:paraId="613240A8"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i. Cubrir las necesidades de financiamiento del Gobierno Federal con un nivel de riesgo y costo adecuados; </w:t>
      </w:r>
    </w:p>
    <w:p w14:paraId="4A599F5C"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proofErr w:type="spellStart"/>
      <w:r w:rsidRPr="00025D5F">
        <w:rPr>
          <w:rFonts w:ascii="Arial" w:eastAsia="Times New Roman" w:hAnsi="Arial" w:cs="Arial"/>
          <w:sz w:val="18"/>
          <w:szCs w:val="18"/>
          <w:lang w:eastAsia="es-ES"/>
        </w:rPr>
        <w:t>ii</w:t>
      </w:r>
      <w:proofErr w:type="spellEnd"/>
      <w:r w:rsidRPr="00025D5F">
        <w:rPr>
          <w:rFonts w:ascii="Arial" w:eastAsia="Times New Roman" w:hAnsi="Arial" w:cs="Arial"/>
          <w:sz w:val="18"/>
          <w:szCs w:val="18"/>
          <w:lang w:eastAsia="es-ES"/>
        </w:rPr>
        <w:t xml:space="preserve">. Mejorar el perfil de vencimientos de la deuda y sus características; </w:t>
      </w:r>
    </w:p>
    <w:p w14:paraId="13B9C9E3"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proofErr w:type="spellStart"/>
      <w:r w:rsidRPr="00025D5F">
        <w:rPr>
          <w:rFonts w:ascii="Arial" w:eastAsia="Times New Roman" w:hAnsi="Arial" w:cs="Arial"/>
          <w:sz w:val="18"/>
          <w:szCs w:val="18"/>
          <w:lang w:eastAsia="es-ES"/>
        </w:rPr>
        <w:t>iii</w:t>
      </w:r>
      <w:proofErr w:type="spellEnd"/>
      <w:r w:rsidRPr="00025D5F">
        <w:rPr>
          <w:rFonts w:ascii="Arial" w:eastAsia="Times New Roman" w:hAnsi="Arial" w:cs="Arial"/>
          <w:sz w:val="18"/>
          <w:szCs w:val="18"/>
          <w:lang w:eastAsia="es-ES"/>
        </w:rPr>
        <w:t xml:space="preserve">. Realizar un manejo integral de los riesgos; </w:t>
      </w:r>
    </w:p>
    <w:p w14:paraId="06EAC2FC"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proofErr w:type="spellStart"/>
      <w:r w:rsidRPr="00025D5F">
        <w:rPr>
          <w:rFonts w:ascii="Arial" w:eastAsia="Times New Roman" w:hAnsi="Arial" w:cs="Arial"/>
          <w:sz w:val="18"/>
          <w:szCs w:val="18"/>
          <w:lang w:eastAsia="es-ES"/>
        </w:rPr>
        <w:t>iv</w:t>
      </w:r>
      <w:proofErr w:type="spellEnd"/>
      <w:r w:rsidRPr="00025D5F">
        <w:rPr>
          <w:rFonts w:ascii="Arial" w:eastAsia="Times New Roman" w:hAnsi="Arial" w:cs="Arial"/>
          <w:sz w:val="18"/>
          <w:szCs w:val="18"/>
          <w:lang w:eastAsia="es-ES"/>
        </w:rPr>
        <w:t xml:space="preserve">. Fortalecer la emisión de instrumentos alineados con los Objetivos de Desarrollo Sostenible (ODS) y principios Ambientales, Sociales y de Gobernanza (ASG); y </w:t>
      </w:r>
    </w:p>
    <w:p w14:paraId="7A176823"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v. Reforzar la sostenibilidad de la deuda pública. </w:t>
      </w:r>
    </w:p>
    <w:p w14:paraId="62FC2DCE"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El Gobierno Federal implementará operaciones de refinanciamiento y manejo de pasivos, así como una estrategia de gestión integral de riesgos mediante instrumentos financieros derivados, con el objetivo de mitigar la volatilidad financiera resultado de variaciones en precios del petróleo, el tipo de cambio y las tasas de interés; acotar el costo del servicio de la deuda; y preservar un portafolio de pasivos diversificado, sólido, protegido ante episodios de volatilidad y sin presiones de corto plazo. </w:t>
      </w:r>
    </w:p>
    <w:p w14:paraId="7214CE8C"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Asimismo, se priorizará la contratación de deuda en el mercado interno, privilegiando colocaciones a tasa fija y de largo plazo; de manera complementaria, se accederá al financiamiento externo únicamente cuando las condiciones de los mercados internacionales resulten favorables y competitivas. Con esta estrategia, se estima que al cierre de 2026 la deuda interna neta represente 84.2% de la deuda neta total, mientras que la deuda externa se ubique en 15.8%, con un plazo promedio de vencimiento de 7.9 años para la deuda interna y de 15.6 años para la deuda externa. </w:t>
      </w:r>
    </w:p>
    <w:p w14:paraId="21ADA938"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Respecto a la estructura del portafolio interno, se prevé que los valores gubernamentales a tasa fija y largo plazo representen 79.4% del saldo de la deuda interna. Adicionalmente, con un nivel de confianza de 95%, se estima que el costo financiero no incrementará en más de 2.5% respecto a su valor esperado.</w:t>
      </w:r>
    </w:p>
    <w:p w14:paraId="5194F381"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Cabe mencionar que el Gobierno Federal mantendrá una coordinación estrecha con las empresas públicas del Estado y otros emisores recurrentes del Sector Público, con el fin de fortalecer su portafolio de deuda, mitigar riesgos y asegurar que sus necesidades de financiamiento se cubran en las mejores condiciones de costo y plazo.</w:t>
      </w:r>
    </w:p>
    <w:p w14:paraId="5A4E73AE"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El mercado financiero interno continuará como la principal fuente de financiamiento, y se priorizará su desarrollo, con énfasis en instrumentos sostenibles. Se mantendrá el impulso al programa de Formadores de Mercado de Bonos y </w:t>
      </w:r>
      <w:proofErr w:type="spellStart"/>
      <w:r w:rsidRPr="00025D5F">
        <w:rPr>
          <w:rFonts w:ascii="Arial" w:eastAsia="Times New Roman" w:hAnsi="Arial" w:cs="Arial"/>
          <w:sz w:val="18"/>
          <w:szCs w:val="18"/>
          <w:lang w:eastAsia="es-ES"/>
        </w:rPr>
        <w:t>Udibonos</w:t>
      </w:r>
      <w:proofErr w:type="spellEnd"/>
      <w:r w:rsidRPr="00025D5F">
        <w:rPr>
          <w:rFonts w:ascii="Arial" w:eastAsia="Times New Roman" w:hAnsi="Arial" w:cs="Arial"/>
          <w:sz w:val="18"/>
          <w:szCs w:val="18"/>
          <w:lang w:eastAsia="es-ES"/>
        </w:rPr>
        <w:t xml:space="preserve">, con el objetivo de fortalecer la liquidez y profundidad del mercado local. El programa de subastas de valores gubernamentales se ajustará a las condiciones prevalecientes en los mercados financieros, con el propósito de actualizar referencias y optimizar los perfiles de vencimiento. </w:t>
      </w:r>
    </w:p>
    <w:p w14:paraId="5E33B027"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En particular, se emitirán Bonos M a tasa fija con plazos de 3, 5, 10, 20 y 30 años; </w:t>
      </w:r>
      <w:proofErr w:type="spellStart"/>
      <w:r w:rsidRPr="00025D5F">
        <w:rPr>
          <w:rFonts w:ascii="Arial" w:eastAsia="Times New Roman" w:hAnsi="Arial" w:cs="Arial"/>
          <w:sz w:val="18"/>
          <w:szCs w:val="18"/>
          <w:lang w:eastAsia="es-ES"/>
        </w:rPr>
        <w:t>Udibonos</w:t>
      </w:r>
      <w:proofErr w:type="spellEnd"/>
      <w:r w:rsidRPr="00025D5F">
        <w:rPr>
          <w:rFonts w:ascii="Arial" w:eastAsia="Times New Roman" w:hAnsi="Arial" w:cs="Arial"/>
          <w:sz w:val="18"/>
          <w:szCs w:val="18"/>
          <w:lang w:eastAsia="es-ES"/>
        </w:rPr>
        <w:t xml:space="preserve"> a plazos de 3, 10, 20 y 30 años; y Cetes en sus plazos tradicionales. Finalmente, se continuará con el desarrollo de los Bondes G y el Bono S como instrumentos clave de financiamiento sostenible. En el caso de los Bondes G, se reabrirán nodos existentes y se incorporarán nuevas referencias, mientras que para el Bono S se dará prioridad a fortalecer la liquidez y operatividad de la referencia vigente antes de avanzar a la emisión de nuevos plazos, contribuyendo así al desarrollo del mercado local y a la consolidación del financiamiento sostenible.</w:t>
      </w:r>
    </w:p>
    <w:p w14:paraId="29471BB1"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El Gobierno Federal conservará el crédito externo como fuente complementaria de financiamiento. Se mantendrá una presencia activa en los mercados con mayor liquidez y profundidad, con el propósito de asegurar una administración prudente del portafolio y un acceso ordenado y sostenible al financiamiento externo. Se monitoreará constantemente el mercado externo con el objetivo de establecer al menos un nuevo bono sostenible, que refleje el compromiso del Gobierno Federal respecto a este tipo de financiamiento. </w:t>
      </w:r>
    </w:p>
    <w:p w14:paraId="27FE0E2C"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p>
    <w:p w14:paraId="587282A7"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lastRenderedPageBreak/>
        <w:t>Las nuevas emisiones que realice el Gobierno Federal preservarán una curva de rendimientos líquida y eficiente, capaz de captar la demanda internacional y servir como referencia para otros emisores. Del mismo modo, se evaluarán las condiciones financieras globales para identificar momentos favorables que permitan suavizar el perfil de vencimientos de corto plazo, para disminuir las presiones de financiamiento y ampliar la duración promedio de la deuda.</w:t>
      </w:r>
    </w:p>
    <w:p w14:paraId="127A6E17"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Los </w:t>
      </w:r>
      <w:proofErr w:type="spellStart"/>
      <w:r w:rsidRPr="00025D5F">
        <w:rPr>
          <w:rFonts w:ascii="Arial" w:eastAsia="Times New Roman" w:hAnsi="Arial" w:cs="Arial"/>
          <w:sz w:val="18"/>
          <w:szCs w:val="18"/>
          <w:lang w:eastAsia="es-ES"/>
        </w:rPr>
        <w:t>Pidiregas</w:t>
      </w:r>
      <w:proofErr w:type="spellEnd"/>
      <w:r w:rsidRPr="00025D5F">
        <w:rPr>
          <w:rFonts w:ascii="Arial" w:eastAsia="Times New Roman" w:hAnsi="Arial" w:cs="Arial"/>
          <w:sz w:val="18"/>
          <w:szCs w:val="18"/>
          <w:lang w:eastAsia="es-ES"/>
        </w:rPr>
        <w:t xml:space="preserve">, que forman parte de la inversión física impulsada por el sector público, se agrupan en: i) los </w:t>
      </w:r>
      <w:proofErr w:type="spellStart"/>
      <w:r w:rsidRPr="00025D5F">
        <w:rPr>
          <w:rFonts w:ascii="Arial" w:eastAsia="Times New Roman" w:hAnsi="Arial" w:cs="Arial"/>
          <w:sz w:val="18"/>
          <w:szCs w:val="18"/>
          <w:lang w:eastAsia="es-ES"/>
        </w:rPr>
        <w:t>Pidiregas</w:t>
      </w:r>
      <w:proofErr w:type="spellEnd"/>
      <w:r w:rsidRPr="00025D5F">
        <w:rPr>
          <w:rFonts w:ascii="Arial" w:eastAsia="Times New Roman" w:hAnsi="Arial" w:cs="Arial"/>
          <w:sz w:val="18"/>
          <w:szCs w:val="18"/>
          <w:lang w:eastAsia="es-ES"/>
        </w:rPr>
        <w:t xml:space="preserve"> de inversión directa, que comprenden aquellos proyectos que en el tiempo constituirán inversión pública y que por tanto suponen adquirir obligaciones financieras que son registradas de conformidad con el artículo 18 de la Ley Federal de Deuda Pública y </w:t>
      </w:r>
      <w:proofErr w:type="spellStart"/>
      <w:r w:rsidRPr="00025D5F">
        <w:rPr>
          <w:rFonts w:ascii="Arial" w:eastAsia="Times New Roman" w:hAnsi="Arial" w:cs="Arial"/>
          <w:sz w:val="18"/>
          <w:szCs w:val="18"/>
          <w:lang w:eastAsia="es-ES"/>
        </w:rPr>
        <w:t>ii</w:t>
      </w:r>
      <w:proofErr w:type="spellEnd"/>
      <w:r w:rsidRPr="00025D5F">
        <w:rPr>
          <w:rFonts w:ascii="Arial" w:eastAsia="Times New Roman" w:hAnsi="Arial" w:cs="Arial"/>
          <w:sz w:val="18"/>
          <w:szCs w:val="18"/>
          <w:lang w:eastAsia="es-ES"/>
        </w:rPr>
        <w:t xml:space="preserve">) aquellos proyectos propiedad del sector privado y que implican únicamente compromisos comerciales, salvo que se presenten causas de fuerza mayor que impliquen su adquisición por el sector público. </w:t>
      </w:r>
    </w:p>
    <w:p w14:paraId="4D010A80"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Con el objeto de ampliar y mejorar la información relativa a los pasivos asociados a los proyectos de inversión financiada, se incluye información del pasivo de los proyectos </w:t>
      </w:r>
      <w:proofErr w:type="spellStart"/>
      <w:r w:rsidRPr="00025D5F">
        <w:rPr>
          <w:rFonts w:ascii="Arial" w:eastAsia="Times New Roman" w:hAnsi="Arial" w:cs="Arial"/>
          <w:sz w:val="18"/>
          <w:szCs w:val="18"/>
          <w:lang w:eastAsia="es-ES"/>
        </w:rPr>
        <w:t>Pidiregas</w:t>
      </w:r>
      <w:proofErr w:type="spellEnd"/>
      <w:r w:rsidRPr="00025D5F">
        <w:rPr>
          <w:rFonts w:ascii="Arial" w:eastAsia="Times New Roman" w:hAnsi="Arial" w:cs="Arial"/>
          <w:sz w:val="18"/>
          <w:szCs w:val="18"/>
          <w:lang w:eastAsia="es-ES"/>
        </w:rPr>
        <w:t xml:space="preserve"> que, de acuerdo con la normatividad aplicable, han sido recibidos a satisfacción por la CFE, reflejándose por lo tanto en sus registros contables. Cabe mencionar que, derivado del reconocimiento de los pasivos </w:t>
      </w:r>
      <w:proofErr w:type="spellStart"/>
      <w:r w:rsidRPr="00025D5F">
        <w:rPr>
          <w:rFonts w:ascii="Arial" w:eastAsia="Times New Roman" w:hAnsi="Arial" w:cs="Arial"/>
          <w:sz w:val="18"/>
          <w:szCs w:val="18"/>
          <w:lang w:eastAsia="es-ES"/>
        </w:rPr>
        <w:t>Pidiregas</w:t>
      </w:r>
      <w:proofErr w:type="spellEnd"/>
      <w:r w:rsidRPr="00025D5F">
        <w:rPr>
          <w:rFonts w:ascii="Arial" w:eastAsia="Times New Roman" w:hAnsi="Arial" w:cs="Arial"/>
          <w:sz w:val="18"/>
          <w:szCs w:val="18"/>
          <w:lang w:eastAsia="es-ES"/>
        </w:rPr>
        <w:t xml:space="preserve"> de Pemex como deuda directa en 2009, la única entidad que mantiene a la fecha este esquema es la CFE.</w:t>
      </w:r>
    </w:p>
    <w:p w14:paraId="656AB0EF"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Asimismo, en el rubro que se reporta como saldo del financiamiento obtenido por terceros, la entidad estimó los compromisos acumulados en dichos proyectos con base en los avances de obra y en los contratos respectivos. Estos compromisos se reflejarán en los balances de la entidad conforme los proyectos sean terminados y recibidos a completa satisfacción.</w:t>
      </w:r>
    </w:p>
    <w:p w14:paraId="6B95E87A"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El IPAB tiene como objetivo hacer frente a sus obligaciones financieras, principalmente a través de operaciones de refinanciamiento, con el menor impacto posible sobre las finanzas públicas, conservando el saldo de sus pasivos en una trayectoria sostenible y, por lo tanto, manteniendo expectativas razonables para los mercados financieros sobre el manejo de su deuda. </w:t>
      </w:r>
    </w:p>
    <w:p w14:paraId="54C7D1D8"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A fin de instrumentar la estrategia antes planteada, al igual que en los ejercicios fiscales de 2000 a 2024, el Ejecutivo Federal solicitó la asignación, en el Presupuesto de Egresos de la Federación (PEF) 2025, de los recursos necesarios para hacer frente al componente real proyectado de la deuda neta del IPAB (deuda bruta menos recursos líquidos), considerando para ello los ingresos propios esperados del Instituto, por concepto del 75.0% de las cuotas que se reciben de la banca múltiple (Cuotas) y, en su caso, la recuperación de activos. Asimismo, en el artículo 2 de la LIF 2025, el H. Congreso de la Unión otorgó al Instituto la facultad de contratar créditos o emitir valores con el único objeto de canjear o refinanciar exclusivamente sus obligaciones financieras, a fin de hacer frente a sus obligaciones de pago, otorgar liquidez a sus títulos y, en general, mejorar los términos y condiciones de sus obligaciones financieras.</w:t>
      </w:r>
    </w:p>
    <w:p w14:paraId="35B59CFE"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Al 31 de diciembre de 2025, la deuda neta del Instituto ascendió a 1 billón 23 mil 571.0 millones de pesos, registrando una disminución en términos reales de 2.85% respecto a diciembre de 2024. Esta disminución se explica principalmente por un menor saldo de deuda observado en el periodo. Por otra parte, el saldo de la deuda neta del Instituto al cierre del cuarto trimestre de 2025 representó el 2.79% del PIB, dato menor en 0.14 puntos porcentuales respecto al presentado al cierre del cuarto trimestre de 2024. En términos reales, el decremento de 0.14 puntos porcentuales se explica en 0.09% por el decrecimiento de la deuda del Instituto y en 0.05% por el crecimiento de la economía.</w:t>
      </w:r>
    </w:p>
    <w:p w14:paraId="2F09E878"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Al cierre del cuarto trimestre de 2025, el saldo de los activos totales del Instituto ascendió a 205 mil 443.0 millones de pesos, cifra que presentó una disminución de 9.73% en términos reales, respecto al cierre de diciembre de 2024. Cabe destacar que, el saldo del Fondo de Protección al Ahorro Bancario (Fondo) al cierre del mes de diciembre de 2025 ascendió a 121 mil 436.0 millones de pesos, lo que significó un incremento nominal de 14.25% y de 10.18% en términos reales respecto del mes de diciembre de 2024.</w:t>
      </w:r>
    </w:p>
    <w:p w14:paraId="5B6931C2"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Durante el cuarto trimestre de 2025, se recibieron recursos en el Instituto por un total de 70 mil 456.0 millones de pesos. Dichos recursos se componen de: i) 56 mil 38.0 millones de pesos correspondientes a operaciones de refinanciamiento a través de la colocación primaria y no competitiva de BPAS; </w:t>
      </w:r>
      <w:proofErr w:type="spellStart"/>
      <w:r w:rsidRPr="00025D5F">
        <w:rPr>
          <w:rFonts w:ascii="Arial" w:eastAsia="Times New Roman" w:hAnsi="Arial" w:cs="Arial"/>
          <w:sz w:val="18"/>
          <w:szCs w:val="18"/>
          <w:lang w:eastAsia="es-ES"/>
        </w:rPr>
        <w:t>ii</w:t>
      </w:r>
      <w:proofErr w:type="spellEnd"/>
      <w:r w:rsidRPr="00025D5F">
        <w:rPr>
          <w:rFonts w:ascii="Arial" w:eastAsia="Times New Roman" w:hAnsi="Arial" w:cs="Arial"/>
          <w:sz w:val="18"/>
          <w:szCs w:val="18"/>
          <w:lang w:eastAsia="es-ES"/>
        </w:rPr>
        <w:t xml:space="preserve">) 9 mil 690.0 millones de pesos por concepto de Cuotas cobradas a las Instituciones de Banca Múltiple (IBM); </w:t>
      </w:r>
      <w:proofErr w:type="spellStart"/>
      <w:r w:rsidRPr="00025D5F">
        <w:rPr>
          <w:rFonts w:ascii="Arial" w:eastAsia="Times New Roman" w:hAnsi="Arial" w:cs="Arial"/>
          <w:sz w:val="18"/>
          <w:szCs w:val="18"/>
          <w:lang w:eastAsia="es-ES"/>
        </w:rPr>
        <w:t>iii</w:t>
      </w:r>
      <w:proofErr w:type="spellEnd"/>
      <w:r w:rsidRPr="00025D5F">
        <w:rPr>
          <w:rFonts w:ascii="Arial" w:eastAsia="Times New Roman" w:hAnsi="Arial" w:cs="Arial"/>
          <w:sz w:val="18"/>
          <w:szCs w:val="18"/>
          <w:lang w:eastAsia="es-ES"/>
        </w:rPr>
        <w:t xml:space="preserve">) 3 mil 858.0 millones de pesos de intereses generados por la inversión de los activos líquidos del Instituto; y </w:t>
      </w:r>
      <w:proofErr w:type="spellStart"/>
      <w:r w:rsidRPr="00025D5F">
        <w:rPr>
          <w:rFonts w:ascii="Arial" w:eastAsia="Times New Roman" w:hAnsi="Arial" w:cs="Arial"/>
          <w:sz w:val="18"/>
          <w:szCs w:val="18"/>
          <w:lang w:eastAsia="es-ES"/>
        </w:rPr>
        <w:t>iv</w:t>
      </w:r>
      <w:proofErr w:type="spellEnd"/>
      <w:r w:rsidRPr="00025D5F">
        <w:rPr>
          <w:rFonts w:ascii="Arial" w:eastAsia="Times New Roman" w:hAnsi="Arial" w:cs="Arial"/>
          <w:sz w:val="18"/>
          <w:szCs w:val="18"/>
          <w:lang w:eastAsia="es-ES"/>
        </w:rPr>
        <w:t xml:space="preserve">) 870.0 millones de pesos por otros </w:t>
      </w:r>
      <w:r w:rsidRPr="00025D5F">
        <w:rPr>
          <w:rFonts w:ascii="Arial" w:eastAsia="Times New Roman" w:hAnsi="Arial" w:cs="Arial"/>
          <w:sz w:val="18"/>
          <w:szCs w:val="18"/>
          <w:lang w:eastAsia="es-ES"/>
        </w:rPr>
        <w:lastRenderedPageBreak/>
        <w:t xml:space="preserve">ingresos (actualización de cuotas omitidas, devolución de recursos no empleados para el POG13 , reembolso a la Reserva de Resoluciones, así como el remanente de liquidez por la extinción del FAMEVAL14). </w:t>
      </w:r>
    </w:p>
    <w:p w14:paraId="6DA6D8A2"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Por su parte, los pagos realizados durante el mismo periodo ascendieron a 100 mil 631.0 millones de pesos, de los cuales 68 mil 929.0 millones de pesos corresponden a la amortización de Bonos; 27 mil 279.0 millones de pesos al pago de intereses de dichos Bonos; 4 mil 301.0 millones de pesos para el pago de obligaciones garantizadas; 116 mil 814.0 millones de pesos a pagos relacionados con gastos de administración del Instituto; 3.8 millones de pesos relacionados a procesos de resolución y 0.9 millones de pesos para otros gastos.</w:t>
      </w:r>
    </w:p>
    <w:p w14:paraId="6BF4C0C4"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Con estricto apego a la facultad de refinanciamiento del Instituto establecida en el artículo 2 antes referido y, conforme al programa de subastas dado a conocer al público inversionista el 26 de septiembre de 2025, el Instituto colocó Bonos de Protección al Ahorro (BPAS o Bonos) a través del Banco de México como su agente financiero. Dado lo anterior, de octubre a diciembre del 2025, el IPAB colocó instrumentos por un monto nominal de 56 mil 128.0 millones de pesos, de los cuales 56 mil millones de pesos corresponden a subastas primarias y 128.0 millones de pesos a asignaciones no competitivas a través de la plataforma de </w:t>
      </w:r>
      <w:proofErr w:type="spellStart"/>
      <w:r w:rsidRPr="00025D5F">
        <w:rPr>
          <w:rFonts w:ascii="Arial" w:eastAsia="Times New Roman" w:hAnsi="Arial" w:cs="Arial"/>
          <w:sz w:val="18"/>
          <w:szCs w:val="18"/>
          <w:lang w:eastAsia="es-ES"/>
        </w:rPr>
        <w:t>Cetesdirecto</w:t>
      </w:r>
      <w:proofErr w:type="spellEnd"/>
      <w:r w:rsidRPr="00025D5F">
        <w:rPr>
          <w:rFonts w:ascii="Arial" w:eastAsia="Times New Roman" w:hAnsi="Arial" w:cs="Arial"/>
          <w:sz w:val="18"/>
          <w:szCs w:val="18"/>
          <w:lang w:eastAsia="es-ES"/>
        </w:rPr>
        <w:t>; por otra parte, amortizaron emisiones por un valor nominal de 68 mil 929.0 millones de pesos, de los cuales 68 mil 900.0 millones de pesos fueron de la subasta competitiva y 29.0 millones de pesos de la colocación no competitiva. Con lo anterior, el Instituto presentó una descolocación neta de 12 mil 801.0 millones de pesos. Las operaciones de refinanciamiento efectuadas durante el cuarto trimestre de 2025 contribuyeron con el objetivo estratégico del IPAB de hacer frente a sus obligaciones de pago de manera sostenible en el largo plazo.</w:t>
      </w:r>
    </w:p>
    <w:p w14:paraId="7740D937"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Al cierre del cuarto trimestre de 2025, el plazo promedio de los pasivos del Instituto fue de 2.68 años, dato 0.01 años mayor al observado en el cuarto trimestre de 2024 (2.67 años), derivado de que los porcentajes de la deuda con plazo de uno a cinco años han incrementado. Por otra parte, el 19 de diciembre de 2025, el IPAB dio a conocer al público inversionista las subastas primarias programadas a realizar durante el primer trimestre de 2026; para el cual, mantiene sin cambio el monto objetivo semanal a subastar respecto del cuarto trimestre de 2025, quedando en 4 mil millones de pesos, distribuidos de la siguiente manera: 1 mil 400.0 millones de pesos de BPAG28 a plazo de hasta 3 años; 1 mil 400.0 millones de pesos de BPAG91 a plazo de hasta 5 años y 1 mil 200.0 millones de pesos de BPA182 a plazo de hasta 7 años.</w:t>
      </w:r>
    </w:p>
    <w:p w14:paraId="7F3085A5"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El Gobierno del Estado de Tlaxcala mantiene el compromiso de no contraer deuda pública que pudiese comprometer las finanzas públicas en el corto y mediano plazo, aunado a las medidas de austeridad republicana implementadas por el Gobierno Federal, traduciéndose en un nivel de endeudamiento al cierre del ejercicio fiscal 2025 de $0.00, y al primer trimestre del ejercicio 2026 se continúa con un saldo de $0.00 de endeudamiento, manteniendo las finanzas del Gobierno del Estado sanas.</w:t>
      </w:r>
    </w:p>
    <w:p w14:paraId="0245DAED" w14:textId="77777777" w:rsidR="00A35925" w:rsidRPr="00B97B9A" w:rsidRDefault="00A35925" w:rsidP="00A35925">
      <w:pPr>
        <w:tabs>
          <w:tab w:val="left" w:pos="284"/>
        </w:tabs>
        <w:jc w:val="both"/>
        <w:rPr>
          <w:rFonts w:ascii="Arial" w:hAnsi="Arial" w:cs="Arial"/>
          <w:b/>
          <w:sz w:val="18"/>
          <w:szCs w:val="18"/>
        </w:rPr>
      </w:pPr>
      <w:r w:rsidRPr="00B97B9A">
        <w:rPr>
          <w:rFonts w:ascii="Arial" w:hAnsi="Arial" w:cs="Arial"/>
          <w:sz w:val="18"/>
          <w:szCs w:val="18"/>
        </w:rPr>
        <w:tab/>
      </w:r>
      <w:r w:rsidRPr="003E4FE7">
        <w:rPr>
          <w:rFonts w:ascii="Arial" w:hAnsi="Arial" w:cs="Arial"/>
          <w:b/>
          <w:sz w:val="18"/>
          <w:szCs w:val="18"/>
        </w:rPr>
        <w:t>11. Calificaciones otorgadas</w:t>
      </w:r>
    </w:p>
    <w:p w14:paraId="4CEC6DC5" w14:textId="784F17AF" w:rsidR="00A35925" w:rsidRDefault="00A35925" w:rsidP="00A35925">
      <w:r>
        <w:t xml:space="preserve">      No aplica, toda vez que no se tiene contrato con empresas calificadoras al 31 de marzo del ejercicio 202</w:t>
      </w:r>
      <w:r w:rsidR="00E31BFA">
        <w:t>6</w:t>
      </w:r>
      <w:r>
        <w:t>.</w:t>
      </w:r>
    </w:p>
    <w:p w14:paraId="253BF6D6" w14:textId="77777777" w:rsidR="00A35925" w:rsidRDefault="00A35925" w:rsidP="00A35925">
      <w:pPr>
        <w:rPr>
          <w:rFonts w:ascii="Arial" w:hAnsi="Arial" w:cs="Arial"/>
          <w:b/>
          <w:sz w:val="18"/>
          <w:szCs w:val="18"/>
        </w:rPr>
      </w:pPr>
      <w:r>
        <w:t xml:space="preserve">     </w:t>
      </w:r>
      <w:r w:rsidRPr="003A3004">
        <w:rPr>
          <w:rFonts w:ascii="Arial" w:hAnsi="Arial" w:cs="Arial"/>
          <w:b/>
          <w:sz w:val="18"/>
          <w:szCs w:val="18"/>
        </w:rPr>
        <w:t>12. Proceso de Mejora</w:t>
      </w:r>
    </w:p>
    <w:p w14:paraId="0879392D" w14:textId="77777777" w:rsidR="00A35925" w:rsidRPr="00B97B9A" w:rsidRDefault="00A35925" w:rsidP="00A35925">
      <w:r w:rsidRPr="00B97B9A">
        <w:t xml:space="preserve">     a) Principales políticas de control interno:</w:t>
      </w:r>
    </w:p>
    <w:p w14:paraId="2D932720" w14:textId="77777777" w:rsidR="00A35925" w:rsidRDefault="00A35925" w:rsidP="00A35925">
      <w:pPr>
        <w:ind w:left="708"/>
        <w:jc w:val="both"/>
      </w:pPr>
      <w:r>
        <w:t xml:space="preserve"> </w:t>
      </w:r>
      <w:r w:rsidRPr="00B97B9A">
        <w:t>Se cuenta con manuales de procedimientos, Lineamientos de Racionalidad, Austeridad y Disciplina</w:t>
      </w:r>
      <w:r>
        <w:t xml:space="preserve"> </w:t>
      </w:r>
      <w:r w:rsidRPr="00B97B9A">
        <w:t>Presupuestal, Lineamientos de Adquisiciones, Arrendamientos, Servicios y Obra Pública del Estado de Tlaxcala, así como la normatividad vigente para los registros contables emitidos por la Consejo Nacional de Armonización Contable.</w:t>
      </w:r>
    </w:p>
    <w:p w14:paraId="0150BDD0" w14:textId="77777777" w:rsidR="00A35925" w:rsidRPr="00B97B9A" w:rsidRDefault="00A35925" w:rsidP="00A35925">
      <w:pPr>
        <w:jc w:val="both"/>
      </w:pPr>
      <w:r>
        <w:t xml:space="preserve">   </w:t>
      </w:r>
      <w:r w:rsidRPr="00B97B9A">
        <w:t>b) Medidas de desempeño financiero, metas y alcance:</w:t>
      </w:r>
    </w:p>
    <w:p w14:paraId="118E771C" w14:textId="392C162B" w:rsidR="00A35925" w:rsidRDefault="00A35925" w:rsidP="00A35925">
      <w:pPr>
        <w:ind w:left="708"/>
        <w:jc w:val="both"/>
      </w:pPr>
      <w:r w:rsidRPr="00B97B9A">
        <w:t>Se lleva un control estadístico de actividades por área administrativa a fin de evaluar el desempeño de</w:t>
      </w:r>
      <w:r w:rsidRPr="00B97B9A">
        <w:rPr>
          <w:rFonts w:ascii="Arial Narrow" w:eastAsia="Times New Roman" w:hAnsi="Arial Narrow" w:cs="Times New Roman"/>
        </w:rPr>
        <w:t xml:space="preserve"> </w:t>
      </w:r>
      <w:r w:rsidRPr="00B97B9A">
        <w:t>acuerdo con lo programado y presupuestado (PBR) del ejercicio 202</w:t>
      </w:r>
      <w:r w:rsidR="00E31BFA">
        <w:t>6</w:t>
      </w:r>
      <w:r>
        <w:t>.</w:t>
      </w:r>
    </w:p>
    <w:p w14:paraId="217C1689" w14:textId="77777777" w:rsidR="00A35925" w:rsidRPr="00B97B9A" w:rsidRDefault="00A35925" w:rsidP="00A35925">
      <w:pPr>
        <w:jc w:val="both"/>
        <w:rPr>
          <w:b/>
        </w:rPr>
      </w:pPr>
      <w:r w:rsidRPr="003A3004">
        <w:rPr>
          <w:b/>
        </w:rPr>
        <w:lastRenderedPageBreak/>
        <w:t>13. Información por Segmentos</w:t>
      </w:r>
    </w:p>
    <w:p w14:paraId="30794EF0" w14:textId="77777777" w:rsidR="00A35925" w:rsidRDefault="00A35925" w:rsidP="00A35925">
      <w:pPr>
        <w:jc w:val="both"/>
      </w:pPr>
      <w:r>
        <w:t>No aplica, toda vez que el Poder Ejecutivo informa de manera pormenorizada de acuerdo a la estructura relativa a la Cuenta Pública emitida por el Consejo Nacional Armonización Contable.</w:t>
      </w:r>
    </w:p>
    <w:p w14:paraId="38D6221F" w14:textId="77777777" w:rsidR="00A35925" w:rsidRDefault="00A35925" w:rsidP="00A35925">
      <w:pPr>
        <w:jc w:val="both"/>
      </w:pPr>
      <w:r w:rsidRPr="00AD1464">
        <w:rPr>
          <w:b/>
        </w:rPr>
        <w:t>14. Eventos Posteriores al Cierre</w:t>
      </w:r>
    </w:p>
    <w:p w14:paraId="09E7C1B0" w14:textId="4A6810E8" w:rsidR="00A35925" w:rsidRDefault="00A35925" w:rsidP="00A35925">
      <w:pPr>
        <w:jc w:val="both"/>
      </w:pPr>
      <w:r>
        <w:t>No aplica, toda vez que no se registraron eventos posteriores al cierre del primer trimestre del ejercicio fiscal 202</w:t>
      </w:r>
      <w:r w:rsidR="00E31BFA">
        <w:t>6</w:t>
      </w:r>
      <w:r>
        <w:t>.</w:t>
      </w:r>
    </w:p>
    <w:p w14:paraId="1AFE4492" w14:textId="77777777" w:rsidR="00A35925" w:rsidRDefault="00A35925" w:rsidP="00A35925">
      <w:pPr>
        <w:jc w:val="both"/>
        <w:rPr>
          <w:b/>
        </w:rPr>
      </w:pPr>
      <w:r w:rsidRPr="00AD1464">
        <w:rPr>
          <w:b/>
        </w:rPr>
        <w:t>15. Partes Relacionadas</w:t>
      </w:r>
    </w:p>
    <w:p w14:paraId="27996165" w14:textId="3D00054E" w:rsidR="00A35925" w:rsidRDefault="00A35925" w:rsidP="00A35925">
      <w:pPr>
        <w:jc w:val="both"/>
      </w:pPr>
      <w:r>
        <w:t>No aplica, toda vez que el Poder Ejecutivo no cuenta con partes relacionadas al cierre del primer trimestre del ejercicio 202</w:t>
      </w:r>
      <w:r w:rsidR="00E31BFA">
        <w:t>6</w:t>
      </w:r>
      <w: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A35925" w14:paraId="518B981A" w14:textId="77777777" w:rsidTr="00D106A2">
        <w:trPr>
          <w:trHeight w:val="1671"/>
        </w:trPr>
        <w:tc>
          <w:tcPr>
            <w:tcW w:w="9350" w:type="dxa"/>
            <w:gridSpan w:val="3"/>
          </w:tcPr>
          <w:p w14:paraId="423A16B0" w14:textId="77777777" w:rsidR="00A35925" w:rsidRDefault="00A35925" w:rsidP="00D106A2">
            <w:pPr>
              <w:pStyle w:val="Texto"/>
              <w:spacing w:after="0" w:line="240" w:lineRule="exact"/>
              <w:ind w:firstLine="0"/>
              <w:rPr>
                <w:b/>
              </w:rPr>
            </w:pPr>
            <w:r w:rsidRPr="00931020">
              <w:rPr>
                <w:b/>
              </w:rPr>
              <w:t>16. Responsabilidad Sobre la Presentación Razonable de la Información Contable</w:t>
            </w:r>
          </w:p>
          <w:p w14:paraId="49854437" w14:textId="77777777" w:rsidR="00A35925" w:rsidRDefault="00A35925" w:rsidP="00D106A2">
            <w:pPr>
              <w:pStyle w:val="Texto"/>
              <w:spacing w:after="0" w:line="240" w:lineRule="exact"/>
              <w:ind w:firstLine="0"/>
              <w:rPr>
                <w:color w:val="000000"/>
                <w:szCs w:val="18"/>
              </w:rPr>
            </w:pPr>
          </w:p>
          <w:p w14:paraId="1896C980" w14:textId="77777777" w:rsidR="00A35925" w:rsidRDefault="00A35925" w:rsidP="00D106A2">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14:paraId="6BBCECF8" w14:textId="77777777" w:rsidR="00A35925" w:rsidRDefault="00A35925" w:rsidP="00D106A2">
            <w:pPr>
              <w:pStyle w:val="Texto"/>
              <w:spacing w:after="0" w:line="240" w:lineRule="exact"/>
              <w:ind w:firstLine="0"/>
              <w:rPr>
                <w:szCs w:val="18"/>
              </w:rPr>
            </w:pPr>
          </w:p>
          <w:p w14:paraId="49DBCC25" w14:textId="77777777" w:rsidR="00A35925" w:rsidRDefault="00A35925" w:rsidP="00D106A2">
            <w:pPr>
              <w:pStyle w:val="Texto"/>
              <w:spacing w:after="0" w:line="240" w:lineRule="exact"/>
              <w:ind w:firstLine="0"/>
              <w:rPr>
                <w:szCs w:val="18"/>
              </w:rPr>
            </w:pPr>
          </w:p>
          <w:p w14:paraId="10339092" w14:textId="77777777" w:rsidR="00A35925" w:rsidRDefault="00A35925" w:rsidP="00D106A2">
            <w:pPr>
              <w:pStyle w:val="Texto"/>
              <w:spacing w:after="0" w:line="240" w:lineRule="exact"/>
              <w:ind w:firstLine="0"/>
              <w:rPr>
                <w:szCs w:val="18"/>
              </w:rPr>
            </w:pPr>
          </w:p>
          <w:p w14:paraId="253DDE73" w14:textId="77777777" w:rsidR="00A35925" w:rsidRDefault="00A35925" w:rsidP="00D106A2">
            <w:pPr>
              <w:pStyle w:val="Texto"/>
              <w:spacing w:after="0" w:line="240" w:lineRule="exact"/>
              <w:ind w:firstLine="0"/>
              <w:rPr>
                <w:szCs w:val="18"/>
              </w:rPr>
            </w:pPr>
          </w:p>
        </w:tc>
      </w:tr>
      <w:tr w:rsidR="00A35925" w14:paraId="2A8F98F7" w14:textId="77777777" w:rsidTr="00D106A2">
        <w:tc>
          <w:tcPr>
            <w:tcW w:w="4106" w:type="dxa"/>
          </w:tcPr>
          <w:p w14:paraId="7356EB5E" w14:textId="77777777" w:rsidR="00A35925" w:rsidRDefault="00A35925" w:rsidP="00D106A2">
            <w:pPr>
              <w:jc w:val="center"/>
              <w:rPr>
                <w:rFonts w:ascii="Arial" w:hAnsi="Arial" w:cs="Arial"/>
                <w:color w:val="000000"/>
                <w:sz w:val="18"/>
                <w:szCs w:val="18"/>
              </w:rPr>
            </w:pPr>
          </w:p>
          <w:p w14:paraId="689071C1" w14:textId="77777777" w:rsidR="00A35925" w:rsidRDefault="00A35925" w:rsidP="00D106A2">
            <w:pPr>
              <w:jc w:val="center"/>
              <w:rPr>
                <w:rFonts w:ascii="Arial" w:hAnsi="Arial" w:cs="Arial"/>
                <w:color w:val="000000"/>
                <w:sz w:val="18"/>
                <w:szCs w:val="18"/>
              </w:rPr>
            </w:pPr>
          </w:p>
          <w:p w14:paraId="0868D5A7" w14:textId="77777777" w:rsidR="00A35925" w:rsidRDefault="00A35925" w:rsidP="00D106A2">
            <w:pPr>
              <w:jc w:val="center"/>
              <w:rPr>
                <w:rFonts w:ascii="Arial" w:hAnsi="Arial" w:cs="Arial"/>
                <w:color w:val="000000"/>
                <w:sz w:val="18"/>
                <w:szCs w:val="18"/>
              </w:rPr>
            </w:pPr>
            <w:r>
              <w:rPr>
                <w:rFonts w:ascii="Arial" w:hAnsi="Arial" w:cs="Arial"/>
                <w:color w:val="000000"/>
                <w:sz w:val="18"/>
                <w:szCs w:val="18"/>
              </w:rPr>
              <w:t>_____________________________________</w:t>
            </w:r>
          </w:p>
          <w:p w14:paraId="38D927A8" w14:textId="77777777" w:rsidR="00A35925" w:rsidRDefault="00A35925" w:rsidP="00D106A2">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14:paraId="7DD33683" w14:textId="77777777" w:rsidR="00A35925" w:rsidRDefault="00A35925" w:rsidP="00D106A2">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14:paraId="2ADF41AB" w14:textId="77777777" w:rsidR="00A35925" w:rsidRDefault="00A35925" w:rsidP="00D106A2">
            <w:pPr>
              <w:pStyle w:val="Texto"/>
              <w:spacing w:after="0" w:line="240" w:lineRule="exact"/>
              <w:ind w:firstLine="0"/>
              <w:jc w:val="center"/>
              <w:rPr>
                <w:szCs w:val="18"/>
              </w:rPr>
            </w:pPr>
          </w:p>
        </w:tc>
        <w:tc>
          <w:tcPr>
            <w:tcW w:w="1134" w:type="dxa"/>
          </w:tcPr>
          <w:p w14:paraId="51E6FD2F" w14:textId="77777777" w:rsidR="00A35925" w:rsidRDefault="00A35925" w:rsidP="00D106A2">
            <w:pPr>
              <w:pStyle w:val="Texto"/>
              <w:spacing w:after="0" w:line="240" w:lineRule="exact"/>
              <w:ind w:firstLine="0"/>
              <w:rPr>
                <w:szCs w:val="18"/>
              </w:rPr>
            </w:pPr>
          </w:p>
        </w:tc>
        <w:tc>
          <w:tcPr>
            <w:tcW w:w="4110" w:type="dxa"/>
          </w:tcPr>
          <w:p w14:paraId="258BD987" w14:textId="77777777" w:rsidR="00A35925" w:rsidRPr="00F3142D" w:rsidRDefault="00A35925" w:rsidP="00D106A2">
            <w:pPr>
              <w:pStyle w:val="Texto"/>
              <w:spacing w:after="0" w:line="240" w:lineRule="exact"/>
              <w:ind w:firstLine="0"/>
              <w:jc w:val="center"/>
              <w:rPr>
                <w:color w:val="000000"/>
                <w:szCs w:val="18"/>
              </w:rPr>
            </w:pPr>
          </w:p>
          <w:p w14:paraId="0124E7A3" w14:textId="77777777" w:rsidR="00A35925" w:rsidRPr="00F3142D" w:rsidRDefault="00A35925" w:rsidP="00D106A2">
            <w:pPr>
              <w:pStyle w:val="Texto"/>
              <w:spacing w:after="0" w:line="240" w:lineRule="exact"/>
              <w:ind w:firstLine="0"/>
              <w:jc w:val="center"/>
              <w:rPr>
                <w:color w:val="000000"/>
                <w:szCs w:val="18"/>
              </w:rPr>
            </w:pPr>
          </w:p>
          <w:p w14:paraId="7FD718A6" w14:textId="77777777" w:rsidR="00A35925" w:rsidRPr="00F3142D" w:rsidRDefault="00A35925" w:rsidP="00D106A2">
            <w:pPr>
              <w:pStyle w:val="Texto"/>
              <w:spacing w:after="0" w:line="240" w:lineRule="exact"/>
              <w:ind w:firstLine="0"/>
              <w:jc w:val="center"/>
              <w:rPr>
                <w:color w:val="000000"/>
                <w:szCs w:val="18"/>
              </w:rPr>
            </w:pPr>
            <w:r w:rsidRPr="00F3142D">
              <w:rPr>
                <w:color w:val="000000"/>
                <w:szCs w:val="18"/>
              </w:rPr>
              <w:t>____________________________________</w:t>
            </w:r>
          </w:p>
          <w:p w14:paraId="79D9A099" w14:textId="77777777" w:rsidR="00A35925" w:rsidRPr="00F3142D" w:rsidRDefault="00A35925" w:rsidP="00D106A2">
            <w:pPr>
              <w:pStyle w:val="Texto"/>
              <w:spacing w:after="0" w:line="240" w:lineRule="exact"/>
              <w:ind w:firstLine="0"/>
              <w:jc w:val="center"/>
              <w:rPr>
                <w:color w:val="000000"/>
                <w:szCs w:val="18"/>
              </w:rPr>
            </w:pPr>
            <w:r w:rsidRPr="00F3142D">
              <w:rPr>
                <w:color w:val="000000"/>
                <w:szCs w:val="18"/>
              </w:rPr>
              <w:t>C.P. Román Muñoz Calva</w:t>
            </w:r>
          </w:p>
          <w:p w14:paraId="2CF3028C" w14:textId="77777777" w:rsidR="00A35925" w:rsidRDefault="00A35925" w:rsidP="00D106A2">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14:paraId="01B57D2B" w14:textId="77777777" w:rsidR="00A35925" w:rsidRDefault="00A35925" w:rsidP="00D106A2">
            <w:pPr>
              <w:pStyle w:val="Texto"/>
              <w:spacing w:after="0" w:line="240" w:lineRule="exact"/>
              <w:ind w:firstLine="0"/>
              <w:jc w:val="center"/>
              <w:rPr>
                <w:szCs w:val="18"/>
              </w:rPr>
            </w:pPr>
          </w:p>
        </w:tc>
      </w:tr>
    </w:tbl>
    <w:p w14:paraId="61EBF401" w14:textId="77777777" w:rsidR="00A35925" w:rsidRDefault="00A35925" w:rsidP="00A35925">
      <w:pPr>
        <w:pStyle w:val="Texto"/>
        <w:spacing w:after="0" w:line="240" w:lineRule="exact"/>
        <w:rPr>
          <w:szCs w:val="18"/>
        </w:rPr>
      </w:pPr>
    </w:p>
    <w:p w14:paraId="33FCA4A7" w14:textId="77777777" w:rsidR="00A35925" w:rsidRDefault="00A35925" w:rsidP="00A35925">
      <w:pPr>
        <w:pStyle w:val="Texto"/>
        <w:spacing w:after="0" w:line="276" w:lineRule="auto"/>
        <w:jc w:val="center"/>
        <w:rPr>
          <w:b/>
          <w:szCs w:val="18"/>
        </w:rPr>
      </w:pPr>
    </w:p>
    <w:p w14:paraId="4A7064D9" w14:textId="77777777" w:rsidR="00034632" w:rsidRDefault="00034632" w:rsidP="00A35925">
      <w:pPr>
        <w:pStyle w:val="Texto"/>
        <w:spacing w:after="0" w:line="276" w:lineRule="auto"/>
        <w:jc w:val="center"/>
        <w:rPr>
          <w:b/>
          <w:szCs w:val="18"/>
        </w:rPr>
      </w:pPr>
    </w:p>
    <w:p w14:paraId="3EF8BE89" w14:textId="77777777" w:rsidR="00034632" w:rsidRDefault="00034632" w:rsidP="00A35925">
      <w:pPr>
        <w:pStyle w:val="Texto"/>
        <w:spacing w:after="0" w:line="276" w:lineRule="auto"/>
        <w:jc w:val="center"/>
        <w:rPr>
          <w:b/>
          <w:szCs w:val="18"/>
        </w:rPr>
      </w:pPr>
    </w:p>
    <w:p w14:paraId="4220DEA3" w14:textId="77777777" w:rsidR="00034632" w:rsidRDefault="00034632" w:rsidP="00A35925">
      <w:pPr>
        <w:pStyle w:val="Texto"/>
        <w:spacing w:after="0" w:line="276" w:lineRule="auto"/>
        <w:jc w:val="center"/>
        <w:rPr>
          <w:b/>
          <w:szCs w:val="18"/>
        </w:rPr>
      </w:pPr>
    </w:p>
    <w:p w14:paraId="5233FF9E" w14:textId="77777777" w:rsidR="00034632" w:rsidRDefault="00034632" w:rsidP="00A35925">
      <w:pPr>
        <w:pStyle w:val="Texto"/>
        <w:spacing w:after="0" w:line="276" w:lineRule="auto"/>
        <w:jc w:val="center"/>
        <w:rPr>
          <w:b/>
          <w:szCs w:val="18"/>
        </w:rPr>
      </w:pPr>
    </w:p>
    <w:p w14:paraId="15A5EA5E" w14:textId="77777777" w:rsidR="00034632" w:rsidRDefault="00034632" w:rsidP="00A35925">
      <w:pPr>
        <w:pStyle w:val="Texto"/>
        <w:spacing w:after="0" w:line="276" w:lineRule="auto"/>
        <w:jc w:val="center"/>
        <w:rPr>
          <w:b/>
          <w:szCs w:val="18"/>
        </w:rPr>
      </w:pPr>
    </w:p>
    <w:p w14:paraId="03600C69" w14:textId="77777777" w:rsidR="00034632" w:rsidRDefault="00034632" w:rsidP="00A35925">
      <w:pPr>
        <w:pStyle w:val="Texto"/>
        <w:spacing w:after="0" w:line="276" w:lineRule="auto"/>
        <w:jc w:val="center"/>
        <w:rPr>
          <w:b/>
          <w:szCs w:val="18"/>
        </w:rPr>
      </w:pPr>
    </w:p>
    <w:p w14:paraId="2EBFD560" w14:textId="77777777" w:rsidR="00034632" w:rsidRDefault="00034632" w:rsidP="00A35925">
      <w:pPr>
        <w:pStyle w:val="Texto"/>
        <w:spacing w:after="0" w:line="276" w:lineRule="auto"/>
        <w:jc w:val="center"/>
        <w:rPr>
          <w:b/>
          <w:szCs w:val="18"/>
        </w:rPr>
      </w:pPr>
    </w:p>
    <w:p w14:paraId="3F2D6325" w14:textId="77777777" w:rsidR="00034632" w:rsidRDefault="00034632" w:rsidP="00A35925">
      <w:pPr>
        <w:pStyle w:val="Texto"/>
        <w:spacing w:after="0" w:line="276" w:lineRule="auto"/>
        <w:jc w:val="center"/>
        <w:rPr>
          <w:b/>
          <w:szCs w:val="18"/>
        </w:rPr>
      </w:pPr>
    </w:p>
    <w:p w14:paraId="2386FE76" w14:textId="77777777" w:rsidR="00034632" w:rsidRDefault="00034632" w:rsidP="00A35925">
      <w:pPr>
        <w:pStyle w:val="Texto"/>
        <w:spacing w:after="0" w:line="276" w:lineRule="auto"/>
        <w:jc w:val="center"/>
        <w:rPr>
          <w:b/>
          <w:szCs w:val="18"/>
        </w:rPr>
      </w:pPr>
    </w:p>
    <w:p w14:paraId="0CB97587" w14:textId="77777777" w:rsidR="00034632" w:rsidRDefault="00034632" w:rsidP="00A35925">
      <w:pPr>
        <w:pStyle w:val="Texto"/>
        <w:spacing w:after="0" w:line="276" w:lineRule="auto"/>
        <w:jc w:val="center"/>
        <w:rPr>
          <w:b/>
          <w:szCs w:val="18"/>
        </w:rPr>
      </w:pPr>
    </w:p>
    <w:p w14:paraId="0BAB870A" w14:textId="77777777" w:rsidR="00034632" w:rsidRDefault="00034632" w:rsidP="00A35925">
      <w:pPr>
        <w:pStyle w:val="Texto"/>
        <w:spacing w:after="0" w:line="276" w:lineRule="auto"/>
        <w:jc w:val="center"/>
        <w:rPr>
          <w:b/>
          <w:szCs w:val="18"/>
        </w:rPr>
      </w:pPr>
    </w:p>
    <w:p w14:paraId="0E0FC1C6" w14:textId="77777777" w:rsidR="00034632" w:rsidRDefault="00034632" w:rsidP="00A35925">
      <w:pPr>
        <w:pStyle w:val="Texto"/>
        <w:spacing w:after="0" w:line="276" w:lineRule="auto"/>
        <w:jc w:val="center"/>
        <w:rPr>
          <w:b/>
          <w:szCs w:val="18"/>
        </w:rPr>
      </w:pPr>
    </w:p>
    <w:p w14:paraId="6DAA5CA2" w14:textId="77777777" w:rsidR="00034632" w:rsidRDefault="00034632" w:rsidP="00A35925">
      <w:pPr>
        <w:pStyle w:val="Texto"/>
        <w:spacing w:after="0" w:line="276" w:lineRule="auto"/>
        <w:jc w:val="center"/>
        <w:rPr>
          <w:b/>
          <w:szCs w:val="18"/>
        </w:rPr>
      </w:pPr>
    </w:p>
    <w:p w14:paraId="029BAB64" w14:textId="77777777" w:rsidR="00034632" w:rsidRDefault="00034632" w:rsidP="00A35925">
      <w:pPr>
        <w:pStyle w:val="Texto"/>
        <w:spacing w:after="0" w:line="276" w:lineRule="auto"/>
        <w:jc w:val="center"/>
        <w:rPr>
          <w:b/>
          <w:szCs w:val="18"/>
        </w:rPr>
      </w:pPr>
    </w:p>
    <w:p w14:paraId="1BE0C6B7" w14:textId="77777777" w:rsidR="00034632" w:rsidRDefault="00034632" w:rsidP="00A35925">
      <w:pPr>
        <w:pStyle w:val="Texto"/>
        <w:spacing w:after="0" w:line="276" w:lineRule="auto"/>
        <w:jc w:val="center"/>
        <w:rPr>
          <w:b/>
          <w:szCs w:val="18"/>
        </w:rPr>
      </w:pPr>
    </w:p>
    <w:p w14:paraId="7EF6AB6E" w14:textId="77777777" w:rsidR="00034632" w:rsidRDefault="00034632" w:rsidP="00A35925">
      <w:pPr>
        <w:pStyle w:val="Texto"/>
        <w:spacing w:after="0" w:line="276" w:lineRule="auto"/>
        <w:jc w:val="center"/>
        <w:rPr>
          <w:b/>
          <w:szCs w:val="18"/>
        </w:rPr>
      </w:pPr>
    </w:p>
    <w:p w14:paraId="334DCC56" w14:textId="77777777" w:rsidR="00034632" w:rsidRDefault="00034632" w:rsidP="00A35925">
      <w:pPr>
        <w:pStyle w:val="Texto"/>
        <w:spacing w:after="0" w:line="276" w:lineRule="auto"/>
        <w:jc w:val="center"/>
        <w:rPr>
          <w:b/>
          <w:szCs w:val="18"/>
        </w:rPr>
      </w:pPr>
    </w:p>
    <w:p w14:paraId="314E2A9F" w14:textId="77777777" w:rsidR="00034632" w:rsidRDefault="00034632" w:rsidP="00A35925">
      <w:pPr>
        <w:pStyle w:val="Texto"/>
        <w:spacing w:after="0" w:line="276" w:lineRule="auto"/>
        <w:jc w:val="center"/>
        <w:rPr>
          <w:b/>
          <w:szCs w:val="18"/>
        </w:rPr>
      </w:pPr>
    </w:p>
    <w:p w14:paraId="282CF3A6" w14:textId="77777777" w:rsidR="00034632" w:rsidRDefault="00034632" w:rsidP="00A35925">
      <w:pPr>
        <w:pStyle w:val="Texto"/>
        <w:spacing w:after="0" w:line="276" w:lineRule="auto"/>
        <w:jc w:val="center"/>
        <w:rPr>
          <w:b/>
          <w:szCs w:val="18"/>
        </w:rPr>
      </w:pPr>
    </w:p>
    <w:p w14:paraId="15DBBF3C" w14:textId="77777777" w:rsidR="00034632" w:rsidRDefault="00034632" w:rsidP="00A35925">
      <w:pPr>
        <w:pStyle w:val="Texto"/>
        <w:spacing w:after="0" w:line="276" w:lineRule="auto"/>
        <w:jc w:val="center"/>
        <w:rPr>
          <w:b/>
          <w:szCs w:val="18"/>
        </w:rPr>
      </w:pPr>
    </w:p>
    <w:p w14:paraId="0FBF3F22" w14:textId="77777777" w:rsidR="00034632" w:rsidRDefault="00034632" w:rsidP="00A35925">
      <w:pPr>
        <w:pStyle w:val="Texto"/>
        <w:spacing w:after="0" w:line="276" w:lineRule="auto"/>
        <w:jc w:val="center"/>
        <w:rPr>
          <w:b/>
          <w:szCs w:val="18"/>
        </w:rPr>
      </w:pPr>
    </w:p>
    <w:p w14:paraId="24512E1D" w14:textId="77777777" w:rsidR="00034632" w:rsidRDefault="00034632" w:rsidP="00A35925">
      <w:pPr>
        <w:pStyle w:val="Texto"/>
        <w:spacing w:after="0" w:line="276" w:lineRule="auto"/>
        <w:jc w:val="center"/>
        <w:rPr>
          <w:b/>
          <w:szCs w:val="18"/>
        </w:rPr>
      </w:pPr>
    </w:p>
    <w:p w14:paraId="3DB3D383" w14:textId="77777777" w:rsidR="00034632" w:rsidRDefault="00034632" w:rsidP="00A35925">
      <w:pPr>
        <w:pStyle w:val="Texto"/>
        <w:spacing w:after="0" w:line="276" w:lineRule="auto"/>
        <w:jc w:val="center"/>
        <w:rPr>
          <w:b/>
          <w:szCs w:val="18"/>
        </w:rPr>
      </w:pPr>
    </w:p>
    <w:p w14:paraId="68159F4C" w14:textId="77777777" w:rsidR="00034632" w:rsidRDefault="00034632" w:rsidP="00A35925">
      <w:pPr>
        <w:pStyle w:val="Texto"/>
        <w:spacing w:after="0" w:line="276" w:lineRule="auto"/>
        <w:jc w:val="center"/>
        <w:rPr>
          <w:b/>
          <w:szCs w:val="18"/>
        </w:rPr>
      </w:pPr>
    </w:p>
    <w:p w14:paraId="7E456FC8" w14:textId="77777777" w:rsidR="00A35925" w:rsidRDefault="00A35925" w:rsidP="00A35925">
      <w:pPr>
        <w:pStyle w:val="Texto"/>
        <w:spacing w:after="0" w:line="276" w:lineRule="auto"/>
        <w:jc w:val="center"/>
        <w:rPr>
          <w:b/>
          <w:szCs w:val="18"/>
        </w:rPr>
      </w:pPr>
    </w:p>
    <w:p w14:paraId="48DE590C" w14:textId="77777777" w:rsidR="00A35925" w:rsidRPr="0073056A" w:rsidRDefault="00A35925" w:rsidP="00A35925">
      <w:pPr>
        <w:pStyle w:val="Texto"/>
        <w:spacing w:after="0" w:line="276" w:lineRule="auto"/>
        <w:jc w:val="center"/>
        <w:rPr>
          <w:b/>
          <w:szCs w:val="18"/>
        </w:rPr>
      </w:pPr>
      <w:r w:rsidRPr="0073056A">
        <w:rPr>
          <w:b/>
          <w:szCs w:val="18"/>
        </w:rPr>
        <w:t>NOTAS A LOS ESTADOS FINANCIEROS</w:t>
      </w:r>
    </w:p>
    <w:p w14:paraId="150AF1E9" w14:textId="77777777" w:rsidR="00A35925" w:rsidRDefault="00A35925" w:rsidP="00A35925">
      <w:pPr>
        <w:pStyle w:val="Texto"/>
        <w:spacing w:after="0" w:line="276" w:lineRule="auto"/>
        <w:jc w:val="center"/>
        <w:rPr>
          <w:b/>
          <w:szCs w:val="18"/>
        </w:rPr>
      </w:pPr>
    </w:p>
    <w:p w14:paraId="5FEF353C" w14:textId="77777777" w:rsidR="00A35925" w:rsidRPr="0073056A" w:rsidRDefault="00A35925" w:rsidP="00A35925">
      <w:pPr>
        <w:pStyle w:val="Texto"/>
        <w:spacing w:after="0" w:line="276" w:lineRule="auto"/>
        <w:jc w:val="center"/>
        <w:rPr>
          <w:szCs w:val="18"/>
        </w:rPr>
      </w:pPr>
      <w:r w:rsidRPr="0073056A">
        <w:rPr>
          <w:b/>
          <w:szCs w:val="18"/>
        </w:rPr>
        <w:t>a) NOTAS DE DESGLOSE</w:t>
      </w:r>
    </w:p>
    <w:p w14:paraId="76DA2479" w14:textId="77777777" w:rsidR="00A35925" w:rsidRDefault="00A35925" w:rsidP="00A35925">
      <w:pPr>
        <w:pStyle w:val="Texto"/>
        <w:spacing w:after="0" w:line="276" w:lineRule="auto"/>
        <w:rPr>
          <w:szCs w:val="18"/>
          <w:lang w:val="es-MX"/>
        </w:rPr>
      </w:pPr>
    </w:p>
    <w:p w14:paraId="29B62274" w14:textId="77777777" w:rsidR="00A35925" w:rsidRPr="0073056A" w:rsidRDefault="00A35925" w:rsidP="00A35925">
      <w:pPr>
        <w:pStyle w:val="INCISO"/>
        <w:tabs>
          <w:tab w:val="left" w:pos="284"/>
        </w:tabs>
        <w:spacing w:after="0" w:line="276" w:lineRule="auto"/>
        <w:ind w:left="284" w:firstLine="0"/>
        <w:rPr>
          <w:b/>
          <w:smallCaps/>
        </w:rPr>
      </w:pPr>
      <w:r w:rsidRPr="0073056A">
        <w:rPr>
          <w:b/>
          <w:smallCaps/>
        </w:rPr>
        <w:t>I)</w:t>
      </w:r>
      <w:r w:rsidRPr="0073056A">
        <w:rPr>
          <w:b/>
          <w:smallCaps/>
        </w:rPr>
        <w:tab/>
        <w:t>Notas al Estado de Actividades</w:t>
      </w:r>
    </w:p>
    <w:p w14:paraId="4B549694" w14:textId="77777777" w:rsidR="00A35925" w:rsidRPr="0073056A" w:rsidRDefault="00A35925" w:rsidP="00A35925">
      <w:pPr>
        <w:pStyle w:val="INCISO"/>
        <w:tabs>
          <w:tab w:val="left" w:pos="284"/>
        </w:tabs>
        <w:spacing w:after="0" w:line="276" w:lineRule="auto"/>
        <w:ind w:left="284" w:firstLine="0"/>
        <w:rPr>
          <w:b/>
          <w:smallCaps/>
        </w:rPr>
      </w:pPr>
    </w:p>
    <w:p w14:paraId="07218ED3" w14:textId="539F2509" w:rsidR="00A35925" w:rsidRDefault="00A35925" w:rsidP="00A35925">
      <w:pPr>
        <w:tabs>
          <w:tab w:val="left" w:pos="284"/>
        </w:tabs>
        <w:ind w:left="284"/>
        <w:jc w:val="both"/>
        <w:rPr>
          <w:rFonts w:ascii="Arial" w:hAnsi="Arial" w:cs="Arial"/>
          <w:sz w:val="18"/>
          <w:szCs w:val="18"/>
        </w:rPr>
      </w:pPr>
      <w:r>
        <w:rPr>
          <w:rFonts w:ascii="Arial" w:hAnsi="Arial" w:cs="Arial"/>
          <w:sz w:val="18"/>
          <w:szCs w:val="18"/>
          <w:lang w:val="es-ES"/>
        </w:rPr>
        <w:t xml:space="preserve">Al primer trimestre </w:t>
      </w:r>
      <w:r>
        <w:rPr>
          <w:rFonts w:ascii="Arial" w:hAnsi="Arial" w:cs="Arial"/>
          <w:sz w:val="18"/>
          <w:szCs w:val="18"/>
        </w:rPr>
        <w:t>del ejercicio 202</w:t>
      </w:r>
      <w:r w:rsidR="00D73392">
        <w:rPr>
          <w:rFonts w:ascii="Arial" w:hAnsi="Arial" w:cs="Arial"/>
          <w:sz w:val="18"/>
          <w:szCs w:val="18"/>
        </w:rPr>
        <w:t>6</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D73392">
        <w:rPr>
          <w:rFonts w:ascii="Arial" w:hAnsi="Arial" w:cs="Arial"/>
          <w:sz w:val="18"/>
          <w:szCs w:val="18"/>
        </w:rPr>
        <w:t>8</w:t>
      </w:r>
      <w:r>
        <w:rPr>
          <w:rFonts w:ascii="Arial" w:hAnsi="Arial" w:cs="Arial"/>
          <w:sz w:val="18"/>
          <w:szCs w:val="18"/>
        </w:rPr>
        <w:t>,</w:t>
      </w:r>
      <w:r w:rsidR="00D73392">
        <w:rPr>
          <w:rFonts w:ascii="Arial" w:hAnsi="Arial" w:cs="Arial"/>
          <w:sz w:val="18"/>
          <w:szCs w:val="18"/>
        </w:rPr>
        <w:t>026</w:t>
      </w:r>
      <w:r>
        <w:rPr>
          <w:rFonts w:ascii="Arial" w:hAnsi="Arial" w:cs="Arial"/>
          <w:sz w:val="18"/>
          <w:szCs w:val="18"/>
        </w:rPr>
        <w:t>,</w:t>
      </w:r>
      <w:r w:rsidR="00D73392">
        <w:rPr>
          <w:rFonts w:ascii="Arial" w:hAnsi="Arial" w:cs="Arial"/>
          <w:sz w:val="18"/>
          <w:szCs w:val="18"/>
        </w:rPr>
        <w:t>531</w:t>
      </w:r>
      <w:r>
        <w:rPr>
          <w:rFonts w:ascii="Arial" w:hAnsi="Arial" w:cs="Arial"/>
          <w:sz w:val="18"/>
          <w:szCs w:val="18"/>
        </w:rPr>
        <w:t>,</w:t>
      </w:r>
      <w:r w:rsidR="00D73392">
        <w:rPr>
          <w:rFonts w:ascii="Arial" w:hAnsi="Arial" w:cs="Arial"/>
          <w:sz w:val="18"/>
          <w:szCs w:val="18"/>
        </w:rPr>
        <w:t>168</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D73392">
        <w:rPr>
          <w:rFonts w:ascii="Arial" w:hAnsi="Arial" w:cs="Arial"/>
          <w:sz w:val="18"/>
          <w:szCs w:val="18"/>
        </w:rPr>
        <w:t>6</w:t>
      </w:r>
      <w:r>
        <w:rPr>
          <w:rFonts w:ascii="Arial" w:hAnsi="Arial" w:cs="Arial"/>
          <w:sz w:val="18"/>
          <w:szCs w:val="18"/>
        </w:rPr>
        <w:t>,</w:t>
      </w:r>
      <w:r w:rsidR="00D73392">
        <w:rPr>
          <w:rFonts w:ascii="Arial" w:hAnsi="Arial" w:cs="Arial"/>
          <w:sz w:val="18"/>
          <w:szCs w:val="18"/>
        </w:rPr>
        <w:t>449</w:t>
      </w:r>
      <w:r>
        <w:rPr>
          <w:rFonts w:ascii="Arial" w:hAnsi="Arial" w:cs="Arial"/>
          <w:sz w:val="18"/>
          <w:szCs w:val="18"/>
        </w:rPr>
        <w:t>,</w:t>
      </w:r>
      <w:r w:rsidR="00D73392">
        <w:rPr>
          <w:rFonts w:ascii="Arial" w:hAnsi="Arial" w:cs="Arial"/>
          <w:sz w:val="18"/>
          <w:szCs w:val="18"/>
        </w:rPr>
        <w:t>100</w:t>
      </w:r>
      <w:r>
        <w:rPr>
          <w:rFonts w:ascii="Arial" w:hAnsi="Arial" w:cs="Arial"/>
          <w:sz w:val="18"/>
          <w:szCs w:val="18"/>
        </w:rPr>
        <w:t>,</w:t>
      </w:r>
      <w:r w:rsidR="00D73392">
        <w:rPr>
          <w:rFonts w:ascii="Arial" w:hAnsi="Arial" w:cs="Arial"/>
          <w:sz w:val="18"/>
          <w:szCs w:val="18"/>
        </w:rPr>
        <w:t>217</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Pr>
          <w:rFonts w:ascii="Arial" w:hAnsi="Arial" w:cs="Arial"/>
          <w:sz w:val="18"/>
          <w:szCs w:val="18"/>
        </w:rPr>
        <w:t>1,57</w:t>
      </w:r>
      <w:r w:rsidR="00D73392">
        <w:rPr>
          <w:rFonts w:ascii="Arial" w:hAnsi="Arial" w:cs="Arial"/>
          <w:sz w:val="18"/>
          <w:szCs w:val="18"/>
        </w:rPr>
        <w:t>7</w:t>
      </w:r>
      <w:r>
        <w:rPr>
          <w:rFonts w:ascii="Arial" w:hAnsi="Arial" w:cs="Arial"/>
          <w:sz w:val="18"/>
          <w:szCs w:val="18"/>
        </w:rPr>
        <w:t>,</w:t>
      </w:r>
      <w:r w:rsidR="00D73392">
        <w:rPr>
          <w:rFonts w:ascii="Arial" w:hAnsi="Arial" w:cs="Arial"/>
          <w:sz w:val="18"/>
          <w:szCs w:val="18"/>
        </w:rPr>
        <w:t>430</w:t>
      </w:r>
      <w:r>
        <w:rPr>
          <w:rFonts w:ascii="Arial" w:hAnsi="Arial" w:cs="Arial"/>
          <w:sz w:val="18"/>
          <w:szCs w:val="18"/>
        </w:rPr>
        <w:t>,</w:t>
      </w:r>
      <w:r w:rsidR="00D73392">
        <w:rPr>
          <w:rFonts w:ascii="Arial" w:hAnsi="Arial" w:cs="Arial"/>
          <w:sz w:val="18"/>
          <w:szCs w:val="18"/>
        </w:rPr>
        <w:t>951</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 xml:space="preserve">ca y financiera realizada en el periodo, mismo que es menor en un </w:t>
      </w:r>
      <w:r w:rsidR="00D73392">
        <w:rPr>
          <w:rFonts w:ascii="Arial" w:hAnsi="Arial" w:cs="Arial"/>
          <w:sz w:val="18"/>
          <w:szCs w:val="18"/>
        </w:rPr>
        <w:t>33</w:t>
      </w:r>
      <w:r>
        <w:rPr>
          <w:rFonts w:ascii="Arial" w:hAnsi="Arial" w:cs="Arial"/>
          <w:sz w:val="18"/>
          <w:szCs w:val="18"/>
        </w:rPr>
        <w:t>%, respecto al ejercicio de 202</w:t>
      </w:r>
      <w:r w:rsidR="00D73392">
        <w:rPr>
          <w:rFonts w:ascii="Arial" w:hAnsi="Arial" w:cs="Arial"/>
          <w:sz w:val="18"/>
          <w:szCs w:val="18"/>
        </w:rPr>
        <w:t>5</w:t>
      </w:r>
      <w:r w:rsidRPr="0073056A">
        <w:rPr>
          <w:rFonts w:ascii="Arial" w:hAnsi="Arial" w:cs="Arial"/>
          <w:sz w:val="18"/>
          <w:szCs w:val="18"/>
        </w:rPr>
        <w:t>.</w:t>
      </w:r>
    </w:p>
    <w:p w14:paraId="2D70ED13" w14:textId="77777777" w:rsidR="00A35925" w:rsidRPr="0073056A" w:rsidRDefault="00A35925" w:rsidP="00A35925">
      <w:pPr>
        <w:tabs>
          <w:tab w:val="left" w:pos="284"/>
        </w:tabs>
        <w:ind w:left="284"/>
        <w:jc w:val="both"/>
        <w:rPr>
          <w:b/>
        </w:rPr>
      </w:pPr>
      <w:r w:rsidRPr="0073056A">
        <w:rPr>
          <w:b/>
        </w:rPr>
        <w:t>Ingresos de Gestión</w:t>
      </w:r>
    </w:p>
    <w:p w14:paraId="6043C31F" w14:textId="77777777" w:rsidR="00A35925" w:rsidRPr="0073056A" w:rsidRDefault="00A35925" w:rsidP="00A35925">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14:paraId="22A17892" w14:textId="39E07F3A" w:rsidR="00A35925" w:rsidRPr="0073056A" w:rsidRDefault="00A35925" w:rsidP="00A35925">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de origen estatal. Al mes de marzo de 202</w:t>
      </w:r>
      <w:r w:rsidR="00D73392">
        <w:rPr>
          <w:rFonts w:ascii="Arial" w:hAnsi="Arial" w:cs="Arial"/>
          <w:sz w:val="18"/>
          <w:szCs w:val="18"/>
        </w:rPr>
        <w:t>6</w:t>
      </w:r>
      <w:r w:rsidRPr="0073056A">
        <w:rPr>
          <w:rFonts w:ascii="Arial" w:hAnsi="Arial" w:cs="Arial"/>
          <w:sz w:val="18"/>
          <w:szCs w:val="18"/>
        </w:rPr>
        <w:t xml:space="preserve"> se recaudó la cantidad de $</w:t>
      </w:r>
      <w:r>
        <w:rPr>
          <w:rFonts w:ascii="Arial" w:hAnsi="Arial" w:cs="Arial"/>
          <w:sz w:val="18"/>
          <w:szCs w:val="18"/>
        </w:rPr>
        <w:t>3</w:t>
      </w:r>
      <w:r w:rsidR="00D73392">
        <w:rPr>
          <w:rFonts w:ascii="Arial" w:hAnsi="Arial" w:cs="Arial"/>
          <w:sz w:val="18"/>
          <w:szCs w:val="18"/>
        </w:rPr>
        <w:t>36</w:t>
      </w:r>
      <w:r>
        <w:rPr>
          <w:rFonts w:ascii="Arial" w:hAnsi="Arial" w:cs="Arial"/>
          <w:sz w:val="18"/>
          <w:szCs w:val="18"/>
        </w:rPr>
        <w:t>,</w:t>
      </w:r>
      <w:r w:rsidR="00D73392">
        <w:rPr>
          <w:rFonts w:ascii="Arial" w:hAnsi="Arial" w:cs="Arial"/>
          <w:sz w:val="18"/>
          <w:szCs w:val="18"/>
        </w:rPr>
        <w:t>501</w:t>
      </w:r>
      <w:r>
        <w:rPr>
          <w:rFonts w:ascii="Arial" w:hAnsi="Arial" w:cs="Arial"/>
          <w:sz w:val="18"/>
          <w:szCs w:val="18"/>
        </w:rPr>
        <w:t>,</w:t>
      </w:r>
      <w:r w:rsidR="00D73392">
        <w:rPr>
          <w:rFonts w:ascii="Arial" w:hAnsi="Arial" w:cs="Arial"/>
          <w:sz w:val="18"/>
          <w:szCs w:val="18"/>
        </w:rPr>
        <w:t>186</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1004E4">
        <w:rPr>
          <w:rFonts w:ascii="Arial" w:hAnsi="Arial" w:cs="Arial"/>
          <w:sz w:val="18"/>
          <w:szCs w:val="18"/>
        </w:rPr>
        <w:t>312,956,281</w:t>
      </w:r>
      <w:r>
        <w:rPr>
          <w:rFonts w:ascii="Arial" w:hAnsi="Arial" w:cs="Arial"/>
          <w:sz w:val="18"/>
          <w:szCs w:val="18"/>
        </w:rPr>
        <w:t>; sobre la Producción, el Consumo y las transacciones por un importe de $10,</w:t>
      </w:r>
      <w:r w:rsidR="001004E4">
        <w:rPr>
          <w:rFonts w:ascii="Arial" w:hAnsi="Arial" w:cs="Arial"/>
          <w:sz w:val="18"/>
          <w:szCs w:val="18"/>
        </w:rPr>
        <w:t>871</w:t>
      </w:r>
      <w:r>
        <w:rPr>
          <w:rFonts w:ascii="Arial" w:hAnsi="Arial" w:cs="Arial"/>
          <w:sz w:val="18"/>
          <w:szCs w:val="18"/>
        </w:rPr>
        <w:t>,</w:t>
      </w:r>
      <w:r w:rsidR="001004E4">
        <w:rPr>
          <w:rFonts w:ascii="Arial" w:hAnsi="Arial" w:cs="Arial"/>
          <w:sz w:val="18"/>
          <w:szCs w:val="18"/>
        </w:rPr>
        <w:t>457</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1004E4">
        <w:rPr>
          <w:rFonts w:ascii="Arial" w:hAnsi="Arial" w:cs="Arial"/>
          <w:sz w:val="18"/>
          <w:szCs w:val="18"/>
        </w:rPr>
        <w:t>7</w:t>
      </w:r>
      <w:r>
        <w:rPr>
          <w:rFonts w:ascii="Arial" w:hAnsi="Arial" w:cs="Arial"/>
          <w:sz w:val="18"/>
          <w:szCs w:val="18"/>
        </w:rPr>
        <w:t>,7</w:t>
      </w:r>
      <w:r w:rsidR="001004E4">
        <w:rPr>
          <w:rFonts w:ascii="Arial" w:hAnsi="Arial" w:cs="Arial"/>
          <w:sz w:val="18"/>
          <w:szCs w:val="18"/>
        </w:rPr>
        <w:t>55</w:t>
      </w:r>
      <w:r>
        <w:rPr>
          <w:rFonts w:ascii="Arial" w:hAnsi="Arial" w:cs="Arial"/>
          <w:sz w:val="18"/>
          <w:szCs w:val="18"/>
        </w:rPr>
        <w:t>,</w:t>
      </w:r>
      <w:r w:rsidR="001004E4">
        <w:rPr>
          <w:rFonts w:ascii="Arial" w:hAnsi="Arial" w:cs="Arial"/>
          <w:sz w:val="18"/>
          <w:szCs w:val="18"/>
        </w:rPr>
        <w:t>365</w:t>
      </w:r>
      <w:r>
        <w:rPr>
          <w:rFonts w:ascii="Arial" w:hAnsi="Arial" w:cs="Arial"/>
          <w:sz w:val="18"/>
          <w:szCs w:val="18"/>
        </w:rPr>
        <w:t xml:space="preserve">. Presentando un diferencial negativo en impuestos del </w:t>
      </w:r>
      <w:r w:rsidR="001004E4">
        <w:rPr>
          <w:rFonts w:ascii="Arial" w:hAnsi="Arial" w:cs="Arial"/>
          <w:sz w:val="18"/>
          <w:szCs w:val="18"/>
        </w:rPr>
        <w:t>70</w:t>
      </w:r>
      <w:r>
        <w:rPr>
          <w:rFonts w:ascii="Arial" w:hAnsi="Arial" w:cs="Arial"/>
          <w:sz w:val="18"/>
          <w:szCs w:val="18"/>
        </w:rPr>
        <w:t>% respecto del ejercicio 202</w:t>
      </w:r>
      <w:r w:rsidR="001004E4">
        <w:rPr>
          <w:rFonts w:ascii="Arial" w:hAnsi="Arial" w:cs="Arial"/>
          <w:sz w:val="18"/>
          <w:szCs w:val="18"/>
        </w:rPr>
        <w:t>5</w:t>
      </w:r>
      <w:r>
        <w:rPr>
          <w:rFonts w:ascii="Arial" w:hAnsi="Arial" w:cs="Arial"/>
          <w:sz w:val="18"/>
          <w:szCs w:val="18"/>
        </w:rPr>
        <w:t>.</w:t>
      </w:r>
    </w:p>
    <w:p w14:paraId="279B39A1" w14:textId="77777777" w:rsidR="00A35925" w:rsidRDefault="00A35925" w:rsidP="00A35925">
      <w:pPr>
        <w:tabs>
          <w:tab w:val="left" w:pos="284"/>
        </w:tabs>
        <w:spacing w:after="0"/>
        <w:ind w:left="284"/>
        <w:jc w:val="both"/>
        <w:rPr>
          <w:rFonts w:ascii="Arial" w:hAnsi="Arial" w:cs="Arial"/>
          <w:b/>
          <w:sz w:val="18"/>
          <w:szCs w:val="18"/>
        </w:rPr>
      </w:pPr>
    </w:p>
    <w:p w14:paraId="08FE9EFF" w14:textId="77777777" w:rsidR="00A35925" w:rsidRPr="0073056A" w:rsidRDefault="00A35925" w:rsidP="00A35925">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14:paraId="2B265762" w14:textId="3E598A55" w:rsidR="00A35925" w:rsidRPr="0073056A" w:rsidRDefault="00A35925" w:rsidP="00A35925">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al mes de marzo es por</w:t>
      </w:r>
      <w:r w:rsidRPr="0073056A">
        <w:rPr>
          <w:rFonts w:ascii="Arial" w:hAnsi="Arial" w:cs="Arial"/>
          <w:sz w:val="18"/>
          <w:szCs w:val="18"/>
        </w:rPr>
        <w:t xml:space="preserve"> un monto de $</w:t>
      </w:r>
      <w:r>
        <w:rPr>
          <w:rFonts w:ascii="Arial" w:hAnsi="Arial" w:cs="Arial"/>
          <w:sz w:val="18"/>
          <w:szCs w:val="18"/>
        </w:rPr>
        <w:t>2</w:t>
      </w:r>
      <w:r w:rsidR="001004E4">
        <w:rPr>
          <w:rFonts w:ascii="Arial" w:hAnsi="Arial" w:cs="Arial"/>
          <w:sz w:val="18"/>
          <w:szCs w:val="18"/>
        </w:rPr>
        <w:t>57</w:t>
      </w:r>
      <w:r>
        <w:rPr>
          <w:rFonts w:ascii="Arial" w:hAnsi="Arial" w:cs="Arial"/>
          <w:sz w:val="18"/>
          <w:szCs w:val="18"/>
        </w:rPr>
        <w:t>,</w:t>
      </w:r>
      <w:r w:rsidR="001004E4">
        <w:rPr>
          <w:rFonts w:ascii="Arial" w:hAnsi="Arial" w:cs="Arial"/>
          <w:sz w:val="18"/>
          <w:szCs w:val="18"/>
        </w:rPr>
        <w:t>138</w:t>
      </w:r>
      <w:r>
        <w:rPr>
          <w:rFonts w:ascii="Arial" w:hAnsi="Arial" w:cs="Arial"/>
          <w:sz w:val="18"/>
          <w:szCs w:val="18"/>
        </w:rPr>
        <w:t>,</w:t>
      </w:r>
      <w:r w:rsidR="001004E4">
        <w:rPr>
          <w:rFonts w:ascii="Arial" w:hAnsi="Arial" w:cs="Arial"/>
          <w:sz w:val="18"/>
          <w:szCs w:val="18"/>
        </w:rPr>
        <w:t>286</w:t>
      </w:r>
      <w:r w:rsidRPr="0073056A">
        <w:rPr>
          <w:rFonts w:ascii="Arial" w:hAnsi="Arial" w:cs="Arial"/>
          <w:sz w:val="18"/>
          <w:szCs w:val="18"/>
        </w:rPr>
        <w:t>.</w:t>
      </w:r>
      <w:r>
        <w:rPr>
          <w:rFonts w:ascii="Arial" w:hAnsi="Arial" w:cs="Arial"/>
          <w:sz w:val="18"/>
          <w:szCs w:val="18"/>
        </w:rPr>
        <w:t xml:space="preserve"> Mostrando un decremento del 6</w:t>
      </w:r>
      <w:r w:rsidR="001004E4">
        <w:rPr>
          <w:rFonts w:ascii="Arial" w:hAnsi="Arial" w:cs="Arial"/>
          <w:sz w:val="18"/>
          <w:szCs w:val="18"/>
        </w:rPr>
        <w:t>4</w:t>
      </w:r>
      <w:r>
        <w:rPr>
          <w:rFonts w:ascii="Arial" w:hAnsi="Arial" w:cs="Arial"/>
          <w:sz w:val="18"/>
          <w:szCs w:val="18"/>
        </w:rPr>
        <w:t>% respecto al ejercicio de 202</w:t>
      </w:r>
      <w:r w:rsidR="001004E4">
        <w:rPr>
          <w:rFonts w:ascii="Arial" w:hAnsi="Arial" w:cs="Arial"/>
          <w:sz w:val="18"/>
          <w:szCs w:val="18"/>
        </w:rPr>
        <w:t>5</w:t>
      </w:r>
      <w:r>
        <w:rPr>
          <w:rFonts w:ascii="Arial" w:hAnsi="Arial" w:cs="Arial"/>
          <w:sz w:val="18"/>
          <w:szCs w:val="18"/>
        </w:rPr>
        <w:t>.</w:t>
      </w:r>
    </w:p>
    <w:p w14:paraId="78F30DA9" w14:textId="77777777" w:rsidR="00A35925" w:rsidRDefault="00A35925" w:rsidP="00A35925">
      <w:pPr>
        <w:tabs>
          <w:tab w:val="left" w:pos="284"/>
        </w:tabs>
        <w:spacing w:after="0"/>
        <w:ind w:left="284"/>
        <w:jc w:val="both"/>
        <w:rPr>
          <w:rFonts w:ascii="Arial" w:hAnsi="Arial" w:cs="Arial"/>
          <w:b/>
          <w:sz w:val="18"/>
          <w:szCs w:val="18"/>
        </w:rPr>
      </w:pPr>
    </w:p>
    <w:p w14:paraId="1F5FFC0A" w14:textId="77777777" w:rsidR="00A35925" w:rsidRPr="0073056A" w:rsidRDefault="00A35925" w:rsidP="00A35925">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14:paraId="4054D7FC" w14:textId="40F9C0C2" w:rsidR="00A35925" w:rsidRDefault="00A35925" w:rsidP="00A35925">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marzo es</w:t>
      </w:r>
      <w:r w:rsidRPr="0073056A">
        <w:rPr>
          <w:rFonts w:ascii="Arial" w:hAnsi="Arial" w:cs="Arial"/>
          <w:sz w:val="18"/>
          <w:szCs w:val="18"/>
        </w:rPr>
        <w:t xml:space="preserve"> de $</w:t>
      </w:r>
      <w:r>
        <w:rPr>
          <w:rFonts w:ascii="Arial" w:hAnsi="Arial" w:cs="Arial"/>
          <w:sz w:val="18"/>
          <w:szCs w:val="18"/>
        </w:rPr>
        <w:t>5</w:t>
      </w:r>
      <w:r w:rsidR="001004E4">
        <w:rPr>
          <w:rFonts w:ascii="Arial" w:hAnsi="Arial" w:cs="Arial"/>
          <w:sz w:val="18"/>
          <w:szCs w:val="18"/>
        </w:rPr>
        <w:t>8</w:t>
      </w:r>
      <w:r w:rsidRPr="00502DDD">
        <w:rPr>
          <w:rFonts w:ascii="Arial" w:hAnsi="Arial" w:cs="Arial"/>
          <w:sz w:val="18"/>
          <w:szCs w:val="18"/>
        </w:rPr>
        <w:t>,</w:t>
      </w:r>
      <w:r w:rsidR="001004E4">
        <w:rPr>
          <w:rFonts w:ascii="Arial" w:hAnsi="Arial" w:cs="Arial"/>
          <w:sz w:val="18"/>
          <w:szCs w:val="18"/>
        </w:rPr>
        <w:t>028</w:t>
      </w:r>
      <w:r w:rsidRPr="00502DDD">
        <w:rPr>
          <w:rFonts w:ascii="Arial" w:hAnsi="Arial" w:cs="Arial"/>
          <w:sz w:val="18"/>
          <w:szCs w:val="18"/>
        </w:rPr>
        <w:t>,</w:t>
      </w:r>
      <w:r w:rsidR="001004E4">
        <w:rPr>
          <w:rFonts w:ascii="Arial" w:hAnsi="Arial" w:cs="Arial"/>
          <w:sz w:val="18"/>
          <w:szCs w:val="18"/>
        </w:rPr>
        <w:t>00</w:t>
      </w:r>
      <w:r>
        <w:rPr>
          <w:rFonts w:ascii="Arial" w:hAnsi="Arial" w:cs="Arial"/>
          <w:sz w:val="18"/>
          <w:szCs w:val="18"/>
        </w:rPr>
        <w:t>9,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Municipios, presentando un decremento del </w:t>
      </w:r>
      <w:r w:rsidR="001004E4">
        <w:rPr>
          <w:rFonts w:ascii="Arial" w:hAnsi="Arial" w:cs="Arial"/>
          <w:sz w:val="18"/>
          <w:szCs w:val="18"/>
        </w:rPr>
        <w:t>83</w:t>
      </w:r>
      <w:r>
        <w:rPr>
          <w:rFonts w:ascii="Arial" w:hAnsi="Arial" w:cs="Arial"/>
          <w:sz w:val="18"/>
          <w:szCs w:val="18"/>
        </w:rPr>
        <w:t>% respecto del ejercicio 202</w:t>
      </w:r>
      <w:r w:rsidR="001004E4">
        <w:rPr>
          <w:rFonts w:ascii="Arial" w:hAnsi="Arial" w:cs="Arial"/>
          <w:sz w:val="18"/>
          <w:szCs w:val="18"/>
        </w:rPr>
        <w:t>5</w:t>
      </w:r>
      <w:r>
        <w:rPr>
          <w:rFonts w:ascii="Arial" w:hAnsi="Arial" w:cs="Arial"/>
          <w:sz w:val="18"/>
          <w:szCs w:val="18"/>
        </w:rPr>
        <w:t>.</w:t>
      </w:r>
    </w:p>
    <w:p w14:paraId="11EEBBE9" w14:textId="77777777" w:rsidR="00A35925" w:rsidRDefault="00A35925" w:rsidP="00A35925">
      <w:pPr>
        <w:tabs>
          <w:tab w:val="left" w:pos="284"/>
        </w:tabs>
        <w:spacing w:after="0"/>
        <w:ind w:left="284"/>
        <w:jc w:val="both"/>
        <w:rPr>
          <w:rFonts w:ascii="Arial" w:hAnsi="Arial" w:cs="Arial"/>
          <w:b/>
          <w:sz w:val="18"/>
          <w:szCs w:val="18"/>
        </w:rPr>
      </w:pPr>
    </w:p>
    <w:p w14:paraId="0EAB9990" w14:textId="77777777" w:rsidR="00A35925" w:rsidRPr="0073056A" w:rsidRDefault="00A35925" w:rsidP="00A35925">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14:paraId="682EDA77" w14:textId="191959F6" w:rsidR="00A35925" w:rsidRPr="0073056A" w:rsidRDefault="00A35925" w:rsidP="00A35925">
      <w:pPr>
        <w:tabs>
          <w:tab w:val="left" w:pos="284"/>
        </w:tabs>
        <w:spacing w:after="0"/>
        <w:ind w:left="284"/>
        <w:jc w:val="both"/>
        <w:rPr>
          <w:rFonts w:ascii="Arial" w:hAnsi="Arial" w:cs="Arial"/>
          <w:sz w:val="18"/>
          <w:szCs w:val="18"/>
        </w:rPr>
      </w:pPr>
      <w:r>
        <w:rPr>
          <w:rFonts w:ascii="Arial" w:hAnsi="Arial" w:cs="Arial"/>
          <w:sz w:val="18"/>
          <w:szCs w:val="18"/>
        </w:rPr>
        <w:t xml:space="preserve">Al mes de marzo del </w:t>
      </w:r>
      <w:r w:rsidRPr="0073056A">
        <w:rPr>
          <w:rFonts w:ascii="Arial" w:hAnsi="Arial" w:cs="Arial"/>
          <w:sz w:val="18"/>
          <w:szCs w:val="18"/>
        </w:rPr>
        <w:t>eje</w:t>
      </w:r>
      <w:r>
        <w:rPr>
          <w:rFonts w:ascii="Arial" w:hAnsi="Arial" w:cs="Arial"/>
          <w:sz w:val="18"/>
          <w:szCs w:val="18"/>
        </w:rPr>
        <w:t>rcicio 202</w:t>
      </w:r>
      <w:r w:rsidR="001004E4">
        <w:rPr>
          <w:rFonts w:ascii="Arial" w:hAnsi="Arial" w:cs="Arial"/>
          <w:sz w:val="18"/>
          <w:szCs w:val="18"/>
        </w:rPr>
        <w:t>6</w:t>
      </w:r>
      <w:r w:rsidRPr="0073056A">
        <w:rPr>
          <w:rFonts w:ascii="Arial" w:hAnsi="Arial" w:cs="Arial"/>
          <w:sz w:val="18"/>
          <w:szCs w:val="18"/>
        </w:rPr>
        <w:t>, el Estado obtuvo ingresos por concepto de Aprovechamientos por un monto de $</w:t>
      </w:r>
      <w:r w:rsidR="001004E4">
        <w:rPr>
          <w:rFonts w:ascii="Arial" w:hAnsi="Arial" w:cs="Arial"/>
          <w:sz w:val="18"/>
          <w:szCs w:val="18"/>
        </w:rPr>
        <w:t>915,041</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Pr>
          <w:rFonts w:ascii="Arial" w:hAnsi="Arial" w:cs="Arial"/>
          <w:sz w:val="18"/>
          <w:szCs w:val="18"/>
        </w:rPr>
        <w:t xml:space="preserve"> Representando un decremento </w:t>
      </w:r>
      <w:r w:rsidR="001004E4">
        <w:rPr>
          <w:rFonts w:ascii="Arial" w:hAnsi="Arial" w:cs="Arial"/>
          <w:sz w:val="18"/>
          <w:szCs w:val="18"/>
        </w:rPr>
        <w:t xml:space="preserve">del 41% </w:t>
      </w:r>
      <w:r>
        <w:rPr>
          <w:rFonts w:ascii="Arial" w:hAnsi="Arial" w:cs="Arial"/>
          <w:sz w:val="18"/>
          <w:szCs w:val="18"/>
        </w:rPr>
        <w:t>en relación al ejercicio de 202</w:t>
      </w:r>
      <w:r w:rsidR="001004E4">
        <w:rPr>
          <w:rFonts w:ascii="Arial" w:hAnsi="Arial" w:cs="Arial"/>
          <w:sz w:val="18"/>
          <w:szCs w:val="18"/>
        </w:rPr>
        <w:t>5</w:t>
      </w:r>
      <w:r>
        <w:rPr>
          <w:rFonts w:ascii="Arial" w:hAnsi="Arial" w:cs="Arial"/>
          <w:sz w:val="18"/>
          <w:szCs w:val="18"/>
        </w:rPr>
        <w:t>.</w:t>
      </w:r>
    </w:p>
    <w:p w14:paraId="687FE710" w14:textId="77777777" w:rsidR="00A35925" w:rsidRPr="00E442EC" w:rsidRDefault="00A35925" w:rsidP="00A35925">
      <w:pPr>
        <w:tabs>
          <w:tab w:val="left" w:pos="284"/>
        </w:tabs>
        <w:spacing w:after="0"/>
        <w:ind w:left="284"/>
        <w:jc w:val="both"/>
        <w:rPr>
          <w:rFonts w:ascii="Arial" w:hAnsi="Arial" w:cs="Arial"/>
          <w:b/>
          <w:sz w:val="18"/>
          <w:szCs w:val="18"/>
        </w:rPr>
      </w:pPr>
    </w:p>
    <w:p w14:paraId="0DD036DE" w14:textId="77777777" w:rsidR="00A35925" w:rsidRPr="004C1616" w:rsidRDefault="00A35925" w:rsidP="00A35925">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14:paraId="07D5A543" w14:textId="561A14CA" w:rsidR="00A35925" w:rsidRDefault="00A35925" w:rsidP="00A35925">
      <w:pPr>
        <w:tabs>
          <w:tab w:val="left" w:pos="284"/>
        </w:tabs>
        <w:spacing w:after="0"/>
        <w:ind w:left="284"/>
        <w:jc w:val="both"/>
        <w:rPr>
          <w:rFonts w:ascii="Arial" w:hAnsi="Arial" w:cs="Arial"/>
          <w:sz w:val="18"/>
          <w:szCs w:val="18"/>
        </w:rPr>
      </w:pPr>
      <w:r w:rsidRPr="004D6FA0">
        <w:rPr>
          <w:rFonts w:ascii="Arial" w:hAnsi="Arial" w:cs="Arial"/>
          <w:sz w:val="18"/>
          <w:szCs w:val="18"/>
        </w:rPr>
        <w:t>El saldo de $</w:t>
      </w:r>
      <w:r w:rsidR="001004E4">
        <w:rPr>
          <w:rFonts w:ascii="Arial" w:hAnsi="Arial" w:cs="Arial"/>
          <w:sz w:val="18"/>
          <w:szCs w:val="18"/>
        </w:rPr>
        <w:t>64</w:t>
      </w:r>
      <w:r>
        <w:rPr>
          <w:rFonts w:ascii="Arial" w:hAnsi="Arial" w:cs="Arial"/>
          <w:sz w:val="18"/>
          <w:szCs w:val="18"/>
        </w:rPr>
        <w:t>,</w:t>
      </w:r>
      <w:r w:rsidR="001004E4">
        <w:rPr>
          <w:rFonts w:ascii="Arial" w:hAnsi="Arial" w:cs="Arial"/>
          <w:sz w:val="18"/>
          <w:szCs w:val="18"/>
        </w:rPr>
        <w:t>803</w:t>
      </w:r>
      <w:r>
        <w:rPr>
          <w:rFonts w:ascii="Arial" w:hAnsi="Arial" w:cs="Arial"/>
          <w:sz w:val="18"/>
          <w:szCs w:val="18"/>
        </w:rPr>
        <w:t>,0</w:t>
      </w:r>
      <w:r w:rsidR="001004E4">
        <w:rPr>
          <w:rFonts w:ascii="Arial" w:hAnsi="Arial" w:cs="Arial"/>
          <w:sz w:val="18"/>
          <w:szCs w:val="18"/>
        </w:rPr>
        <w:t>33</w:t>
      </w:r>
      <w:r w:rsidRPr="004D6FA0">
        <w:rPr>
          <w:rFonts w:ascii="Arial" w:hAnsi="Arial" w:cs="Arial"/>
          <w:sz w:val="18"/>
          <w:szCs w:val="18"/>
        </w:rPr>
        <w:t xml:space="preserve"> representan los ingresos obtenidos por los organismos públicos descentralizados del</w:t>
      </w:r>
      <w:r>
        <w:rPr>
          <w:rFonts w:ascii="Arial" w:hAnsi="Arial" w:cs="Arial"/>
          <w:sz w:val="18"/>
          <w:szCs w:val="18"/>
        </w:rPr>
        <w:t xml:space="preserve">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 observándose un decremento del 5</w:t>
      </w:r>
      <w:r w:rsidR="001004E4">
        <w:rPr>
          <w:rFonts w:ascii="Arial" w:hAnsi="Arial" w:cs="Arial"/>
          <w:sz w:val="18"/>
          <w:szCs w:val="18"/>
        </w:rPr>
        <w:t>3</w:t>
      </w:r>
      <w:r>
        <w:rPr>
          <w:rFonts w:ascii="Arial" w:hAnsi="Arial" w:cs="Arial"/>
          <w:sz w:val="18"/>
          <w:szCs w:val="18"/>
        </w:rPr>
        <w:t>% en este rubro, respecto del ejercicio 202</w:t>
      </w:r>
      <w:r w:rsidR="001004E4">
        <w:rPr>
          <w:rFonts w:ascii="Arial" w:hAnsi="Arial" w:cs="Arial"/>
          <w:sz w:val="18"/>
          <w:szCs w:val="18"/>
        </w:rPr>
        <w:t>5</w:t>
      </w:r>
      <w:r>
        <w:rPr>
          <w:rFonts w:ascii="Arial" w:hAnsi="Arial" w:cs="Arial"/>
          <w:sz w:val="18"/>
          <w:szCs w:val="18"/>
        </w:rPr>
        <w:t>.</w:t>
      </w:r>
    </w:p>
    <w:p w14:paraId="2A31C12D" w14:textId="77777777" w:rsidR="00A35925" w:rsidRPr="0073056A" w:rsidRDefault="00A35925" w:rsidP="00A35925">
      <w:pPr>
        <w:tabs>
          <w:tab w:val="left" w:pos="284"/>
        </w:tabs>
        <w:spacing w:after="0"/>
        <w:ind w:left="284"/>
        <w:jc w:val="both"/>
        <w:rPr>
          <w:rFonts w:ascii="Arial" w:hAnsi="Arial" w:cs="Arial"/>
          <w:sz w:val="18"/>
          <w:szCs w:val="18"/>
        </w:rPr>
      </w:pPr>
    </w:p>
    <w:p w14:paraId="51CC99E9" w14:textId="77777777" w:rsidR="00A35925" w:rsidRPr="0073056A" w:rsidRDefault="00A35925" w:rsidP="00A35925">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14:paraId="3139732F" w14:textId="469E2B92" w:rsidR="00A35925" w:rsidRPr="009C379E" w:rsidRDefault="00A35925" w:rsidP="00A35925">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CB7869">
        <w:rPr>
          <w:rFonts w:ascii="Arial" w:hAnsi="Arial" w:cs="Arial"/>
          <w:sz w:val="18"/>
          <w:szCs w:val="18"/>
        </w:rPr>
        <w:t>7</w:t>
      </w:r>
      <w:r>
        <w:rPr>
          <w:rFonts w:ascii="Arial" w:hAnsi="Arial" w:cs="Arial"/>
          <w:sz w:val="18"/>
          <w:szCs w:val="18"/>
        </w:rPr>
        <w:t>,</w:t>
      </w:r>
      <w:r w:rsidR="00CB7869">
        <w:rPr>
          <w:rFonts w:ascii="Arial" w:hAnsi="Arial" w:cs="Arial"/>
          <w:sz w:val="18"/>
          <w:szCs w:val="18"/>
        </w:rPr>
        <w:t>309</w:t>
      </w:r>
      <w:r>
        <w:rPr>
          <w:rFonts w:ascii="Arial" w:hAnsi="Arial" w:cs="Arial"/>
          <w:sz w:val="18"/>
          <w:szCs w:val="18"/>
        </w:rPr>
        <w:t>,</w:t>
      </w:r>
      <w:r w:rsidR="00CB7869">
        <w:rPr>
          <w:rFonts w:ascii="Arial" w:hAnsi="Arial" w:cs="Arial"/>
          <w:sz w:val="18"/>
          <w:szCs w:val="18"/>
        </w:rPr>
        <w:t>145</w:t>
      </w:r>
      <w:r>
        <w:rPr>
          <w:rFonts w:ascii="Arial" w:hAnsi="Arial" w:cs="Arial"/>
          <w:sz w:val="18"/>
          <w:szCs w:val="18"/>
        </w:rPr>
        <w:t>,</w:t>
      </w:r>
      <w:r w:rsidR="00CB7869">
        <w:rPr>
          <w:rFonts w:ascii="Arial" w:hAnsi="Arial" w:cs="Arial"/>
          <w:sz w:val="18"/>
          <w:szCs w:val="18"/>
        </w:rPr>
        <w:t>613</w:t>
      </w:r>
      <w:r>
        <w:rPr>
          <w:rFonts w:ascii="Arial" w:hAnsi="Arial" w:cs="Arial"/>
          <w:sz w:val="18"/>
          <w:szCs w:val="18"/>
        </w:rPr>
        <w:t xml:space="preserve"> al mes de marzo del </w:t>
      </w:r>
      <w:r w:rsidRPr="0073056A">
        <w:rPr>
          <w:rFonts w:ascii="Arial" w:hAnsi="Arial" w:cs="Arial"/>
          <w:sz w:val="18"/>
          <w:szCs w:val="18"/>
        </w:rPr>
        <w:t>e</w:t>
      </w:r>
      <w:r>
        <w:rPr>
          <w:rFonts w:ascii="Arial" w:hAnsi="Arial" w:cs="Arial"/>
          <w:sz w:val="18"/>
          <w:szCs w:val="18"/>
        </w:rPr>
        <w:t>jercicio 202</w:t>
      </w:r>
      <w:r w:rsidR="00CB7869">
        <w:rPr>
          <w:rFonts w:ascii="Arial" w:hAnsi="Arial" w:cs="Arial"/>
          <w:sz w:val="18"/>
          <w:szCs w:val="18"/>
        </w:rPr>
        <w:t>6</w:t>
      </w:r>
      <w:r>
        <w:rPr>
          <w:rFonts w:ascii="Arial" w:hAnsi="Arial" w:cs="Arial"/>
          <w:sz w:val="18"/>
          <w:szCs w:val="18"/>
        </w:rPr>
        <w:t>, incluyendo los intereses y rendimientos generados por los fondos de aportación federal</w:t>
      </w:r>
      <w:r w:rsidRPr="009C379E">
        <w:rPr>
          <w:rFonts w:ascii="Arial" w:hAnsi="Arial" w:cs="Arial"/>
          <w:sz w:val="18"/>
          <w:szCs w:val="18"/>
        </w:rPr>
        <w:t>.</w:t>
      </w:r>
      <w:r>
        <w:rPr>
          <w:rFonts w:ascii="Arial" w:hAnsi="Arial" w:cs="Arial"/>
          <w:sz w:val="18"/>
          <w:szCs w:val="18"/>
        </w:rPr>
        <w:t xml:space="preserve"> Este rubro, respecto al ejercicio de 202</w:t>
      </w:r>
      <w:r w:rsidR="00CB7869">
        <w:rPr>
          <w:rFonts w:ascii="Arial" w:hAnsi="Arial" w:cs="Arial"/>
          <w:sz w:val="18"/>
          <w:szCs w:val="18"/>
        </w:rPr>
        <w:t>5</w:t>
      </w:r>
      <w:r>
        <w:rPr>
          <w:rFonts w:ascii="Arial" w:hAnsi="Arial" w:cs="Arial"/>
          <w:sz w:val="18"/>
          <w:szCs w:val="18"/>
        </w:rPr>
        <w:t>, presenta un decremento del 76%.</w:t>
      </w:r>
    </w:p>
    <w:p w14:paraId="0404AF5D" w14:textId="77777777" w:rsidR="00A35925" w:rsidRPr="0073056A" w:rsidRDefault="00A35925" w:rsidP="00A35925">
      <w:pPr>
        <w:tabs>
          <w:tab w:val="left" w:pos="284"/>
        </w:tabs>
        <w:spacing w:after="0"/>
        <w:ind w:left="284"/>
        <w:jc w:val="both"/>
        <w:rPr>
          <w:rFonts w:ascii="Arial" w:hAnsi="Arial" w:cs="Arial"/>
          <w:sz w:val="18"/>
          <w:szCs w:val="18"/>
        </w:rPr>
      </w:pPr>
    </w:p>
    <w:p w14:paraId="42C83BBB" w14:textId="77777777" w:rsidR="00A35925" w:rsidRDefault="00A35925" w:rsidP="00A35925">
      <w:pPr>
        <w:tabs>
          <w:tab w:val="left" w:pos="284"/>
        </w:tabs>
        <w:spacing w:after="0"/>
        <w:ind w:left="284"/>
        <w:jc w:val="both"/>
        <w:rPr>
          <w:rFonts w:ascii="Arial" w:hAnsi="Arial" w:cs="Arial"/>
          <w:b/>
          <w:sz w:val="18"/>
          <w:szCs w:val="18"/>
        </w:rPr>
      </w:pPr>
    </w:p>
    <w:p w14:paraId="16A85093" w14:textId="77777777" w:rsidR="00A35925" w:rsidRDefault="00A35925" w:rsidP="00A35925">
      <w:pPr>
        <w:tabs>
          <w:tab w:val="left" w:pos="284"/>
        </w:tabs>
        <w:spacing w:after="0"/>
        <w:ind w:left="284"/>
        <w:jc w:val="both"/>
        <w:rPr>
          <w:rFonts w:ascii="Arial" w:hAnsi="Arial" w:cs="Arial"/>
          <w:b/>
          <w:sz w:val="18"/>
          <w:szCs w:val="18"/>
        </w:rPr>
      </w:pPr>
    </w:p>
    <w:p w14:paraId="5227D07F" w14:textId="77777777" w:rsidR="00A35925" w:rsidRDefault="00A35925" w:rsidP="00A35925">
      <w:pPr>
        <w:tabs>
          <w:tab w:val="left" w:pos="284"/>
        </w:tabs>
        <w:spacing w:after="0"/>
        <w:ind w:left="284"/>
        <w:jc w:val="both"/>
        <w:rPr>
          <w:rFonts w:ascii="Arial" w:hAnsi="Arial" w:cs="Arial"/>
          <w:b/>
          <w:sz w:val="18"/>
          <w:szCs w:val="18"/>
        </w:rPr>
      </w:pPr>
    </w:p>
    <w:p w14:paraId="5C7681B6" w14:textId="77777777" w:rsidR="00A35925" w:rsidRDefault="00A35925" w:rsidP="00A35925">
      <w:pPr>
        <w:tabs>
          <w:tab w:val="left" w:pos="284"/>
        </w:tabs>
        <w:spacing w:after="0"/>
        <w:ind w:left="284"/>
        <w:jc w:val="both"/>
        <w:rPr>
          <w:rFonts w:ascii="Arial" w:hAnsi="Arial" w:cs="Arial"/>
          <w:b/>
          <w:sz w:val="18"/>
          <w:szCs w:val="18"/>
        </w:rPr>
      </w:pPr>
      <w:r>
        <w:rPr>
          <w:rFonts w:ascii="Arial" w:hAnsi="Arial" w:cs="Arial"/>
          <w:b/>
          <w:sz w:val="18"/>
          <w:szCs w:val="18"/>
        </w:rPr>
        <w:lastRenderedPageBreak/>
        <w:t>Participaciones</w:t>
      </w:r>
    </w:p>
    <w:p w14:paraId="495AFA55" w14:textId="21E6AD75" w:rsidR="00A35925" w:rsidRDefault="00A35925" w:rsidP="00A35925">
      <w:pPr>
        <w:tabs>
          <w:tab w:val="left" w:pos="284"/>
        </w:tabs>
        <w:spacing w:after="0"/>
        <w:ind w:left="284"/>
        <w:jc w:val="both"/>
        <w:rPr>
          <w:rFonts w:ascii="Arial" w:hAnsi="Arial" w:cs="Arial"/>
          <w:sz w:val="18"/>
          <w:szCs w:val="18"/>
        </w:rPr>
      </w:pPr>
      <w:r>
        <w:rPr>
          <w:rFonts w:ascii="Arial" w:hAnsi="Arial" w:cs="Arial"/>
          <w:sz w:val="18"/>
          <w:szCs w:val="18"/>
        </w:rPr>
        <w:t>El saldo por concepto de participaciones e incentivos económicos asciende a un monto de $3,</w:t>
      </w:r>
      <w:r w:rsidR="00CB7869">
        <w:rPr>
          <w:rFonts w:ascii="Arial" w:hAnsi="Arial" w:cs="Arial"/>
          <w:sz w:val="18"/>
          <w:szCs w:val="18"/>
        </w:rPr>
        <w:t>736</w:t>
      </w:r>
      <w:r>
        <w:rPr>
          <w:rFonts w:ascii="Arial" w:hAnsi="Arial" w:cs="Arial"/>
          <w:sz w:val="18"/>
          <w:szCs w:val="18"/>
        </w:rPr>
        <w:t>,</w:t>
      </w:r>
      <w:r w:rsidR="00CB7869">
        <w:rPr>
          <w:rFonts w:ascii="Arial" w:hAnsi="Arial" w:cs="Arial"/>
          <w:sz w:val="18"/>
          <w:szCs w:val="18"/>
        </w:rPr>
        <w:t>338</w:t>
      </w:r>
      <w:r>
        <w:rPr>
          <w:rFonts w:ascii="Arial" w:hAnsi="Arial" w:cs="Arial"/>
          <w:sz w:val="18"/>
          <w:szCs w:val="18"/>
        </w:rPr>
        <w:t>,</w:t>
      </w:r>
      <w:r w:rsidR="00CB7869">
        <w:rPr>
          <w:rFonts w:ascii="Arial" w:hAnsi="Arial" w:cs="Arial"/>
          <w:sz w:val="18"/>
          <w:szCs w:val="18"/>
        </w:rPr>
        <w:t>855</w:t>
      </w:r>
      <w:r>
        <w:rPr>
          <w:rFonts w:ascii="Arial" w:hAnsi="Arial" w:cs="Arial"/>
          <w:sz w:val="18"/>
          <w:szCs w:val="18"/>
        </w:rPr>
        <w:t>, siendo el rubro más importante el Fondo General de Participaciones ya que representa el 72%, del total de ingresos.</w:t>
      </w:r>
    </w:p>
    <w:p w14:paraId="42427934" w14:textId="77777777" w:rsidR="00A35925" w:rsidRDefault="00A35925" w:rsidP="00A35925">
      <w:pPr>
        <w:tabs>
          <w:tab w:val="left" w:pos="284"/>
        </w:tabs>
        <w:spacing w:after="0"/>
        <w:ind w:left="284"/>
        <w:jc w:val="both"/>
        <w:rPr>
          <w:rFonts w:ascii="Arial" w:hAnsi="Arial" w:cs="Arial"/>
          <w:b/>
          <w:sz w:val="18"/>
          <w:szCs w:val="18"/>
        </w:rPr>
      </w:pPr>
    </w:p>
    <w:p w14:paraId="0B309011" w14:textId="77777777" w:rsidR="00A35925" w:rsidRPr="0040746E" w:rsidRDefault="00A35925" w:rsidP="00A35925">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14:paraId="61139D49" w14:textId="77777777" w:rsidR="00A35925" w:rsidRDefault="00A35925" w:rsidP="00A35925">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 XXXIII, los cuales al mes de marzo de 2025 sin incluir intereses reflejan los siguientes saldos:</w:t>
      </w:r>
    </w:p>
    <w:p w14:paraId="4885F3CD" w14:textId="77777777" w:rsidR="00A35925" w:rsidRDefault="00A35925" w:rsidP="00A35925">
      <w:pPr>
        <w:tabs>
          <w:tab w:val="left" w:pos="284"/>
        </w:tabs>
        <w:spacing w:after="0"/>
        <w:ind w:left="284"/>
        <w:jc w:val="both"/>
        <w:rPr>
          <w:rFonts w:ascii="Arial" w:hAnsi="Arial" w:cs="Arial"/>
          <w:sz w:val="18"/>
          <w:szCs w:val="18"/>
        </w:rPr>
      </w:pPr>
    </w:p>
    <w:tbl>
      <w:tblPr>
        <w:tblW w:w="9050" w:type="dxa"/>
        <w:jc w:val="center"/>
        <w:tblCellMar>
          <w:left w:w="70" w:type="dxa"/>
          <w:right w:w="70" w:type="dxa"/>
        </w:tblCellMar>
        <w:tblLook w:val="04A0" w:firstRow="1" w:lastRow="0" w:firstColumn="1" w:lastColumn="0" w:noHBand="0" w:noVBand="1"/>
      </w:tblPr>
      <w:tblGrid>
        <w:gridCol w:w="6102"/>
        <w:gridCol w:w="1577"/>
        <w:gridCol w:w="1371"/>
      </w:tblGrid>
      <w:tr w:rsidR="00A35925" w:rsidRPr="000534C6" w14:paraId="1D2C2796" w14:textId="77777777" w:rsidTr="00D106A2">
        <w:trPr>
          <w:trHeight w:val="307"/>
          <w:jc w:val="center"/>
        </w:trPr>
        <w:tc>
          <w:tcPr>
            <w:tcW w:w="6102" w:type="dxa"/>
            <w:tcBorders>
              <w:top w:val="single" w:sz="8" w:space="0" w:color="auto"/>
              <w:left w:val="single" w:sz="8" w:space="0" w:color="auto"/>
              <w:bottom w:val="single" w:sz="8" w:space="0" w:color="auto"/>
              <w:right w:val="single" w:sz="8" w:space="0" w:color="auto"/>
            </w:tcBorders>
            <w:noWrap/>
            <w:vAlign w:val="center"/>
            <w:hideMark/>
          </w:tcPr>
          <w:p w14:paraId="55E6EA18" w14:textId="77777777" w:rsidR="00A35925" w:rsidRPr="000534C6" w:rsidRDefault="00A35925" w:rsidP="00D106A2">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CONCEPTO</w:t>
            </w:r>
          </w:p>
        </w:tc>
        <w:tc>
          <w:tcPr>
            <w:tcW w:w="1577" w:type="dxa"/>
            <w:tcBorders>
              <w:top w:val="single" w:sz="8" w:space="0" w:color="auto"/>
              <w:left w:val="nil"/>
              <w:bottom w:val="single" w:sz="8" w:space="0" w:color="auto"/>
              <w:right w:val="single" w:sz="8" w:space="0" w:color="auto"/>
            </w:tcBorders>
            <w:noWrap/>
            <w:vAlign w:val="center"/>
            <w:hideMark/>
          </w:tcPr>
          <w:p w14:paraId="16AF86C5" w14:textId="77777777" w:rsidR="00A35925" w:rsidRPr="000534C6" w:rsidRDefault="00A35925" w:rsidP="00D106A2">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noWrap/>
            <w:vAlign w:val="center"/>
            <w:hideMark/>
          </w:tcPr>
          <w:p w14:paraId="66D1E431" w14:textId="77777777" w:rsidR="00A35925" w:rsidRPr="000534C6" w:rsidRDefault="00A35925" w:rsidP="00D106A2">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PORCENTAJE</w:t>
            </w:r>
          </w:p>
        </w:tc>
      </w:tr>
      <w:tr w:rsidR="00A35925" w:rsidRPr="000534C6" w14:paraId="48A6FFBE" w14:textId="77777777" w:rsidTr="00D106A2">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41F75BAA" w14:textId="77777777" w:rsidR="00A35925" w:rsidRPr="000534C6" w:rsidRDefault="00A35925" w:rsidP="00D106A2">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FONDO DE APORTACIONES PARA LA NOMINA EDUCATIVA</w:t>
            </w:r>
          </w:p>
        </w:tc>
        <w:tc>
          <w:tcPr>
            <w:tcW w:w="1577" w:type="dxa"/>
            <w:tcBorders>
              <w:top w:val="nil"/>
              <w:left w:val="nil"/>
              <w:bottom w:val="single" w:sz="8" w:space="0" w:color="auto"/>
              <w:right w:val="single" w:sz="8" w:space="0" w:color="auto"/>
            </w:tcBorders>
            <w:noWrap/>
            <w:vAlign w:val="center"/>
          </w:tcPr>
          <w:p w14:paraId="49846F1C" w14:textId="175F9F01" w:rsidR="00A35925" w:rsidRPr="000534C6" w:rsidRDefault="00A35925" w:rsidP="00D106A2">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w:t>
            </w:r>
            <w:r w:rsidR="00166BCE">
              <w:rPr>
                <w:rFonts w:ascii="Arial" w:hAnsi="Arial" w:cs="Arial"/>
                <w:color w:val="000000"/>
                <w:sz w:val="18"/>
                <w:szCs w:val="18"/>
              </w:rPr>
              <w:t>1,415</w:t>
            </w:r>
            <w:r w:rsidRPr="000534C6">
              <w:rPr>
                <w:rFonts w:ascii="Arial" w:hAnsi="Arial" w:cs="Arial"/>
                <w:color w:val="000000"/>
                <w:sz w:val="18"/>
                <w:szCs w:val="18"/>
              </w:rPr>
              <w:t>,</w:t>
            </w:r>
            <w:r w:rsidR="00166BCE">
              <w:rPr>
                <w:rFonts w:ascii="Arial" w:hAnsi="Arial" w:cs="Arial"/>
                <w:color w:val="000000"/>
                <w:sz w:val="18"/>
                <w:szCs w:val="18"/>
              </w:rPr>
              <w:t>067</w:t>
            </w:r>
            <w:r w:rsidRPr="000534C6">
              <w:rPr>
                <w:rFonts w:ascii="Arial" w:hAnsi="Arial" w:cs="Arial"/>
                <w:color w:val="000000"/>
                <w:sz w:val="18"/>
                <w:szCs w:val="18"/>
              </w:rPr>
              <w:t>,</w:t>
            </w:r>
            <w:r w:rsidR="00166BCE">
              <w:rPr>
                <w:rFonts w:ascii="Arial" w:hAnsi="Arial" w:cs="Arial"/>
                <w:color w:val="000000"/>
                <w:sz w:val="18"/>
                <w:szCs w:val="18"/>
              </w:rPr>
              <w:t>330</w:t>
            </w:r>
            <w:r w:rsidRPr="000534C6">
              <w:rPr>
                <w:rFonts w:ascii="Arial" w:hAnsi="Arial" w:cs="Arial"/>
                <w:color w:val="000000"/>
                <w:sz w:val="18"/>
                <w:szCs w:val="18"/>
              </w:rPr>
              <w:t xml:space="preserve"> </w:t>
            </w:r>
          </w:p>
        </w:tc>
        <w:tc>
          <w:tcPr>
            <w:tcW w:w="1371" w:type="dxa"/>
            <w:tcBorders>
              <w:top w:val="nil"/>
              <w:left w:val="nil"/>
              <w:bottom w:val="single" w:sz="8" w:space="0" w:color="auto"/>
              <w:right w:val="single" w:sz="8" w:space="0" w:color="auto"/>
            </w:tcBorders>
            <w:noWrap/>
            <w:vAlign w:val="center"/>
          </w:tcPr>
          <w:p w14:paraId="78A763A7" w14:textId="7732FD36" w:rsidR="00A35925" w:rsidRPr="000534C6" w:rsidRDefault="00166BCE" w:rsidP="00D106A2">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45</w:t>
            </w:r>
            <w:r w:rsidR="00A35925">
              <w:rPr>
                <w:rFonts w:ascii="Arial" w:hAnsi="Arial" w:cs="Arial"/>
                <w:color w:val="000000"/>
                <w:sz w:val="18"/>
                <w:szCs w:val="18"/>
              </w:rPr>
              <w:t>.5</w:t>
            </w:r>
            <w:r>
              <w:rPr>
                <w:rFonts w:ascii="Arial" w:hAnsi="Arial" w:cs="Arial"/>
                <w:color w:val="000000"/>
                <w:sz w:val="18"/>
                <w:szCs w:val="18"/>
              </w:rPr>
              <w:t>0</w:t>
            </w:r>
          </w:p>
        </w:tc>
      </w:tr>
      <w:tr w:rsidR="00A35925" w:rsidRPr="000534C6" w14:paraId="59E352FB" w14:textId="77777777" w:rsidTr="00D106A2">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49AE0273" w14:textId="77777777" w:rsidR="00A35925" w:rsidRPr="000534C6" w:rsidRDefault="00A35925" w:rsidP="00D106A2">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FONDO PARA LOS SERVICIOS DE SALUD</w:t>
            </w:r>
          </w:p>
        </w:tc>
        <w:tc>
          <w:tcPr>
            <w:tcW w:w="1577" w:type="dxa"/>
            <w:tcBorders>
              <w:top w:val="nil"/>
              <w:left w:val="nil"/>
              <w:bottom w:val="single" w:sz="8" w:space="0" w:color="auto"/>
              <w:right w:val="single" w:sz="8" w:space="0" w:color="auto"/>
            </w:tcBorders>
            <w:noWrap/>
            <w:vAlign w:val="center"/>
          </w:tcPr>
          <w:p w14:paraId="33A0DB3B" w14:textId="1CD0D71B" w:rsidR="00A35925" w:rsidRPr="000534C6" w:rsidRDefault="00A35925" w:rsidP="00D106A2">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3</w:t>
            </w:r>
            <w:r w:rsidR="00166BCE">
              <w:rPr>
                <w:rFonts w:ascii="Arial" w:hAnsi="Arial" w:cs="Arial"/>
                <w:color w:val="000000"/>
                <w:sz w:val="18"/>
                <w:szCs w:val="18"/>
              </w:rPr>
              <w:t>56</w:t>
            </w:r>
            <w:r w:rsidRPr="000534C6">
              <w:rPr>
                <w:rFonts w:ascii="Arial" w:hAnsi="Arial" w:cs="Arial"/>
                <w:color w:val="000000"/>
                <w:sz w:val="18"/>
                <w:szCs w:val="18"/>
              </w:rPr>
              <w:t>,</w:t>
            </w:r>
            <w:r w:rsidR="00166BCE">
              <w:rPr>
                <w:rFonts w:ascii="Arial" w:hAnsi="Arial" w:cs="Arial"/>
                <w:color w:val="000000"/>
                <w:sz w:val="18"/>
                <w:szCs w:val="18"/>
              </w:rPr>
              <w:t>714</w:t>
            </w:r>
            <w:r w:rsidRPr="000534C6">
              <w:rPr>
                <w:rFonts w:ascii="Arial" w:hAnsi="Arial" w:cs="Arial"/>
                <w:color w:val="000000"/>
                <w:sz w:val="18"/>
                <w:szCs w:val="18"/>
              </w:rPr>
              <w:t>,</w:t>
            </w:r>
            <w:r w:rsidR="00166BCE">
              <w:rPr>
                <w:rFonts w:ascii="Arial" w:hAnsi="Arial" w:cs="Arial"/>
                <w:color w:val="000000"/>
                <w:sz w:val="18"/>
                <w:szCs w:val="18"/>
              </w:rPr>
              <w:t>869</w:t>
            </w:r>
            <w:r w:rsidRPr="000534C6">
              <w:rPr>
                <w:rFonts w:ascii="Arial" w:hAnsi="Arial" w:cs="Arial"/>
                <w:color w:val="000000"/>
                <w:sz w:val="18"/>
                <w:szCs w:val="18"/>
              </w:rPr>
              <w:t xml:space="preserve"> </w:t>
            </w:r>
          </w:p>
        </w:tc>
        <w:tc>
          <w:tcPr>
            <w:tcW w:w="1371" w:type="dxa"/>
            <w:tcBorders>
              <w:top w:val="nil"/>
              <w:left w:val="nil"/>
              <w:bottom w:val="single" w:sz="8" w:space="0" w:color="auto"/>
              <w:right w:val="single" w:sz="8" w:space="0" w:color="auto"/>
            </w:tcBorders>
            <w:noWrap/>
            <w:vAlign w:val="center"/>
          </w:tcPr>
          <w:p w14:paraId="3D073E06" w14:textId="0FE68313" w:rsidR="00A35925" w:rsidRPr="000534C6" w:rsidRDefault="00A35925" w:rsidP="00D106A2">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11.</w:t>
            </w:r>
            <w:r w:rsidR="00166BCE">
              <w:rPr>
                <w:rFonts w:ascii="Arial" w:hAnsi="Arial" w:cs="Arial"/>
                <w:color w:val="000000"/>
                <w:sz w:val="18"/>
                <w:szCs w:val="18"/>
              </w:rPr>
              <w:t>4</w:t>
            </w:r>
            <w:r>
              <w:rPr>
                <w:rFonts w:ascii="Arial" w:hAnsi="Arial" w:cs="Arial"/>
                <w:color w:val="000000"/>
                <w:sz w:val="18"/>
                <w:szCs w:val="18"/>
              </w:rPr>
              <w:t>7</w:t>
            </w:r>
          </w:p>
        </w:tc>
      </w:tr>
      <w:tr w:rsidR="00A35925" w:rsidRPr="000534C6" w14:paraId="29DE121F" w14:textId="77777777" w:rsidTr="00D106A2">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00F3491E" w14:textId="77777777" w:rsidR="00A35925" w:rsidRPr="000534C6" w:rsidRDefault="00A35925" w:rsidP="00D106A2">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FAIS FONDO DE APORTACIONES PARA LA INFRAESTRUCTURA SOCIAL</w:t>
            </w:r>
          </w:p>
        </w:tc>
        <w:tc>
          <w:tcPr>
            <w:tcW w:w="1577" w:type="dxa"/>
            <w:tcBorders>
              <w:top w:val="nil"/>
              <w:left w:val="nil"/>
              <w:bottom w:val="single" w:sz="8" w:space="0" w:color="auto"/>
              <w:right w:val="single" w:sz="8" w:space="0" w:color="auto"/>
            </w:tcBorders>
            <w:noWrap/>
            <w:vAlign w:val="center"/>
          </w:tcPr>
          <w:p w14:paraId="1048C6E3" w14:textId="0EC7F056" w:rsidR="00A35925" w:rsidRPr="000534C6" w:rsidRDefault="00A35925" w:rsidP="00D106A2">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40</w:t>
            </w:r>
            <w:r w:rsidR="00166BCE">
              <w:rPr>
                <w:rFonts w:ascii="Arial" w:hAnsi="Arial" w:cs="Arial"/>
                <w:color w:val="000000"/>
                <w:sz w:val="18"/>
                <w:szCs w:val="18"/>
              </w:rPr>
              <w:t>2</w:t>
            </w:r>
            <w:r w:rsidRPr="000534C6">
              <w:rPr>
                <w:rFonts w:ascii="Arial" w:hAnsi="Arial" w:cs="Arial"/>
                <w:color w:val="000000"/>
                <w:sz w:val="18"/>
                <w:szCs w:val="18"/>
              </w:rPr>
              <w:t>,6</w:t>
            </w:r>
            <w:r w:rsidR="00166BCE">
              <w:rPr>
                <w:rFonts w:ascii="Arial" w:hAnsi="Arial" w:cs="Arial"/>
                <w:color w:val="000000"/>
                <w:sz w:val="18"/>
                <w:szCs w:val="18"/>
              </w:rPr>
              <w:t>93</w:t>
            </w:r>
            <w:r w:rsidRPr="000534C6">
              <w:rPr>
                <w:rFonts w:ascii="Arial" w:hAnsi="Arial" w:cs="Arial"/>
                <w:color w:val="000000"/>
                <w:sz w:val="18"/>
                <w:szCs w:val="18"/>
              </w:rPr>
              <w:t>,</w:t>
            </w:r>
            <w:r w:rsidR="00166BCE">
              <w:rPr>
                <w:rFonts w:ascii="Arial" w:hAnsi="Arial" w:cs="Arial"/>
                <w:color w:val="000000"/>
                <w:sz w:val="18"/>
                <w:szCs w:val="18"/>
              </w:rPr>
              <w:t>225</w:t>
            </w:r>
            <w:r w:rsidRPr="000534C6">
              <w:rPr>
                <w:rFonts w:ascii="Arial" w:hAnsi="Arial" w:cs="Arial"/>
                <w:color w:val="000000"/>
                <w:sz w:val="18"/>
                <w:szCs w:val="18"/>
              </w:rPr>
              <w:t xml:space="preserve"> </w:t>
            </w:r>
          </w:p>
        </w:tc>
        <w:tc>
          <w:tcPr>
            <w:tcW w:w="1371" w:type="dxa"/>
            <w:tcBorders>
              <w:top w:val="nil"/>
              <w:left w:val="nil"/>
              <w:bottom w:val="single" w:sz="8" w:space="0" w:color="auto"/>
              <w:right w:val="single" w:sz="8" w:space="0" w:color="auto"/>
            </w:tcBorders>
            <w:noWrap/>
            <w:vAlign w:val="center"/>
          </w:tcPr>
          <w:p w14:paraId="5302B4C7" w14:textId="394C71C4" w:rsidR="00A35925" w:rsidRPr="000534C6" w:rsidRDefault="00A35925" w:rsidP="00D106A2">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w:t>
            </w:r>
            <w:r w:rsidR="00166BCE">
              <w:rPr>
                <w:rFonts w:ascii="Arial" w:hAnsi="Arial" w:cs="Arial"/>
                <w:color w:val="000000"/>
                <w:sz w:val="18"/>
                <w:szCs w:val="18"/>
              </w:rPr>
              <w:t>2</w:t>
            </w:r>
            <w:r>
              <w:rPr>
                <w:rFonts w:ascii="Arial" w:hAnsi="Arial" w:cs="Arial"/>
                <w:color w:val="000000"/>
                <w:sz w:val="18"/>
                <w:szCs w:val="18"/>
              </w:rPr>
              <w:t>.</w:t>
            </w:r>
            <w:r w:rsidR="00166BCE">
              <w:rPr>
                <w:rFonts w:ascii="Arial" w:hAnsi="Arial" w:cs="Arial"/>
                <w:color w:val="000000"/>
                <w:sz w:val="18"/>
                <w:szCs w:val="18"/>
              </w:rPr>
              <w:t>95</w:t>
            </w:r>
          </w:p>
        </w:tc>
      </w:tr>
      <w:tr w:rsidR="00A35925" w:rsidRPr="000534C6" w14:paraId="5A5D4BA2" w14:textId="77777777" w:rsidTr="00D106A2">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4769E68F" w14:textId="77777777" w:rsidR="00A35925" w:rsidRPr="000534C6" w:rsidRDefault="00A35925" w:rsidP="00D106A2">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FORTAMUN</w:t>
            </w:r>
          </w:p>
        </w:tc>
        <w:tc>
          <w:tcPr>
            <w:tcW w:w="1577" w:type="dxa"/>
            <w:tcBorders>
              <w:top w:val="nil"/>
              <w:left w:val="nil"/>
              <w:bottom w:val="single" w:sz="8" w:space="0" w:color="auto"/>
              <w:right w:val="single" w:sz="8" w:space="0" w:color="auto"/>
            </w:tcBorders>
            <w:noWrap/>
            <w:vAlign w:val="center"/>
          </w:tcPr>
          <w:p w14:paraId="44BED7BD" w14:textId="14042731" w:rsidR="00A35925" w:rsidRPr="000534C6" w:rsidRDefault="00A35925" w:rsidP="00D106A2">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3</w:t>
            </w:r>
            <w:r w:rsidR="00166BCE">
              <w:rPr>
                <w:rFonts w:ascii="Arial" w:hAnsi="Arial" w:cs="Arial"/>
                <w:color w:val="000000"/>
                <w:sz w:val="18"/>
                <w:szCs w:val="18"/>
              </w:rPr>
              <w:t>81</w:t>
            </w:r>
            <w:r w:rsidRPr="000534C6">
              <w:rPr>
                <w:rFonts w:ascii="Arial" w:hAnsi="Arial" w:cs="Arial"/>
                <w:color w:val="000000"/>
                <w:sz w:val="18"/>
                <w:szCs w:val="18"/>
              </w:rPr>
              <w:t>,</w:t>
            </w:r>
            <w:r w:rsidR="00166BCE">
              <w:rPr>
                <w:rFonts w:ascii="Arial" w:hAnsi="Arial" w:cs="Arial"/>
                <w:color w:val="000000"/>
                <w:sz w:val="18"/>
                <w:szCs w:val="18"/>
              </w:rPr>
              <w:t>182</w:t>
            </w:r>
            <w:r w:rsidRPr="000534C6">
              <w:rPr>
                <w:rFonts w:ascii="Arial" w:hAnsi="Arial" w:cs="Arial"/>
                <w:color w:val="000000"/>
                <w:sz w:val="18"/>
                <w:szCs w:val="18"/>
              </w:rPr>
              <w:t>,</w:t>
            </w:r>
            <w:r w:rsidR="00166BCE">
              <w:rPr>
                <w:rFonts w:ascii="Arial" w:hAnsi="Arial" w:cs="Arial"/>
                <w:color w:val="000000"/>
                <w:sz w:val="18"/>
                <w:szCs w:val="18"/>
              </w:rPr>
              <w:t>280</w:t>
            </w:r>
            <w:r w:rsidRPr="000534C6">
              <w:rPr>
                <w:rFonts w:ascii="Arial" w:hAnsi="Arial" w:cs="Arial"/>
                <w:color w:val="000000"/>
                <w:sz w:val="18"/>
                <w:szCs w:val="18"/>
              </w:rPr>
              <w:t xml:space="preserve"> </w:t>
            </w:r>
          </w:p>
        </w:tc>
        <w:tc>
          <w:tcPr>
            <w:tcW w:w="1371" w:type="dxa"/>
            <w:tcBorders>
              <w:top w:val="nil"/>
              <w:left w:val="nil"/>
              <w:bottom w:val="single" w:sz="8" w:space="0" w:color="auto"/>
              <w:right w:val="single" w:sz="8" w:space="0" w:color="auto"/>
            </w:tcBorders>
            <w:noWrap/>
            <w:vAlign w:val="center"/>
          </w:tcPr>
          <w:p w14:paraId="686734B1" w14:textId="4A4D7A48" w:rsidR="00A35925" w:rsidRPr="000534C6" w:rsidRDefault="00A35925" w:rsidP="00D106A2">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w:t>
            </w:r>
            <w:r w:rsidR="00166BCE">
              <w:rPr>
                <w:rFonts w:ascii="Arial" w:hAnsi="Arial" w:cs="Arial"/>
                <w:color w:val="000000"/>
                <w:sz w:val="18"/>
                <w:szCs w:val="18"/>
              </w:rPr>
              <w:t>2</w:t>
            </w:r>
            <w:r>
              <w:rPr>
                <w:rFonts w:ascii="Arial" w:hAnsi="Arial" w:cs="Arial"/>
                <w:color w:val="000000"/>
                <w:sz w:val="18"/>
                <w:szCs w:val="18"/>
              </w:rPr>
              <w:t>.</w:t>
            </w:r>
            <w:r w:rsidR="00166BCE">
              <w:rPr>
                <w:rFonts w:ascii="Arial" w:hAnsi="Arial" w:cs="Arial"/>
                <w:color w:val="000000"/>
                <w:sz w:val="18"/>
                <w:szCs w:val="18"/>
              </w:rPr>
              <w:t>26</w:t>
            </w:r>
          </w:p>
        </w:tc>
      </w:tr>
      <w:tr w:rsidR="00A35925" w:rsidRPr="000534C6" w14:paraId="7A378CFC" w14:textId="77777777" w:rsidTr="00D106A2">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482B5DD1" w14:textId="77777777" w:rsidR="00A35925" w:rsidRPr="000534C6" w:rsidRDefault="00A35925" w:rsidP="00D106A2">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 xml:space="preserve">FAETA </w:t>
            </w:r>
          </w:p>
        </w:tc>
        <w:tc>
          <w:tcPr>
            <w:tcW w:w="1577" w:type="dxa"/>
            <w:tcBorders>
              <w:top w:val="nil"/>
              <w:left w:val="nil"/>
              <w:bottom w:val="single" w:sz="8" w:space="0" w:color="auto"/>
              <w:right w:val="single" w:sz="8" w:space="0" w:color="auto"/>
            </w:tcBorders>
            <w:noWrap/>
            <w:vAlign w:val="center"/>
          </w:tcPr>
          <w:p w14:paraId="42BAFE35" w14:textId="3D1F8415" w:rsidR="00A35925" w:rsidRPr="000534C6" w:rsidRDefault="00A35925" w:rsidP="00D106A2">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3</w:t>
            </w:r>
            <w:r w:rsidR="00166BCE">
              <w:rPr>
                <w:rFonts w:ascii="Arial" w:hAnsi="Arial" w:cs="Arial"/>
                <w:color w:val="000000"/>
                <w:sz w:val="18"/>
                <w:szCs w:val="18"/>
              </w:rPr>
              <w:t>6</w:t>
            </w:r>
            <w:r w:rsidRPr="000534C6">
              <w:rPr>
                <w:rFonts w:ascii="Arial" w:hAnsi="Arial" w:cs="Arial"/>
                <w:color w:val="000000"/>
                <w:sz w:val="18"/>
                <w:szCs w:val="18"/>
              </w:rPr>
              <w:t>,71</w:t>
            </w:r>
            <w:r w:rsidR="00166BCE">
              <w:rPr>
                <w:rFonts w:ascii="Arial" w:hAnsi="Arial" w:cs="Arial"/>
                <w:color w:val="000000"/>
                <w:sz w:val="18"/>
                <w:szCs w:val="18"/>
              </w:rPr>
              <w:t>8</w:t>
            </w:r>
            <w:r w:rsidRPr="000534C6">
              <w:rPr>
                <w:rFonts w:ascii="Arial" w:hAnsi="Arial" w:cs="Arial"/>
                <w:color w:val="000000"/>
                <w:sz w:val="18"/>
                <w:szCs w:val="18"/>
              </w:rPr>
              <w:t>,</w:t>
            </w:r>
            <w:r w:rsidR="00166BCE">
              <w:rPr>
                <w:rFonts w:ascii="Arial" w:hAnsi="Arial" w:cs="Arial"/>
                <w:color w:val="000000"/>
                <w:sz w:val="18"/>
                <w:szCs w:val="18"/>
              </w:rPr>
              <w:t>208</w:t>
            </w:r>
            <w:r w:rsidRPr="000534C6">
              <w:rPr>
                <w:rFonts w:ascii="Arial" w:hAnsi="Arial" w:cs="Arial"/>
                <w:color w:val="000000"/>
                <w:sz w:val="18"/>
                <w:szCs w:val="18"/>
              </w:rPr>
              <w:t xml:space="preserve"> </w:t>
            </w:r>
          </w:p>
        </w:tc>
        <w:tc>
          <w:tcPr>
            <w:tcW w:w="1371" w:type="dxa"/>
            <w:tcBorders>
              <w:top w:val="nil"/>
              <w:left w:val="nil"/>
              <w:bottom w:val="single" w:sz="8" w:space="0" w:color="auto"/>
              <w:right w:val="single" w:sz="8" w:space="0" w:color="auto"/>
            </w:tcBorders>
            <w:noWrap/>
            <w:vAlign w:val="center"/>
          </w:tcPr>
          <w:p w14:paraId="1AB70495" w14:textId="1817BA4D" w:rsidR="00A35925" w:rsidRPr="000534C6" w:rsidRDefault="00A35925" w:rsidP="00D106A2">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w:t>
            </w:r>
            <w:r w:rsidR="00166BCE">
              <w:rPr>
                <w:rFonts w:ascii="Arial" w:hAnsi="Arial" w:cs="Arial"/>
                <w:color w:val="000000"/>
                <w:sz w:val="18"/>
                <w:szCs w:val="18"/>
              </w:rPr>
              <w:t>18</w:t>
            </w:r>
          </w:p>
        </w:tc>
      </w:tr>
      <w:tr w:rsidR="00A35925" w:rsidRPr="000534C6" w14:paraId="618B96C7" w14:textId="77777777" w:rsidTr="00D106A2">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40289CFA" w14:textId="77777777" w:rsidR="00A35925" w:rsidRPr="000534C6" w:rsidRDefault="00A35925" w:rsidP="00D106A2">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FONDO PARA LA SEGURIDAD PUBLICA</w:t>
            </w:r>
          </w:p>
        </w:tc>
        <w:tc>
          <w:tcPr>
            <w:tcW w:w="1577" w:type="dxa"/>
            <w:tcBorders>
              <w:top w:val="nil"/>
              <w:left w:val="nil"/>
              <w:bottom w:val="single" w:sz="8" w:space="0" w:color="auto"/>
              <w:right w:val="single" w:sz="8" w:space="0" w:color="auto"/>
            </w:tcBorders>
            <w:noWrap/>
            <w:vAlign w:val="center"/>
          </w:tcPr>
          <w:p w14:paraId="711AFF5B" w14:textId="662E31C1" w:rsidR="00A35925" w:rsidRPr="000534C6" w:rsidRDefault="00A35925" w:rsidP="00D106A2">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6</w:t>
            </w:r>
            <w:r w:rsidR="00166BCE">
              <w:rPr>
                <w:rFonts w:ascii="Arial" w:hAnsi="Arial" w:cs="Arial"/>
                <w:color w:val="000000"/>
                <w:sz w:val="18"/>
                <w:szCs w:val="18"/>
              </w:rPr>
              <w:t>3</w:t>
            </w:r>
            <w:r w:rsidRPr="000534C6">
              <w:rPr>
                <w:rFonts w:ascii="Arial" w:hAnsi="Arial" w:cs="Arial"/>
                <w:color w:val="000000"/>
                <w:sz w:val="18"/>
                <w:szCs w:val="18"/>
              </w:rPr>
              <w:t>,</w:t>
            </w:r>
            <w:r w:rsidR="00166BCE">
              <w:rPr>
                <w:rFonts w:ascii="Arial" w:hAnsi="Arial" w:cs="Arial"/>
                <w:color w:val="000000"/>
                <w:sz w:val="18"/>
                <w:szCs w:val="18"/>
              </w:rPr>
              <w:t>638</w:t>
            </w:r>
            <w:r w:rsidRPr="000534C6">
              <w:rPr>
                <w:rFonts w:ascii="Arial" w:hAnsi="Arial" w:cs="Arial"/>
                <w:color w:val="000000"/>
                <w:sz w:val="18"/>
                <w:szCs w:val="18"/>
              </w:rPr>
              <w:t>,</w:t>
            </w:r>
            <w:r w:rsidR="00166BCE">
              <w:rPr>
                <w:rFonts w:ascii="Arial" w:hAnsi="Arial" w:cs="Arial"/>
                <w:color w:val="000000"/>
                <w:sz w:val="18"/>
                <w:szCs w:val="18"/>
              </w:rPr>
              <w:t>334</w:t>
            </w:r>
            <w:r w:rsidRPr="000534C6">
              <w:rPr>
                <w:rFonts w:ascii="Arial" w:hAnsi="Arial" w:cs="Arial"/>
                <w:color w:val="000000"/>
                <w:sz w:val="18"/>
                <w:szCs w:val="18"/>
              </w:rPr>
              <w:t xml:space="preserve"> </w:t>
            </w:r>
          </w:p>
        </w:tc>
        <w:tc>
          <w:tcPr>
            <w:tcW w:w="1371" w:type="dxa"/>
            <w:tcBorders>
              <w:top w:val="nil"/>
              <w:left w:val="nil"/>
              <w:bottom w:val="single" w:sz="8" w:space="0" w:color="auto"/>
              <w:right w:val="single" w:sz="8" w:space="0" w:color="auto"/>
            </w:tcBorders>
            <w:noWrap/>
            <w:vAlign w:val="center"/>
          </w:tcPr>
          <w:p w14:paraId="33C32C69" w14:textId="57946838" w:rsidR="00A35925" w:rsidRPr="000534C6" w:rsidRDefault="00A35925" w:rsidP="00D106A2">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2.</w:t>
            </w:r>
            <w:r w:rsidR="00166BCE">
              <w:rPr>
                <w:rFonts w:ascii="Arial" w:hAnsi="Arial" w:cs="Arial"/>
                <w:color w:val="000000"/>
                <w:sz w:val="18"/>
                <w:szCs w:val="18"/>
              </w:rPr>
              <w:t>04</w:t>
            </w:r>
          </w:p>
        </w:tc>
      </w:tr>
      <w:tr w:rsidR="00A35925" w:rsidRPr="000534C6" w14:paraId="70B8B90C" w14:textId="77777777" w:rsidTr="00D106A2">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432439F1" w14:textId="77777777" w:rsidR="00A35925" w:rsidRPr="000534C6" w:rsidRDefault="00A35925" w:rsidP="00D106A2">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FAM</w:t>
            </w:r>
          </w:p>
        </w:tc>
        <w:tc>
          <w:tcPr>
            <w:tcW w:w="1577" w:type="dxa"/>
            <w:tcBorders>
              <w:top w:val="nil"/>
              <w:left w:val="nil"/>
              <w:bottom w:val="single" w:sz="8" w:space="0" w:color="auto"/>
              <w:right w:val="single" w:sz="8" w:space="0" w:color="auto"/>
            </w:tcBorders>
            <w:noWrap/>
            <w:vAlign w:val="center"/>
          </w:tcPr>
          <w:p w14:paraId="5FCFB0BC" w14:textId="049FC19B" w:rsidR="00A35925" w:rsidRPr="000534C6" w:rsidRDefault="00A35925" w:rsidP="00D106A2">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1</w:t>
            </w:r>
            <w:r w:rsidR="00166BCE">
              <w:rPr>
                <w:rFonts w:ascii="Arial" w:hAnsi="Arial" w:cs="Arial"/>
                <w:color w:val="000000"/>
                <w:sz w:val="18"/>
                <w:szCs w:val="18"/>
              </w:rPr>
              <w:t>71</w:t>
            </w:r>
            <w:r w:rsidRPr="000534C6">
              <w:rPr>
                <w:rFonts w:ascii="Arial" w:hAnsi="Arial" w:cs="Arial"/>
                <w:color w:val="000000"/>
                <w:sz w:val="18"/>
                <w:szCs w:val="18"/>
              </w:rPr>
              <w:t>,</w:t>
            </w:r>
            <w:r w:rsidR="00166BCE">
              <w:rPr>
                <w:rFonts w:ascii="Arial" w:hAnsi="Arial" w:cs="Arial"/>
                <w:color w:val="000000"/>
                <w:sz w:val="18"/>
                <w:szCs w:val="18"/>
              </w:rPr>
              <w:t>977</w:t>
            </w:r>
            <w:r w:rsidRPr="000534C6">
              <w:rPr>
                <w:rFonts w:ascii="Arial" w:hAnsi="Arial" w:cs="Arial"/>
                <w:color w:val="000000"/>
                <w:sz w:val="18"/>
                <w:szCs w:val="18"/>
              </w:rPr>
              <w:t>,</w:t>
            </w:r>
            <w:r w:rsidR="00166BCE">
              <w:rPr>
                <w:rFonts w:ascii="Arial" w:hAnsi="Arial" w:cs="Arial"/>
                <w:color w:val="000000"/>
                <w:sz w:val="18"/>
                <w:szCs w:val="18"/>
              </w:rPr>
              <w:t>667</w:t>
            </w:r>
            <w:r w:rsidRPr="000534C6">
              <w:rPr>
                <w:rFonts w:ascii="Arial" w:hAnsi="Arial" w:cs="Arial"/>
                <w:color w:val="000000"/>
                <w:sz w:val="18"/>
                <w:szCs w:val="18"/>
              </w:rPr>
              <w:t xml:space="preserve"> </w:t>
            </w:r>
          </w:p>
        </w:tc>
        <w:tc>
          <w:tcPr>
            <w:tcW w:w="1371" w:type="dxa"/>
            <w:tcBorders>
              <w:top w:val="nil"/>
              <w:left w:val="nil"/>
              <w:bottom w:val="single" w:sz="8" w:space="0" w:color="auto"/>
              <w:right w:val="single" w:sz="8" w:space="0" w:color="auto"/>
            </w:tcBorders>
            <w:noWrap/>
            <w:vAlign w:val="center"/>
          </w:tcPr>
          <w:p w14:paraId="3DBC0280" w14:textId="6A6C105D" w:rsidR="00A35925" w:rsidRPr="000534C6" w:rsidRDefault="00166BCE" w:rsidP="00D106A2">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3</w:t>
            </w:r>
            <w:r w:rsidR="00A35925">
              <w:rPr>
                <w:rFonts w:ascii="Arial" w:hAnsi="Arial" w:cs="Arial"/>
                <w:color w:val="000000"/>
                <w:sz w:val="18"/>
                <w:szCs w:val="18"/>
              </w:rPr>
              <w:t>.</w:t>
            </w:r>
            <w:r>
              <w:rPr>
                <w:rFonts w:ascii="Arial" w:hAnsi="Arial" w:cs="Arial"/>
                <w:color w:val="000000"/>
                <w:sz w:val="18"/>
                <w:szCs w:val="18"/>
              </w:rPr>
              <w:t>53</w:t>
            </w:r>
          </w:p>
        </w:tc>
      </w:tr>
      <w:tr w:rsidR="00A35925" w:rsidRPr="000534C6" w14:paraId="42635A9F" w14:textId="77777777" w:rsidTr="00D106A2">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799FE54F" w14:textId="77777777" w:rsidR="00A35925" w:rsidRPr="000534C6" w:rsidRDefault="00A35925" w:rsidP="00D106A2">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FONDO PARA EL FORTALECIMIENTO DE ENTIDADES FEDERATIVAS</w:t>
            </w:r>
          </w:p>
        </w:tc>
        <w:tc>
          <w:tcPr>
            <w:tcW w:w="1577" w:type="dxa"/>
            <w:tcBorders>
              <w:top w:val="nil"/>
              <w:left w:val="nil"/>
              <w:bottom w:val="single" w:sz="8" w:space="0" w:color="auto"/>
              <w:right w:val="single" w:sz="8" w:space="0" w:color="auto"/>
            </w:tcBorders>
            <w:noWrap/>
            <w:vAlign w:val="center"/>
          </w:tcPr>
          <w:p w14:paraId="062D13E5" w14:textId="02586DAA" w:rsidR="00A35925" w:rsidRPr="000534C6" w:rsidRDefault="00A35925" w:rsidP="00D106A2">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2</w:t>
            </w:r>
            <w:r w:rsidR="00166BCE">
              <w:rPr>
                <w:rFonts w:ascii="Arial" w:hAnsi="Arial" w:cs="Arial"/>
                <w:color w:val="000000"/>
                <w:sz w:val="18"/>
                <w:szCs w:val="18"/>
              </w:rPr>
              <w:t>82</w:t>
            </w:r>
            <w:r w:rsidRPr="000534C6">
              <w:rPr>
                <w:rFonts w:ascii="Arial" w:hAnsi="Arial" w:cs="Arial"/>
                <w:color w:val="000000"/>
                <w:sz w:val="18"/>
                <w:szCs w:val="18"/>
              </w:rPr>
              <w:t>,</w:t>
            </w:r>
            <w:r w:rsidR="00166BCE">
              <w:rPr>
                <w:rFonts w:ascii="Arial" w:hAnsi="Arial" w:cs="Arial"/>
                <w:color w:val="000000"/>
                <w:sz w:val="18"/>
                <w:szCs w:val="18"/>
              </w:rPr>
              <w:t>164</w:t>
            </w:r>
            <w:r w:rsidRPr="000534C6">
              <w:rPr>
                <w:rFonts w:ascii="Arial" w:hAnsi="Arial" w:cs="Arial"/>
                <w:color w:val="000000"/>
                <w:sz w:val="18"/>
                <w:szCs w:val="18"/>
              </w:rPr>
              <w:t>,</w:t>
            </w:r>
            <w:r w:rsidR="00166BCE">
              <w:rPr>
                <w:rFonts w:ascii="Arial" w:hAnsi="Arial" w:cs="Arial"/>
                <w:color w:val="000000"/>
                <w:sz w:val="18"/>
                <w:szCs w:val="18"/>
              </w:rPr>
              <w:t>304</w:t>
            </w:r>
            <w:r w:rsidRPr="000534C6">
              <w:rPr>
                <w:rFonts w:ascii="Arial" w:hAnsi="Arial" w:cs="Arial"/>
                <w:color w:val="000000"/>
                <w:sz w:val="18"/>
                <w:szCs w:val="18"/>
              </w:rPr>
              <w:t xml:space="preserve"> </w:t>
            </w:r>
          </w:p>
        </w:tc>
        <w:tc>
          <w:tcPr>
            <w:tcW w:w="1371" w:type="dxa"/>
            <w:tcBorders>
              <w:top w:val="nil"/>
              <w:left w:val="nil"/>
              <w:bottom w:val="single" w:sz="8" w:space="0" w:color="auto"/>
              <w:right w:val="single" w:sz="8" w:space="0" w:color="auto"/>
            </w:tcBorders>
            <w:noWrap/>
            <w:vAlign w:val="center"/>
          </w:tcPr>
          <w:p w14:paraId="0A60E5FA" w14:textId="47EFF620" w:rsidR="00A35925" w:rsidRPr="000534C6" w:rsidRDefault="00166BCE" w:rsidP="00D106A2">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9</w:t>
            </w:r>
            <w:r w:rsidR="00A35925">
              <w:rPr>
                <w:rFonts w:ascii="Arial" w:hAnsi="Arial" w:cs="Arial"/>
                <w:color w:val="000000"/>
                <w:sz w:val="18"/>
                <w:szCs w:val="18"/>
              </w:rPr>
              <w:t>.</w:t>
            </w:r>
            <w:r>
              <w:rPr>
                <w:rFonts w:ascii="Arial" w:hAnsi="Arial" w:cs="Arial"/>
                <w:color w:val="000000"/>
                <w:sz w:val="18"/>
                <w:szCs w:val="18"/>
              </w:rPr>
              <w:t>07</w:t>
            </w:r>
          </w:p>
        </w:tc>
      </w:tr>
      <w:tr w:rsidR="00A35925" w:rsidRPr="000534C6" w14:paraId="4105D96D" w14:textId="77777777" w:rsidTr="00D106A2">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78986571" w14:textId="77777777" w:rsidR="00A35925" w:rsidRPr="000534C6" w:rsidRDefault="00A35925" w:rsidP="00D106A2">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TOTAL</w:t>
            </w:r>
          </w:p>
        </w:tc>
        <w:tc>
          <w:tcPr>
            <w:tcW w:w="1577" w:type="dxa"/>
            <w:tcBorders>
              <w:top w:val="nil"/>
              <w:left w:val="nil"/>
              <w:bottom w:val="single" w:sz="8" w:space="0" w:color="auto"/>
              <w:right w:val="single" w:sz="8" w:space="0" w:color="auto"/>
            </w:tcBorders>
            <w:noWrap/>
            <w:vAlign w:val="bottom"/>
            <w:hideMark/>
          </w:tcPr>
          <w:p w14:paraId="09789E89" w14:textId="568DCF97" w:rsidR="00A35925" w:rsidRPr="000534C6" w:rsidRDefault="00166BCE" w:rsidP="00D106A2">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3</w:t>
            </w:r>
            <w:r w:rsidR="00A35925">
              <w:rPr>
                <w:rFonts w:ascii="Arial" w:eastAsia="Times New Roman" w:hAnsi="Arial" w:cs="Arial"/>
                <w:b/>
                <w:bCs/>
                <w:color w:val="000000"/>
                <w:sz w:val="18"/>
                <w:szCs w:val="18"/>
                <w:lang w:eastAsia="es-MX"/>
              </w:rPr>
              <w:t>,1</w:t>
            </w:r>
            <w:r>
              <w:rPr>
                <w:rFonts w:ascii="Arial" w:eastAsia="Times New Roman" w:hAnsi="Arial" w:cs="Arial"/>
                <w:b/>
                <w:bCs/>
                <w:color w:val="000000"/>
                <w:sz w:val="18"/>
                <w:szCs w:val="18"/>
                <w:lang w:eastAsia="es-MX"/>
              </w:rPr>
              <w:t>10</w:t>
            </w:r>
            <w:r w:rsidR="00A35925">
              <w:rPr>
                <w:rFonts w:ascii="Arial" w:eastAsia="Times New Roman" w:hAnsi="Arial" w:cs="Arial"/>
                <w:b/>
                <w:bCs/>
                <w:color w:val="000000"/>
                <w:sz w:val="18"/>
                <w:szCs w:val="18"/>
                <w:lang w:eastAsia="es-MX"/>
              </w:rPr>
              <w:t>,1</w:t>
            </w:r>
            <w:r>
              <w:rPr>
                <w:rFonts w:ascii="Arial" w:eastAsia="Times New Roman" w:hAnsi="Arial" w:cs="Arial"/>
                <w:b/>
                <w:bCs/>
                <w:color w:val="000000"/>
                <w:sz w:val="18"/>
                <w:szCs w:val="18"/>
                <w:lang w:eastAsia="es-MX"/>
              </w:rPr>
              <w:t>56</w:t>
            </w:r>
            <w:r w:rsidR="00A35925">
              <w:rPr>
                <w:rFonts w:ascii="Arial" w:eastAsia="Times New Roman" w:hAnsi="Arial" w:cs="Arial"/>
                <w:b/>
                <w:bCs/>
                <w:color w:val="000000"/>
                <w:sz w:val="18"/>
                <w:szCs w:val="18"/>
                <w:lang w:eastAsia="es-MX"/>
              </w:rPr>
              <w:t>,</w:t>
            </w:r>
            <w:r>
              <w:rPr>
                <w:rFonts w:ascii="Arial" w:eastAsia="Times New Roman" w:hAnsi="Arial" w:cs="Arial"/>
                <w:b/>
                <w:bCs/>
                <w:color w:val="000000"/>
                <w:sz w:val="18"/>
                <w:szCs w:val="18"/>
                <w:lang w:eastAsia="es-MX"/>
              </w:rPr>
              <w:t>217</w:t>
            </w:r>
          </w:p>
        </w:tc>
        <w:tc>
          <w:tcPr>
            <w:tcW w:w="1371" w:type="dxa"/>
            <w:tcBorders>
              <w:top w:val="nil"/>
              <w:left w:val="nil"/>
              <w:bottom w:val="single" w:sz="8" w:space="0" w:color="auto"/>
              <w:right w:val="single" w:sz="8" w:space="0" w:color="auto"/>
            </w:tcBorders>
            <w:noWrap/>
            <w:vAlign w:val="center"/>
            <w:hideMark/>
          </w:tcPr>
          <w:p w14:paraId="73669242" w14:textId="77777777" w:rsidR="00A35925" w:rsidRPr="000534C6" w:rsidRDefault="00A35925" w:rsidP="00D106A2">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100.00</w:t>
            </w:r>
          </w:p>
        </w:tc>
      </w:tr>
    </w:tbl>
    <w:p w14:paraId="1872F05C" w14:textId="77777777" w:rsidR="00A35925" w:rsidRDefault="00A35925" w:rsidP="00A35925">
      <w:pPr>
        <w:tabs>
          <w:tab w:val="left" w:pos="284"/>
        </w:tabs>
        <w:spacing w:after="0"/>
        <w:ind w:left="284"/>
        <w:jc w:val="both"/>
        <w:rPr>
          <w:rFonts w:ascii="Arial" w:hAnsi="Arial" w:cs="Arial"/>
          <w:sz w:val="18"/>
          <w:szCs w:val="18"/>
        </w:rPr>
      </w:pPr>
    </w:p>
    <w:p w14:paraId="0C7BB106" w14:textId="77777777" w:rsidR="00A35925" w:rsidRPr="0073056A" w:rsidRDefault="00A35925" w:rsidP="00A35925">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14:paraId="0042DE1E" w14:textId="13D4E6AB" w:rsidR="00A35925" w:rsidRDefault="00A35925" w:rsidP="00A35925">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acciones al mes de marzo del ejercicio 202</w:t>
      </w:r>
      <w:r w:rsidR="00FC60C5">
        <w:rPr>
          <w:rFonts w:ascii="Arial" w:hAnsi="Arial" w:cs="Arial"/>
          <w:sz w:val="18"/>
          <w:szCs w:val="18"/>
        </w:rPr>
        <w:t>6</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FC60C5">
        <w:rPr>
          <w:rFonts w:ascii="Arial" w:hAnsi="Arial" w:cs="Arial"/>
          <w:sz w:val="18"/>
          <w:szCs w:val="18"/>
        </w:rPr>
        <w:t>454</w:t>
      </w:r>
      <w:r>
        <w:rPr>
          <w:rFonts w:ascii="Arial" w:hAnsi="Arial" w:cs="Arial"/>
          <w:sz w:val="18"/>
          <w:szCs w:val="18"/>
        </w:rPr>
        <w:t>,5</w:t>
      </w:r>
      <w:r w:rsidR="00FC60C5">
        <w:rPr>
          <w:rFonts w:ascii="Arial" w:hAnsi="Arial" w:cs="Arial"/>
          <w:sz w:val="18"/>
          <w:szCs w:val="18"/>
        </w:rPr>
        <w:t>26</w:t>
      </w:r>
      <w:r>
        <w:rPr>
          <w:rFonts w:ascii="Arial" w:hAnsi="Arial" w:cs="Arial"/>
          <w:sz w:val="18"/>
          <w:szCs w:val="18"/>
        </w:rPr>
        <w:t>,</w:t>
      </w:r>
      <w:r w:rsidR="00FC60C5">
        <w:rPr>
          <w:rFonts w:ascii="Arial" w:hAnsi="Arial" w:cs="Arial"/>
          <w:sz w:val="18"/>
          <w:szCs w:val="18"/>
        </w:rPr>
        <w:t>601</w:t>
      </w:r>
      <w:r>
        <w:rPr>
          <w:rFonts w:ascii="Arial" w:hAnsi="Arial" w:cs="Arial"/>
          <w:sz w:val="18"/>
          <w:szCs w:val="18"/>
        </w:rPr>
        <w:t>, incluyendo los intereses y rendimientos generados por los Convenios suscritos</w:t>
      </w:r>
      <w:r>
        <w:rPr>
          <w:rFonts w:ascii="Arial" w:hAnsi="Arial" w:cs="Arial"/>
          <w:sz w:val="18"/>
          <w:szCs w:val="20"/>
        </w:rPr>
        <w:t>.</w:t>
      </w:r>
    </w:p>
    <w:p w14:paraId="204FDB73" w14:textId="77777777" w:rsidR="00A35925" w:rsidRDefault="00A35925" w:rsidP="00A35925">
      <w:pPr>
        <w:pStyle w:val="ROMANOS"/>
        <w:tabs>
          <w:tab w:val="clear" w:pos="720"/>
          <w:tab w:val="left" w:pos="284"/>
        </w:tabs>
        <w:spacing w:after="0" w:line="276" w:lineRule="auto"/>
        <w:ind w:left="284" w:firstLine="0"/>
        <w:rPr>
          <w:b/>
          <w:lang w:val="es-MX"/>
        </w:rPr>
      </w:pPr>
    </w:p>
    <w:p w14:paraId="32A2873F" w14:textId="77777777" w:rsidR="00A35925" w:rsidRDefault="00A35925" w:rsidP="00A35925">
      <w:pPr>
        <w:pStyle w:val="ROMANOS"/>
        <w:tabs>
          <w:tab w:val="clear" w:pos="720"/>
          <w:tab w:val="left" w:pos="284"/>
        </w:tabs>
        <w:spacing w:after="0" w:line="276" w:lineRule="auto"/>
        <w:ind w:left="284" w:firstLine="0"/>
        <w:rPr>
          <w:b/>
          <w:lang w:val="es-MX"/>
        </w:rPr>
      </w:pPr>
      <w:r w:rsidRPr="0073056A">
        <w:rPr>
          <w:b/>
          <w:lang w:val="es-MX"/>
        </w:rPr>
        <w:t>Gastos y Otras Pérdidas:</w:t>
      </w:r>
    </w:p>
    <w:p w14:paraId="202B5428" w14:textId="77777777" w:rsidR="00A35925" w:rsidRDefault="00A35925" w:rsidP="00A35925">
      <w:pPr>
        <w:tabs>
          <w:tab w:val="left" w:pos="284"/>
        </w:tabs>
        <w:spacing w:after="0"/>
        <w:ind w:left="284"/>
        <w:jc w:val="both"/>
        <w:rPr>
          <w:rFonts w:ascii="Arial" w:hAnsi="Arial" w:cs="Arial"/>
          <w:b/>
          <w:sz w:val="18"/>
          <w:szCs w:val="18"/>
        </w:rPr>
      </w:pPr>
    </w:p>
    <w:p w14:paraId="394834F5" w14:textId="77777777" w:rsidR="00A35925" w:rsidRPr="0073056A" w:rsidRDefault="00A35925" w:rsidP="00A35925">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14:paraId="22247E36" w14:textId="0A057FEA" w:rsidR="00A35925" w:rsidRDefault="00A35925" w:rsidP="00A35925">
      <w:pPr>
        <w:tabs>
          <w:tab w:val="left" w:pos="284"/>
        </w:tabs>
        <w:spacing w:after="0"/>
        <w:ind w:left="284"/>
        <w:jc w:val="both"/>
        <w:rPr>
          <w:rFonts w:ascii="Arial" w:hAnsi="Arial" w:cs="Arial"/>
          <w:sz w:val="18"/>
          <w:szCs w:val="18"/>
        </w:rPr>
      </w:pPr>
      <w:r>
        <w:rPr>
          <w:rFonts w:ascii="Arial" w:hAnsi="Arial" w:cs="Arial"/>
          <w:sz w:val="18"/>
          <w:szCs w:val="18"/>
        </w:rPr>
        <w:t>Al cierre del primer trimestre del ejercicio 202</w:t>
      </w:r>
      <w:r w:rsidR="00FC60C5">
        <w:rPr>
          <w:rFonts w:ascii="Arial" w:hAnsi="Arial" w:cs="Arial"/>
          <w:sz w:val="18"/>
          <w:szCs w:val="18"/>
        </w:rPr>
        <w:t>6</w:t>
      </w:r>
      <w:r w:rsidRPr="0073056A">
        <w:rPr>
          <w:rFonts w:ascii="Arial" w:hAnsi="Arial" w:cs="Arial"/>
          <w:sz w:val="18"/>
          <w:szCs w:val="18"/>
        </w:rPr>
        <w:t xml:space="preserve"> se</w:t>
      </w:r>
      <w:r>
        <w:rPr>
          <w:rFonts w:ascii="Arial" w:hAnsi="Arial" w:cs="Arial"/>
          <w:sz w:val="18"/>
          <w:szCs w:val="18"/>
        </w:rPr>
        <w:t xml:space="preserve"> aplicó una</w:t>
      </w:r>
      <w:r w:rsidRPr="0073056A">
        <w:rPr>
          <w:rFonts w:ascii="Arial" w:hAnsi="Arial" w:cs="Arial"/>
          <w:sz w:val="18"/>
          <w:szCs w:val="18"/>
        </w:rPr>
        <w:t xml:space="preserve"> política de </w:t>
      </w:r>
      <w:r>
        <w:rPr>
          <w:rFonts w:ascii="Arial" w:hAnsi="Arial" w:cs="Arial"/>
          <w:sz w:val="18"/>
          <w:szCs w:val="18"/>
        </w:rPr>
        <w:t xml:space="preserve">racionalidad, </w:t>
      </w:r>
      <w:r w:rsidRPr="0073056A">
        <w:rPr>
          <w:rFonts w:ascii="Arial" w:hAnsi="Arial" w:cs="Arial"/>
          <w:sz w:val="18"/>
          <w:szCs w:val="18"/>
        </w:rPr>
        <w:t>austeridad y de disciplina presupuestal</w:t>
      </w:r>
      <w:r>
        <w:rPr>
          <w:rFonts w:ascii="Arial" w:hAnsi="Arial" w:cs="Arial"/>
          <w:sz w:val="18"/>
          <w:szCs w:val="18"/>
        </w:rPr>
        <w:t xml:space="preserve">, lo que ha redundado en ahorros significativos al disminuir la duplicidad de funciones y reducir las estructuras administrativas, teniéndose al mes de </w:t>
      </w:r>
      <w:r w:rsidR="00FC60C5">
        <w:rPr>
          <w:rFonts w:ascii="Arial" w:hAnsi="Arial" w:cs="Arial"/>
          <w:sz w:val="18"/>
          <w:szCs w:val="18"/>
        </w:rPr>
        <w:t>marzo</w:t>
      </w:r>
      <w:r>
        <w:rPr>
          <w:rFonts w:ascii="Arial" w:hAnsi="Arial" w:cs="Arial"/>
          <w:sz w:val="18"/>
          <w:szCs w:val="18"/>
        </w:rPr>
        <w:t xml:space="preserve"> por este concepto un monto de $</w:t>
      </w:r>
      <w:r w:rsidR="00FC60C5">
        <w:rPr>
          <w:rFonts w:ascii="Arial" w:hAnsi="Arial" w:cs="Arial"/>
          <w:sz w:val="18"/>
          <w:szCs w:val="18"/>
        </w:rPr>
        <w:t>843</w:t>
      </w:r>
      <w:r>
        <w:rPr>
          <w:rFonts w:ascii="Arial" w:hAnsi="Arial" w:cs="Arial"/>
          <w:sz w:val="18"/>
          <w:szCs w:val="18"/>
        </w:rPr>
        <w:t>,</w:t>
      </w:r>
      <w:r w:rsidR="00FC60C5">
        <w:rPr>
          <w:rFonts w:ascii="Arial" w:hAnsi="Arial" w:cs="Arial"/>
          <w:sz w:val="18"/>
          <w:szCs w:val="18"/>
        </w:rPr>
        <w:t>297</w:t>
      </w:r>
      <w:r>
        <w:rPr>
          <w:rFonts w:ascii="Arial" w:hAnsi="Arial" w:cs="Arial"/>
          <w:sz w:val="18"/>
          <w:szCs w:val="18"/>
        </w:rPr>
        <w:t>,</w:t>
      </w:r>
      <w:r w:rsidR="00FC60C5">
        <w:rPr>
          <w:rFonts w:ascii="Arial" w:hAnsi="Arial" w:cs="Arial"/>
          <w:sz w:val="18"/>
          <w:szCs w:val="18"/>
        </w:rPr>
        <w:t>648</w:t>
      </w:r>
      <w:r>
        <w:rPr>
          <w:rFonts w:ascii="Arial" w:hAnsi="Arial" w:cs="Arial"/>
          <w:sz w:val="18"/>
          <w:szCs w:val="18"/>
        </w:rPr>
        <w:t>; en apego a lo estipulado en la Ley de Disciplina Financiera de las Entidades Federativas y los municipios. Lo que representa un decremento del 77% respecto al ejercicio 202</w:t>
      </w:r>
      <w:r w:rsidR="00FC60C5">
        <w:rPr>
          <w:rFonts w:ascii="Arial" w:hAnsi="Arial" w:cs="Arial"/>
          <w:sz w:val="18"/>
          <w:szCs w:val="18"/>
        </w:rPr>
        <w:t>5</w:t>
      </w:r>
      <w:r>
        <w:rPr>
          <w:rFonts w:ascii="Arial" w:hAnsi="Arial" w:cs="Arial"/>
          <w:sz w:val="18"/>
          <w:szCs w:val="18"/>
        </w:rPr>
        <w:t>.</w:t>
      </w:r>
    </w:p>
    <w:p w14:paraId="6D0AA3F9" w14:textId="77777777" w:rsidR="00A35925" w:rsidRDefault="00A35925" w:rsidP="00A35925">
      <w:pPr>
        <w:tabs>
          <w:tab w:val="left" w:pos="284"/>
        </w:tabs>
        <w:spacing w:after="0"/>
        <w:ind w:left="284"/>
        <w:jc w:val="both"/>
        <w:rPr>
          <w:rFonts w:ascii="Arial" w:hAnsi="Arial" w:cs="Arial"/>
          <w:b/>
          <w:sz w:val="18"/>
          <w:szCs w:val="18"/>
        </w:rPr>
      </w:pPr>
    </w:p>
    <w:p w14:paraId="4C4176CD" w14:textId="77777777" w:rsidR="00A35925" w:rsidRPr="0073056A" w:rsidRDefault="00A35925" w:rsidP="00A35925">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14:paraId="06776D52" w14:textId="30DBF34D" w:rsidR="00A35925" w:rsidRDefault="00A35925" w:rsidP="00A35925">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$2</w:t>
      </w:r>
      <w:r w:rsidR="00FC60C5">
        <w:rPr>
          <w:rFonts w:ascii="Arial" w:hAnsi="Arial" w:cs="Arial"/>
          <w:sz w:val="18"/>
          <w:szCs w:val="18"/>
        </w:rPr>
        <w:t>0</w:t>
      </w:r>
      <w:r>
        <w:rPr>
          <w:rFonts w:ascii="Arial" w:hAnsi="Arial" w:cs="Arial"/>
          <w:sz w:val="18"/>
          <w:szCs w:val="18"/>
        </w:rPr>
        <w:t>,</w:t>
      </w:r>
      <w:r w:rsidR="00FC60C5">
        <w:rPr>
          <w:rFonts w:ascii="Arial" w:hAnsi="Arial" w:cs="Arial"/>
          <w:sz w:val="18"/>
          <w:szCs w:val="18"/>
        </w:rPr>
        <w:t>498</w:t>
      </w:r>
      <w:r>
        <w:rPr>
          <w:rFonts w:ascii="Arial" w:hAnsi="Arial" w:cs="Arial"/>
          <w:sz w:val="18"/>
          <w:szCs w:val="18"/>
        </w:rPr>
        <w:t>,</w:t>
      </w:r>
      <w:r w:rsidR="00FC60C5">
        <w:rPr>
          <w:rFonts w:ascii="Arial" w:hAnsi="Arial" w:cs="Arial"/>
          <w:sz w:val="18"/>
          <w:szCs w:val="18"/>
        </w:rPr>
        <w:t>426</w:t>
      </w:r>
      <w:r w:rsidRPr="0073056A">
        <w:rPr>
          <w:rFonts w:ascii="Arial" w:hAnsi="Arial" w:cs="Arial"/>
          <w:sz w:val="18"/>
          <w:szCs w:val="18"/>
        </w:rPr>
        <w:t>.</w:t>
      </w:r>
    </w:p>
    <w:p w14:paraId="2EA983E9" w14:textId="77777777" w:rsidR="00A35925" w:rsidRDefault="00A35925" w:rsidP="00A35925">
      <w:pPr>
        <w:tabs>
          <w:tab w:val="left" w:pos="284"/>
        </w:tabs>
        <w:spacing w:after="0"/>
        <w:ind w:left="284"/>
        <w:jc w:val="both"/>
        <w:rPr>
          <w:rFonts w:ascii="Arial" w:hAnsi="Arial" w:cs="Arial"/>
          <w:b/>
          <w:sz w:val="18"/>
          <w:szCs w:val="18"/>
        </w:rPr>
      </w:pPr>
    </w:p>
    <w:p w14:paraId="38364010" w14:textId="77777777" w:rsidR="00A35925" w:rsidRPr="0073056A" w:rsidRDefault="00A35925" w:rsidP="00A35925">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14:paraId="1444650E" w14:textId="2F0DDA02" w:rsidR="00A35925" w:rsidRPr="0073056A" w:rsidRDefault="00A35925" w:rsidP="00A35925">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marzo de 202</w:t>
      </w:r>
      <w:r w:rsidR="00FC60C5">
        <w:rPr>
          <w:rFonts w:ascii="Arial" w:hAnsi="Arial" w:cs="Arial"/>
          <w:sz w:val="18"/>
          <w:szCs w:val="18"/>
        </w:rPr>
        <w:t>6</w:t>
      </w:r>
      <w:r>
        <w:rPr>
          <w:rFonts w:ascii="Arial" w:hAnsi="Arial" w:cs="Arial"/>
          <w:sz w:val="18"/>
          <w:szCs w:val="18"/>
        </w:rPr>
        <w:t xml:space="preserve"> es de $</w:t>
      </w:r>
      <w:r w:rsidR="00FC60C5">
        <w:rPr>
          <w:rFonts w:ascii="Arial" w:hAnsi="Arial" w:cs="Arial"/>
          <w:sz w:val="18"/>
          <w:szCs w:val="18"/>
        </w:rPr>
        <w:t>3</w:t>
      </w:r>
      <w:r>
        <w:rPr>
          <w:rFonts w:ascii="Arial" w:hAnsi="Arial" w:cs="Arial"/>
          <w:sz w:val="18"/>
          <w:szCs w:val="18"/>
        </w:rPr>
        <w:t>9,</w:t>
      </w:r>
      <w:r w:rsidR="00FC60C5">
        <w:rPr>
          <w:rFonts w:ascii="Arial" w:hAnsi="Arial" w:cs="Arial"/>
          <w:sz w:val="18"/>
          <w:szCs w:val="18"/>
        </w:rPr>
        <w:t>570</w:t>
      </w:r>
      <w:r>
        <w:rPr>
          <w:rFonts w:ascii="Arial" w:hAnsi="Arial" w:cs="Arial"/>
          <w:sz w:val="18"/>
          <w:szCs w:val="18"/>
        </w:rPr>
        <w:t>,</w:t>
      </w:r>
      <w:r w:rsidR="00FC60C5">
        <w:rPr>
          <w:rFonts w:ascii="Arial" w:hAnsi="Arial" w:cs="Arial"/>
          <w:sz w:val="18"/>
          <w:szCs w:val="18"/>
        </w:rPr>
        <w:t>263</w:t>
      </w:r>
      <w:r w:rsidRPr="0073056A">
        <w:rPr>
          <w:rFonts w:ascii="Arial" w:hAnsi="Arial" w:cs="Arial"/>
          <w:sz w:val="18"/>
          <w:szCs w:val="18"/>
        </w:rPr>
        <w:t>.</w:t>
      </w:r>
      <w:r>
        <w:rPr>
          <w:rFonts w:ascii="Arial" w:hAnsi="Arial" w:cs="Arial"/>
          <w:sz w:val="18"/>
          <w:szCs w:val="18"/>
        </w:rPr>
        <w:t xml:space="preserve"> Lo que representa un decremento del 9</w:t>
      </w:r>
      <w:r w:rsidR="00FC60C5">
        <w:rPr>
          <w:rFonts w:ascii="Arial" w:hAnsi="Arial" w:cs="Arial"/>
          <w:sz w:val="18"/>
          <w:szCs w:val="18"/>
        </w:rPr>
        <w:t>4</w:t>
      </w:r>
      <w:r>
        <w:rPr>
          <w:rFonts w:ascii="Arial" w:hAnsi="Arial" w:cs="Arial"/>
          <w:sz w:val="18"/>
          <w:szCs w:val="18"/>
        </w:rPr>
        <w:t>% respecto al ejercicio 202</w:t>
      </w:r>
      <w:r w:rsidR="00FC60C5">
        <w:rPr>
          <w:rFonts w:ascii="Arial" w:hAnsi="Arial" w:cs="Arial"/>
          <w:sz w:val="18"/>
          <w:szCs w:val="18"/>
        </w:rPr>
        <w:t>5</w:t>
      </w:r>
      <w:r>
        <w:rPr>
          <w:rFonts w:ascii="Arial" w:hAnsi="Arial" w:cs="Arial"/>
          <w:sz w:val="18"/>
          <w:szCs w:val="18"/>
        </w:rPr>
        <w:t>.</w:t>
      </w:r>
    </w:p>
    <w:p w14:paraId="1EE58941" w14:textId="77777777" w:rsidR="00A35925" w:rsidRDefault="00A35925" w:rsidP="00A35925">
      <w:pPr>
        <w:tabs>
          <w:tab w:val="left" w:pos="284"/>
        </w:tabs>
        <w:spacing w:after="0"/>
        <w:ind w:left="284"/>
        <w:jc w:val="both"/>
        <w:rPr>
          <w:rFonts w:ascii="Arial" w:hAnsi="Arial" w:cs="Arial"/>
          <w:b/>
          <w:sz w:val="18"/>
          <w:szCs w:val="18"/>
        </w:rPr>
      </w:pPr>
    </w:p>
    <w:p w14:paraId="66CF3ACF" w14:textId="77777777" w:rsidR="00A35925" w:rsidRPr="0073056A" w:rsidRDefault="00A35925" w:rsidP="00A35925">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14:paraId="370FF9E1" w14:textId="757D64A4" w:rsidR="00A35925" w:rsidRDefault="00A35925" w:rsidP="00A35925">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proofErr w:type="gramStart"/>
      <w:r>
        <w:rPr>
          <w:rFonts w:ascii="Arial" w:hAnsi="Arial" w:cs="Arial"/>
          <w:sz w:val="18"/>
          <w:szCs w:val="18"/>
        </w:rPr>
        <w:t>que</w:t>
      </w:r>
      <w:proofErr w:type="gramEnd"/>
      <w:r>
        <w:rPr>
          <w:rFonts w:ascii="Arial" w:hAnsi="Arial" w:cs="Arial"/>
          <w:sz w:val="18"/>
          <w:szCs w:val="18"/>
        </w:rPr>
        <w:t xml:space="preserve"> al mes de marzo de 202</w:t>
      </w:r>
      <w:r w:rsidR="00034632">
        <w:rPr>
          <w:rFonts w:ascii="Arial" w:hAnsi="Arial" w:cs="Arial"/>
          <w:sz w:val="18"/>
          <w:szCs w:val="18"/>
        </w:rPr>
        <w:t>6</w:t>
      </w:r>
      <w:r>
        <w:rPr>
          <w:rFonts w:ascii="Arial" w:hAnsi="Arial" w:cs="Arial"/>
          <w:sz w:val="18"/>
          <w:szCs w:val="18"/>
        </w:rPr>
        <w:t>, observan un monto de $3,</w:t>
      </w:r>
      <w:r w:rsidR="00034632">
        <w:rPr>
          <w:rFonts w:ascii="Arial" w:hAnsi="Arial" w:cs="Arial"/>
          <w:sz w:val="18"/>
          <w:szCs w:val="18"/>
        </w:rPr>
        <w:t>948</w:t>
      </w:r>
      <w:r>
        <w:rPr>
          <w:rFonts w:ascii="Arial" w:hAnsi="Arial" w:cs="Arial"/>
          <w:sz w:val="18"/>
          <w:szCs w:val="18"/>
        </w:rPr>
        <w:t>,</w:t>
      </w:r>
      <w:r w:rsidR="00034632">
        <w:rPr>
          <w:rFonts w:ascii="Arial" w:hAnsi="Arial" w:cs="Arial"/>
          <w:sz w:val="18"/>
          <w:szCs w:val="18"/>
        </w:rPr>
        <w:t>283</w:t>
      </w:r>
      <w:r>
        <w:rPr>
          <w:rFonts w:ascii="Arial" w:hAnsi="Arial" w:cs="Arial"/>
          <w:sz w:val="18"/>
          <w:szCs w:val="18"/>
        </w:rPr>
        <w:t>,</w:t>
      </w:r>
      <w:r w:rsidR="00034632">
        <w:rPr>
          <w:rFonts w:ascii="Arial" w:hAnsi="Arial" w:cs="Arial"/>
          <w:sz w:val="18"/>
          <w:szCs w:val="18"/>
        </w:rPr>
        <w:t>178</w:t>
      </w:r>
      <w:r>
        <w:rPr>
          <w:rFonts w:ascii="Arial" w:hAnsi="Arial" w:cs="Arial"/>
          <w:sz w:val="18"/>
          <w:szCs w:val="18"/>
        </w:rPr>
        <w:t>, observando un decremento del 8</w:t>
      </w:r>
      <w:r w:rsidR="00034632">
        <w:rPr>
          <w:rFonts w:ascii="Arial" w:hAnsi="Arial" w:cs="Arial"/>
          <w:sz w:val="18"/>
          <w:szCs w:val="18"/>
        </w:rPr>
        <w:t>0</w:t>
      </w:r>
      <w:r>
        <w:rPr>
          <w:rFonts w:ascii="Arial" w:hAnsi="Arial" w:cs="Arial"/>
          <w:sz w:val="18"/>
          <w:szCs w:val="18"/>
        </w:rPr>
        <w:t>%, respecto del ejercicio 202</w:t>
      </w:r>
      <w:r w:rsidR="00034632">
        <w:rPr>
          <w:rFonts w:ascii="Arial" w:hAnsi="Arial" w:cs="Arial"/>
          <w:sz w:val="18"/>
          <w:szCs w:val="18"/>
        </w:rPr>
        <w:t>5</w:t>
      </w:r>
      <w:r>
        <w:rPr>
          <w:rFonts w:ascii="Arial" w:hAnsi="Arial" w:cs="Arial"/>
          <w:sz w:val="18"/>
          <w:szCs w:val="18"/>
        </w:rPr>
        <w:t xml:space="preserve">. </w:t>
      </w:r>
    </w:p>
    <w:p w14:paraId="0637B8CD" w14:textId="77777777" w:rsidR="00A35925" w:rsidRDefault="00A35925" w:rsidP="00A35925">
      <w:pPr>
        <w:tabs>
          <w:tab w:val="left" w:pos="284"/>
        </w:tabs>
        <w:spacing w:after="0"/>
        <w:ind w:left="284"/>
        <w:jc w:val="both"/>
        <w:rPr>
          <w:rFonts w:ascii="Arial" w:hAnsi="Arial" w:cs="Arial"/>
          <w:b/>
          <w:sz w:val="18"/>
          <w:szCs w:val="18"/>
        </w:rPr>
      </w:pPr>
    </w:p>
    <w:p w14:paraId="600E82A4" w14:textId="77777777" w:rsidR="00034632" w:rsidRDefault="00034632" w:rsidP="00A35925">
      <w:pPr>
        <w:tabs>
          <w:tab w:val="left" w:pos="284"/>
        </w:tabs>
        <w:spacing w:after="0"/>
        <w:ind w:left="284"/>
        <w:jc w:val="both"/>
        <w:rPr>
          <w:rFonts w:ascii="Arial" w:hAnsi="Arial" w:cs="Arial"/>
          <w:b/>
          <w:sz w:val="18"/>
          <w:szCs w:val="18"/>
        </w:rPr>
      </w:pPr>
    </w:p>
    <w:p w14:paraId="27BCC8F7" w14:textId="77777777" w:rsidR="00034632" w:rsidRDefault="00034632" w:rsidP="00A35925">
      <w:pPr>
        <w:tabs>
          <w:tab w:val="left" w:pos="284"/>
        </w:tabs>
        <w:spacing w:after="0"/>
        <w:ind w:left="284"/>
        <w:jc w:val="both"/>
        <w:rPr>
          <w:rFonts w:ascii="Arial" w:hAnsi="Arial" w:cs="Arial"/>
          <w:b/>
          <w:sz w:val="18"/>
          <w:szCs w:val="18"/>
        </w:rPr>
      </w:pPr>
    </w:p>
    <w:p w14:paraId="22B94347" w14:textId="77777777" w:rsidR="00A35925" w:rsidRPr="00543F97" w:rsidRDefault="00A35925" w:rsidP="00A35925">
      <w:pPr>
        <w:tabs>
          <w:tab w:val="left" w:pos="284"/>
        </w:tabs>
        <w:spacing w:after="0"/>
        <w:ind w:left="284"/>
        <w:jc w:val="both"/>
        <w:rPr>
          <w:rFonts w:ascii="Arial" w:hAnsi="Arial" w:cs="Arial"/>
          <w:b/>
          <w:sz w:val="18"/>
          <w:szCs w:val="18"/>
        </w:rPr>
      </w:pPr>
      <w:r w:rsidRPr="00543F97">
        <w:rPr>
          <w:rFonts w:ascii="Arial" w:hAnsi="Arial" w:cs="Arial"/>
          <w:b/>
          <w:sz w:val="18"/>
          <w:szCs w:val="18"/>
        </w:rPr>
        <w:lastRenderedPageBreak/>
        <w:t>Resultado del Ejercicio (Ahorro/Desahorro)</w:t>
      </w:r>
    </w:p>
    <w:p w14:paraId="3856B41D" w14:textId="67A4C28F" w:rsidR="00A35925" w:rsidRDefault="00A35925" w:rsidP="00A35925">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resultado contable al mes de marzo de 202</w:t>
      </w:r>
      <w:r w:rsidR="00034632">
        <w:rPr>
          <w:rFonts w:ascii="Arial" w:hAnsi="Arial" w:cs="Arial"/>
          <w:sz w:val="18"/>
          <w:szCs w:val="18"/>
        </w:rPr>
        <w:t>6</w:t>
      </w:r>
      <w:r>
        <w:rPr>
          <w:rFonts w:ascii="Arial" w:hAnsi="Arial" w:cs="Arial"/>
          <w:sz w:val="18"/>
          <w:szCs w:val="18"/>
        </w:rPr>
        <w:t xml:space="preserve"> es de $1,57</w:t>
      </w:r>
      <w:r w:rsidR="00034632">
        <w:rPr>
          <w:rFonts w:ascii="Arial" w:hAnsi="Arial" w:cs="Arial"/>
          <w:sz w:val="18"/>
          <w:szCs w:val="18"/>
        </w:rPr>
        <w:t>7</w:t>
      </w:r>
      <w:r>
        <w:rPr>
          <w:rFonts w:ascii="Arial" w:hAnsi="Arial" w:cs="Arial"/>
          <w:sz w:val="18"/>
          <w:szCs w:val="18"/>
        </w:rPr>
        <w:t>,</w:t>
      </w:r>
      <w:r w:rsidR="00034632">
        <w:rPr>
          <w:rFonts w:ascii="Arial" w:hAnsi="Arial" w:cs="Arial"/>
          <w:sz w:val="18"/>
          <w:szCs w:val="18"/>
        </w:rPr>
        <w:t>43</w:t>
      </w:r>
      <w:r>
        <w:rPr>
          <w:rFonts w:ascii="Arial" w:hAnsi="Arial" w:cs="Arial"/>
          <w:sz w:val="18"/>
          <w:szCs w:val="18"/>
        </w:rPr>
        <w:t>0,</w:t>
      </w:r>
      <w:r w:rsidR="00034632">
        <w:rPr>
          <w:rFonts w:ascii="Arial" w:hAnsi="Arial" w:cs="Arial"/>
          <w:sz w:val="18"/>
          <w:szCs w:val="18"/>
        </w:rPr>
        <w:t>951</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 el Programa Estatal de Infraestructura y lo correspondiente a</w:t>
      </w:r>
      <w:r w:rsidRPr="00DE62C8">
        <w:rPr>
          <w:rFonts w:ascii="Arial" w:hAnsi="Arial" w:cs="Arial"/>
          <w:sz w:val="18"/>
          <w:szCs w:val="18"/>
        </w:rPr>
        <w:t xml:space="preserve">l </w:t>
      </w:r>
      <w:r>
        <w:rPr>
          <w:rFonts w:ascii="Arial" w:hAnsi="Arial" w:cs="Arial"/>
          <w:sz w:val="18"/>
          <w:szCs w:val="18"/>
        </w:rPr>
        <w:t xml:space="preserve">primer ajuste trimestral. Los cuales al </w:t>
      </w:r>
      <w:r w:rsidRPr="00DE62C8">
        <w:rPr>
          <w:rFonts w:ascii="Arial" w:hAnsi="Arial" w:cs="Arial"/>
          <w:sz w:val="18"/>
          <w:szCs w:val="18"/>
        </w:rPr>
        <w:t>3</w:t>
      </w:r>
      <w:r>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de marzo están debidamente devengados,</w:t>
      </w:r>
      <w:r w:rsidRPr="00DE62C8">
        <w:rPr>
          <w:rFonts w:ascii="Arial" w:hAnsi="Arial" w:cs="Arial"/>
          <w:sz w:val="18"/>
          <w:szCs w:val="18"/>
        </w:rPr>
        <w:t xml:space="preserve"> por parte de las Dependencias y Organismos Públicos Descentralizados.</w:t>
      </w:r>
      <w:r>
        <w:rPr>
          <w:rFonts w:ascii="Arial" w:hAnsi="Arial" w:cs="Arial"/>
          <w:sz w:val="18"/>
          <w:szCs w:val="18"/>
        </w:rPr>
        <w:t xml:space="preserve"> Observándose una variación negativa </w:t>
      </w:r>
      <w:r w:rsidR="00034632">
        <w:rPr>
          <w:rFonts w:ascii="Arial" w:hAnsi="Arial" w:cs="Arial"/>
          <w:sz w:val="18"/>
          <w:szCs w:val="18"/>
        </w:rPr>
        <w:t xml:space="preserve">del 78% </w:t>
      </w:r>
      <w:r>
        <w:rPr>
          <w:rFonts w:ascii="Arial" w:hAnsi="Arial" w:cs="Arial"/>
          <w:sz w:val="18"/>
          <w:szCs w:val="18"/>
        </w:rPr>
        <w:t>respecto al ejercicio 202</w:t>
      </w:r>
      <w:r w:rsidR="00034632">
        <w:rPr>
          <w:rFonts w:ascii="Arial" w:hAnsi="Arial" w:cs="Arial"/>
          <w:sz w:val="18"/>
          <w:szCs w:val="18"/>
        </w:rPr>
        <w:t>5</w:t>
      </w:r>
      <w:r>
        <w:rPr>
          <w:rFonts w:ascii="Arial" w:hAnsi="Arial" w:cs="Arial"/>
          <w:sz w:val="18"/>
          <w:szCs w:val="18"/>
        </w:rPr>
        <w:t>.</w:t>
      </w:r>
    </w:p>
    <w:p w14:paraId="714894A6" w14:textId="77777777" w:rsidR="00A35925" w:rsidRDefault="00A35925" w:rsidP="00A35925">
      <w:pPr>
        <w:tabs>
          <w:tab w:val="left" w:pos="284"/>
        </w:tabs>
        <w:spacing w:after="0"/>
        <w:ind w:left="284"/>
        <w:jc w:val="both"/>
        <w:rPr>
          <w:rFonts w:ascii="Arial" w:hAnsi="Arial" w:cs="Arial"/>
          <w:sz w:val="18"/>
          <w:szCs w:val="18"/>
        </w:rPr>
      </w:pPr>
    </w:p>
    <w:p w14:paraId="087B9586" w14:textId="77777777" w:rsidR="00A35925" w:rsidRPr="0073056A" w:rsidRDefault="00A35925" w:rsidP="00A35925">
      <w:pPr>
        <w:pStyle w:val="INCISO"/>
        <w:spacing w:after="0" w:line="276" w:lineRule="auto"/>
        <w:ind w:left="0" w:firstLine="284"/>
        <w:rPr>
          <w:b/>
          <w:smallCaps/>
        </w:rPr>
      </w:pPr>
      <w:r>
        <w:rPr>
          <w:b/>
          <w:smallCaps/>
        </w:rPr>
        <w:t xml:space="preserve">II.   </w:t>
      </w:r>
      <w:r w:rsidRPr="0073056A">
        <w:rPr>
          <w:b/>
          <w:smallCaps/>
        </w:rPr>
        <w:t>Notas al Estado de Situación Financiera</w:t>
      </w:r>
    </w:p>
    <w:p w14:paraId="0823FAD8" w14:textId="77777777" w:rsidR="00A35925" w:rsidRPr="0073056A" w:rsidRDefault="00A35925" w:rsidP="00A35925">
      <w:pPr>
        <w:pStyle w:val="Texto"/>
        <w:spacing w:after="0" w:line="276" w:lineRule="auto"/>
        <w:rPr>
          <w:b/>
          <w:szCs w:val="18"/>
          <w:lang w:val="es-MX"/>
        </w:rPr>
      </w:pPr>
    </w:p>
    <w:p w14:paraId="675AD6AE" w14:textId="77777777" w:rsidR="00A35925" w:rsidRPr="0073056A" w:rsidRDefault="00A35925" w:rsidP="00A35925">
      <w:pPr>
        <w:pStyle w:val="Texto"/>
        <w:spacing w:after="0" w:line="276" w:lineRule="auto"/>
        <w:rPr>
          <w:b/>
          <w:szCs w:val="18"/>
          <w:lang w:val="es-MX"/>
        </w:rPr>
      </w:pPr>
      <w:r w:rsidRPr="0073056A">
        <w:rPr>
          <w:b/>
          <w:szCs w:val="18"/>
          <w:lang w:val="es-MX"/>
        </w:rPr>
        <w:t>Activo</w:t>
      </w:r>
    </w:p>
    <w:p w14:paraId="22EAC37B" w14:textId="77777777" w:rsidR="00A35925" w:rsidRPr="0073056A" w:rsidRDefault="00A35925" w:rsidP="00A35925">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14:paraId="2359F93D" w14:textId="77777777" w:rsidR="00A35925" w:rsidRPr="0073056A" w:rsidRDefault="00A35925" w:rsidP="00A35925">
      <w:pPr>
        <w:pStyle w:val="Texto"/>
        <w:spacing w:after="0" w:line="276" w:lineRule="auto"/>
        <w:ind w:firstLine="284"/>
        <w:rPr>
          <w:b/>
          <w:szCs w:val="18"/>
          <w:lang w:val="es-MX"/>
        </w:rPr>
      </w:pPr>
      <w:r w:rsidRPr="0073056A">
        <w:rPr>
          <w:b/>
          <w:szCs w:val="18"/>
          <w:lang w:val="es-MX"/>
        </w:rPr>
        <w:t>Efectivo y Equivalentes</w:t>
      </w:r>
    </w:p>
    <w:p w14:paraId="4DBB4B70" w14:textId="26D7D155" w:rsidR="00A35925" w:rsidRPr="0073056A" w:rsidRDefault="00A35925" w:rsidP="00A35925">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sidR="00034632">
        <w:rPr>
          <w:rFonts w:ascii="Arial" w:hAnsi="Arial" w:cs="Arial"/>
          <w:sz w:val="18"/>
          <w:szCs w:val="18"/>
        </w:rPr>
        <w:t>3</w:t>
      </w:r>
      <w:r>
        <w:rPr>
          <w:rFonts w:ascii="Arial" w:hAnsi="Arial" w:cs="Arial"/>
          <w:sz w:val="18"/>
          <w:szCs w:val="18"/>
        </w:rPr>
        <w:t>,</w:t>
      </w:r>
      <w:r w:rsidR="00034632">
        <w:rPr>
          <w:rFonts w:ascii="Arial" w:hAnsi="Arial" w:cs="Arial"/>
          <w:sz w:val="18"/>
          <w:szCs w:val="18"/>
        </w:rPr>
        <w:t>825</w:t>
      </w:r>
      <w:r>
        <w:rPr>
          <w:rFonts w:ascii="Arial" w:hAnsi="Arial" w:cs="Arial"/>
          <w:sz w:val="18"/>
          <w:szCs w:val="18"/>
        </w:rPr>
        <w:t>,</w:t>
      </w:r>
      <w:r w:rsidR="00034632">
        <w:rPr>
          <w:rFonts w:ascii="Arial" w:hAnsi="Arial" w:cs="Arial"/>
          <w:sz w:val="18"/>
          <w:szCs w:val="18"/>
        </w:rPr>
        <w:t>529</w:t>
      </w:r>
      <w:r>
        <w:rPr>
          <w:rFonts w:ascii="Arial" w:hAnsi="Arial" w:cs="Arial"/>
          <w:sz w:val="18"/>
          <w:szCs w:val="18"/>
        </w:rPr>
        <w:t>,</w:t>
      </w:r>
      <w:r w:rsidR="00034632">
        <w:rPr>
          <w:rFonts w:ascii="Arial" w:hAnsi="Arial" w:cs="Arial"/>
          <w:sz w:val="18"/>
          <w:szCs w:val="18"/>
        </w:rPr>
        <w:t>783</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l Primer Ajuste Trimestral 202</w:t>
      </w:r>
      <w:r w:rsidR="00034632">
        <w:rPr>
          <w:rFonts w:ascii="Arial" w:hAnsi="Arial" w:cs="Arial"/>
          <w:sz w:val="18"/>
          <w:szCs w:val="18"/>
        </w:rPr>
        <w:t>6</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 observando una diferencia de $9</w:t>
      </w:r>
      <w:r w:rsidR="0040250D">
        <w:rPr>
          <w:rFonts w:ascii="Arial" w:hAnsi="Arial" w:cs="Arial"/>
          <w:sz w:val="18"/>
          <w:szCs w:val="18"/>
        </w:rPr>
        <w:t>11</w:t>
      </w:r>
      <w:r>
        <w:rPr>
          <w:rFonts w:ascii="Arial" w:hAnsi="Arial" w:cs="Arial"/>
          <w:sz w:val="18"/>
          <w:szCs w:val="18"/>
        </w:rPr>
        <w:t>,</w:t>
      </w:r>
      <w:r w:rsidR="0040250D">
        <w:rPr>
          <w:rFonts w:ascii="Arial" w:hAnsi="Arial" w:cs="Arial"/>
          <w:sz w:val="18"/>
          <w:szCs w:val="18"/>
        </w:rPr>
        <w:t>451</w:t>
      </w:r>
      <w:r>
        <w:rPr>
          <w:rFonts w:ascii="Arial" w:hAnsi="Arial" w:cs="Arial"/>
          <w:sz w:val="18"/>
          <w:szCs w:val="18"/>
        </w:rPr>
        <w:t>,</w:t>
      </w:r>
      <w:r w:rsidR="0040250D">
        <w:rPr>
          <w:rFonts w:ascii="Arial" w:hAnsi="Arial" w:cs="Arial"/>
          <w:sz w:val="18"/>
          <w:szCs w:val="18"/>
        </w:rPr>
        <w:t>590</w:t>
      </w:r>
      <w:r>
        <w:rPr>
          <w:rFonts w:ascii="Arial" w:hAnsi="Arial" w:cs="Arial"/>
          <w:sz w:val="18"/>
          <w:szCs w:val="18"/>
        </w:rPr>
        <w:t>, respecto al ejercicio 202</w:t>
      </w:r>
      <w:r w:rsidR="0040250D">
        <w:rPr>
          <w:rFonts w:ascii="Arial" w:hAnsi="Arial" w:cs="Arial"/>
          <w:sz w:val="18"/>
          <w:szCs w:val="18"/>
        </w:rPr>
        <w:t>5</w:t>
      </w:r>
      <w:r>
        <w:rPr>
          <w:rFonts w:ascii="Arial" w:hAnsi="Arial" w:cs="Arial"/>
          <w:sz w:val="18"/>
          <w:szCs w:val="18"/>
        </w:rPr>
        <w:t>.</w:t>
      </w:r>
    </w:p>
    <w:p w14:paraId="2549DCF5" w14:textId="77777777" w:rsidR="00A35925" w:rsidRPr="0073056A" w:rsidRDefault="00A35925" w:rsidP="00A35925">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14:paraId="1DAE719B" w14:textId="77777777" w:rsidR="00A35925" w:rsidRPr="0073056A" w:rsidRDefault="00A35925" w:rsidP="00A35925">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14:paraId="48490F8A" w14:textId="152756F0" w:rsidR="00A35925" w:rsidRPr="0073056A" w:rsidRDefault="00A35925" w:rsidP="00A35925">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7</w:t>
      </w:r>
      <w:r w:rsidR="0040250D">
        <w:rPr>
          <w:rFonts w:ascii="Arial" w:hAnsi="Arial" w:cs="Arial"/>
          <w:sz w:val="18"/>
          <w:szCs w:val="18"/>
        </w:rPr>
        <w:t>5</w:t>
      </w:r>
      <w:r>
        <w:rPr>
          <w:rFonts w:ascii="Arial" w:hAnsi="Arial" w:cs="Arial"/>
          <w:sz w:val="18"/>
          <w:szCs w:val="18"/>
        </w:rPr>
        <w:t>,</w:t>
      </w:r>
      <w:r w:rsidR="0040250D">
        <w:rPr>
          <w:rFonts w:ascii="Arial" w:hAnsi="Arial" w:cs="Arial"/>
          <w:sz w:val="18"/>
          <w:szCs w:val="18"/>
        </w:rPr>
        <w:t>530</w:t>
      </w:r>
      <w:r>
        <w:rPr>
          <w:rFonts w:ascii="Arial" w:hAnsi="Arial" w:cs="Arial"/>
          <w:sz w:val="18"/>
          <w:szCs w:val="18"/>
        </w:rPr>
        <w:t>,</w:t>
      </w:r>
      <w:r w:rsidR="0040250D">
        <w:rPr>
          <w:rFonts w:ascii="Arial" w:hAnsi="Arial" w:cs="Arial"/>
          <w:sz w:val="18"/>
          <w:szCs w:val="18"/>
        </w:rPr>
        <w:t>268</w:t>
      </w:r>
      <w:r w:rsidRPr="0073056A">
        <w:rPr>
          <w:rFonts w:ascii="Arial" w:hAnsi="Arial" w:cs="Arial"/>
          <w:sz w:val="18"/>
          <w:szCs w:val="18"/>
        </w:rPr>
        <w:t xml:space="preserve"> que se tiene al cierre </w:t>
      </w:r>
      <w:r w:rsidRPr="00F52C6D">
        <w:rPr>
          <w:rFonts w:ascii="Arial" w:hAnsi="Arial" w:cs="Arial"/>
          <w:sz w:val="18"/>
          <w:szCs w:val="18"/>
        </w:rPr>
        <w:t xml:space="preserve">del </w:t>
      </w:r>
      <w:r>
        <w:rPr>
          <w:rFonts w:ascii="Arial" w:hAnsi="Arial" w:cs="Arial"/>
          <w:sz w:val="18"/>
          <w:szCs w:val="18"/>
        </w:rPr>
        <w:t>primer</w:t>
      </w:r>
      <w:r w:rsidRPr="00F52C6D">
        <w:rPr>
          <w:rFonts w:ascii="Arial" w:hAnsi="Arial" w:cs="Arial"/>
          <w:sz w:val="18"/>
          <w:szCs w:val="18"/>
        </w:rPr>
        <w:t xml:space="preserve"> trimestre</w:t>
      </w:r>
      <w:r>
        <w:rPr>
          <w:rFonts w:ascii="Arial" w:hAnsi="Arial" w:cs="Arial"/>
          <w:sz w:val="18"/>
          <w:szCs w:val="18"/>
        </w:rPr>
        <w:t xml:space="preserve"> del ejercicio 202</w:t>
      </w:r>
      <w:r w:rsidR="0040250D">
        <w:rPr>
          <w:rFonts w:ascii="Arial" w:hAnsi="Arial" w:cs="Arial"/>
          <w:sz w:val="18"/>
          <w:szCs w:val="18"/>
        </w:rPr>
        <w:t>6</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 siendo mayor en $</w:t>
      </w:r>
      <w:r w:rsidR="0040250D">
        <w:rPr>
          <w:rFonts w:ascii="Arial" w:hAnsi="Arial" w:cs="Arial"/>
          <w:sz w:val="18"/>
          <w:szCs w:val="18"/>
        </w:rPr>
        <w:t>63</w:t>
      </w:r>
      <w:r>
        <w:rPr>
          <w:rFonts w:ascii="Arial" w:hAnsi="Arial" w:cs="Arial"/>
          <w:sz w:val="18"/>
          <w:szCs w:val="18"/>
        </w:rPr>
        <w:t>,22</w:t>
      </w:r>
      <w:r w:rsidR="0040250D">
        <w:rPr>
          <w:rFonts w:ascii="Arial" w:hAnsi="Arial" w:cs="Arial"/>
          <w:sz w:val="18"/>
          <w:szCs w:val="18"/>
        </w:rPr>
        <w:t>5</w:t>
      </w:r>
      <w:r>
        <w:rPr>
          <w:rFonts w:ascii="Arial" w:hAnsi="Arial" w:cs="Arial"/>
          <w:sz w:val="18"/>
          <w:szCs w:val="18"/>
        </w:rPr>
        <w:t>,</w:t>
      </w:r>
      <w:r w:rsidR="0040250D">
        <w:rPr>
          <w:rFonts w:ascii="Arial" w:hAnsi="Arial" w:cs="Arial"/>
          <w:sz w:val="18"/>
          <w:szCs w:val="18"/>
        </w:rPr>
        <w:t>92</w:t>
      </w:r>
      <w:r>
        <w:rPr>
          <w:rFonts w:ascii="Arial" w:hAnsi="Arial" w:cs="Arial"/>
          <w:sz w:val="18"/>
          <w:szCs w:val="18"/>
        </w:rPr>
        <w:t>6 respecto al ejercicio de 202</w:t>
      </w:r>
      <w:r w:rsidR="0040250D">
        <w:rPr>
          <w:rFonts w:ascii="Arial" w:hAnsi="Arial" w:cs="Arial"/>
          <w:sz w:val="18"/>
          <w:szCs w:val="18"/>
        </w:rPr>
        <w:t>5</w:t>
      </w:r>
      <w:r>
        <w:rPr>
          <w:rFonts w:ascii="Arial" w:hAnsi="Arial" w:cs="Arial"/>
          <w:sz w:val="18"/>
          <w:szCs w:val="18"/>
        </w:rPr>
        <w:t>.</w:t>
      </w:r>
    </w:p>
    <w:p w14:paraId="35E5FEDE" w14:textId="77777777" w:rsidR="00A35925" w:rsidRDefault="00A35925" w:rsidP="00A35925">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Pr>
          <w:rFonts w:ascii="Arial" w:hAnsi="Arial" w:cs="Arial"/>
          <w:sz w:val="18"/>
          <w:szCs w:val="18"/>
        </w:rPr>
        <w:t xml:space="preserve"> al cierre del primer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Pr>
          <w:rFonts w:ascii="Arial" w:hAnsi="Arial" w:cs="Arial"/>
          <w:sz w:val="18"/>
          <w:szCs w:val="18"/>
        </w:rPr>
        <w:t>, refleja un saldo de $0 por derechos a recibir bienes o servicios</w:t>
      </w:r>
      <w:r w:rsidRPr="0073056A">
        <w:rPr>
          <w:rFonts w:ascii="Arial" w:hAnsi="Arial" w:cs="Arial"/>
          <w:sz w:val="18"/>
          <w:szCs w:val="18"/>
        </w:rPr>
        <w:t>.</w:t>
      </w:r>
    </w:p>
    <w:p w14:paraId="536F6D67" w14:textId="77777777" w:rsidR="00A35925" w:rsidRDefault="00A35925" w:rsidP="00A35925">
      <w:pPr>
        <w:pStyle w:val="ROMANOS"/>
        <w:tabs>
          <w:tab w:val="clear" w:pos="720"/>
          <w:tab w:val="left" w:pos="284"/>
        </w:tabs>
        <w:spacing w:after="0" w:line="276" w:lineRule="auto"/>
        <w:ind w:left="284" w:firstLine="0"/>
        <w:rPr>
          <w:b/>
          <w:lang w:val="es-MX"/>
        </w:rPr>
      </w:pPr>
    </w:p>
    <w:p w14:paraId="74C4F1B0" w14:textId="77777777" w:rsidR="00A35925" w:rsidRPr="0073056A" w:rsidRDefault="00A35925" w:rsidP="00A35925">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14:paraId="4278F502" w14:textId="0481FE2B" w:rsidR="00A35925" w:rsidRPr="0073056A" w:rsidRDefault="00A35925" w:rsidP="00A35925">
      <w:pPr>
        <w:ind w:left="284"/>
        <w:jc w:val="both"/>
        <w:rPr>
          <w:rFonts w:ascii="Arial" w:hAnsi="Arial" w:cs="Arial"/>
          <w:sz w:val="18"/>
          <w:szCs w:val="18"/>
        </w:rPr>
      </w:pPr>
      <w:r>
        <w:rPr>
          <w:rFonts w:ascii="Arial" w:hAnsi="Arial" w:cs="Arial"/>
          <w:sz w:val="18"/>
          <w:szCs w:val="18"/>
        </w:rPr>
        <w:t>Al cierre del primer trimestre del ejercicio 202</w:t>
      </w:r>
      <w:r w:rsidR="0040250D">
        <w:rPr>
          <w:rFonts w:ascii="Arial" w:hAnsi="Arial" w:cs="Arial"/>
          <w:sz w:val="18"/>
          <w:szCs w:val="18"/>
        </w:rPr>
        <w:t>6</w:t>
      </w:r>
      <w:r>
        <w:rPr>
          <w:rFonts w:ascii="Arial" w:hAnsi="Arial" w:cs="Arial"/>
          <w:sz w:val="18"/>
          <w:szCs w:val="18"/>
        </w:rPr>
        <w:t xml:space="preserve"> el Poder Ejecutivo no cuenta con Bienes Disponibles para su Transformación o Consumo (inventarios).</w:t>
      </w:r>
    </w:p>
    <w:p w14:paraId="355C222C" w14:textId="77777777" w:rsidR="00A35925" w:rsidRPr="0073056A" w:rsidRDefault="00A35925" w:rsidP="00A35925">
      <w:pPr>
        <w:pStyle w:val="ROMANOS"/>
        <w:tabs>
          <w:tab w:val="clear" w:pos="720"/>
          <w:tab w:val="left" w:pos="851"/>
        </w:tabs>
        <w:spacing w:after="0" w:line="276" w:lineRule="auto"/>
        <w:ind w:left="284" w:firstLine="0"/>
        <w:rPr>
          <w:b/>
          <w:lang w:val="es-MX"/>
        </w:rPr>
      </w:pPr>
      <w:r w:rsidRPr="0073056A">
        <w:rPr>
          <w:b/>
          <w:lang w:val="es-MX"/>
        </w:rPr>
        <w:t>Inversiones Financieras</w:t>
      </w:r>
    </w:p>
    <w:p w14:paraId="2A97C0A9" w14:textId="581FA107" w:rsidR="00A35925" w:rsidRPr="0073056A" w:rsidRDefault="00A35925" w:rsidP="00A35925">
      <w:pPr>
        <w:ind w:left="284"/>
        <w:jc w:val="both"/>
        <w:rPr>
          <w:rFonts w:ascii="Arial" w:hAnsi="Arial" w:cs="Arial"/>
          <w:sz w:val="18"/>
          <w:szCs w:val="18"/>
        </w:rPr>
      </w:pPr>
      <w:r>
        <w:rPr>
          <w:rFonts w:ascii="Arial" w:hAnsi="Arial" w:cs="Arial"/>
          <w:sz w:val="18"/>
          <w:szCs w:val="18"/>
        </w:rPr>
        <w:t>Al cierre del primer trimestre del ejercicio 202</w:t>
      </w:r>
      <w:r w:rsidR="0040250D">
        <w:rPr>
          <w:rFonts w:ascii="Arial" w:hAnsi="Arial" w:cs="Arial"/>
          <w:sz w:val="18"/>
          <w:szCs w:val="18"/>
        </w:rPr>
        <w:t>6</w:t>
      </w:r>
      <w:r>
        <w:rPr>
          <w:rFonts w:ascii="Arial" w:hAnsi="Arial" w:cs="Arial"/>
          <w:sz w:val="18"/>
          <w:szCs w:val="18"/>
        </w:rPr>
        <w:t xml:space="preserve"> el Poder Ejecutivo cuenta con Inversiones Financieras a Largo Plazo por un importe de $</w:t>
      </w:r>
      <w:r w:rsidR="0040250D">
        <w:rPr>
          <w:rFonts w:ascii="Arial" w:hAnsi="Arial" w:cs="Arial"/>
          <w:sz w:val="18"/>
          <w:szCs w:val="18"/>
        </w:rPr>
        <w:t>593</w:t>
      </w:r>
      <w:r>
        <w:rPr>
          <w:rFonts w:ascii="Arial" w:hAnsi="Arial" w:cs="Arial"/>
          <w:sz w:val="18"/>
          <w:szCs w:val="18"/>
        </w:rPr>
        <w:t>,</w:t>
      </w:r>
      <w:r w:rsidR="0040250D">
        <w:rPr>
          <w:rFonts w:ascii="Arial" w:hAnsi="Arial" w:cs="Arial"/>
          <w:sz w:val="18"/>
          <w:szCs w:val="18"/>
        </w:rPr>
        <w:t>00</w:t>
      </w:r>
      <w:r>
        <w:rPr>
          <w:rFonts w:ascii="Arial" w:hAnsi="Arial" w:cs="Arial"/>
          <w:sz w:val="18"/>
          <w:szCs w:val="18"/>
        </w:rPr>
        <w:t>6,8</w:t>
      </w:r>
      <w:r w:rsidR="0040250D">
        <w:rPr>
          <w:rFonts w:ascii="Arial" w:hAnsi="Arial" w:cs="Arial"/>
          <w:sz w:val="18"/>
          <w:szCs w:val="18"/>
        </w:rPr>
        <w:t>5</w:t>
      </w:r>
      <w:r>
        <w:rPr>
          <w:rFonts w:ascii="Arial" w:hAnsi="Arial" w:cs="Arial"/>
          <w:sz w:val="18"/>
          <w:szCs w:val="18"/>
        </w:rPr>
        <w:t>3, que respaldan los diversos fondos de reserva del Ejecutivo del Estado.</w:t>
      </w:r>
    </w:p>
    <w:p w14:paraId="1AC6E299" w14:textId="77777777" w:rsidR="00A35925" w:rsidRPr="0073056A" w:rsidRDefault="00A35925" w:rsidP="00A35925">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14:paraId="5AEFBAD5" w14:textId="10AC2F7A" w:rsidR="00A35925" w:rsidRPr="0073056A" w:rsidRDefault="00A35925" w:rsidP="00A35925">
      <w:pPr>
        <w:tabs>
          <w:tab w:val="left" w:pos="284"/>
        </w:tabs>
        <w:ind w:left="284"/>
        <w:jc w:val="both"/>
        <w:rPr>
          <w:rFonts w:ascii="Arial" w:hAnsi="Arial" w:cs="Arial"/>
          <w:sz w:val="18"/>
          <w:szCs w:val="18"/>
        </w:rPr>
      </w:pPr>
      <w:r>
        <w:rPr>
          <w:rFonts w:ascii="Arial" w:hAnsi="Arial" w:cs="Arial"/>
          <w:sz w:val="18"/>
          <w:szCs w:val="18"/>
        </w:rPr>
        <w:t>Al cierre del primer trimestre del ejercicio 202</w:t>
      </w:r>
      <w:r w:rsidR="0040250D">
        <w:rPr>
          <w:rFonts w:ascii="Arial" w:hAnsi="Arial" w:cs="Arial"/>
          <w:sz w:val="18"/>
          <w:szCs w:val="18"/>
        </w:rPr>
        <w:t>6</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3,36</w:t>
      </w:r>
      <w:r w:rsidR="0040250D">
        <w:rPr>
          <w:rFonts w:ascii="Arial" w:hAnsi="Arial" w:cs="Arial"/>
          <w:sz w:val="18"/>
          <w:szCs w:val="18"/>
        </w:rPr>
        <w:t>3</w:t>
      </w:r>
      <w:r>
        <w:rPr>
          <w:rFonts w:ascii="Arial" w:hAnsi="Arial" w:cs="Arial"/>
          <w:sz w:val="18"/>
          <w:szCs w:val="18"/>
        </w:rPr>
        <w:t>,</w:t>
      </w:r>
      <w:r w:rsidR="0040250D">
        <w:rPr>
          <w:rFonts w:ascii="Arial" w:hAnsi="Arial" w:cs="Arial"/>
          <w:sz w:val="18"/>
          <w:szCs w:val="18"/>
        </w:rPr>
        <w:t>01</w:t>
      </w:r>
      <w:r>
        <w:rPr>
          <w:rFonts w:ascii="Arial" w:hAnsi="Arial" w:cs="Arial"/>
          <w:sz w:val="18"/>
          <w:szCs w:val="18"/>
        </w:rPr>
        <w:t>2,0</w:t>
      </w:r>
      <w:r w:rsidR="0040250D">
        <w:rPr>
          <w:rFonts w:ascii="Arial" w:hAnsi="Arial" w:cs="Arial"/>
          <w:sz w:val="18"/>
          <w:szCs w:val="18"/>
        </w:rPr>
        <w:t>64</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 presentando un incremento de $</w:t>
      </w:r>
      <w:r w:rsidR="0040250D">
        <w:rPr>
          <w:rFonts w:ascii="Arial" w:hAnsi="Arial" w:cs="Arial"/>
          <w:sz w:val="18"/>
          <w:szCs w:val="18"/>
        </w:rPr>
        <w:t>10</w:t>
      </w:r>
      <w:r>
        <w:rPr>
          <w:rFonts w:ascii="Arial" w:hAnsi="Arial" w:cs="Arial"/>
          <w:sz w:val="18"/>
          <w:szCs w:val="18"/>
        </w:rPr>
        <w:t>,</w:t>
      </w:r>
      <w:r w:rsidR="0040250D">
        <w:rPr>
          <w:rFonts w:ascii="Arial" w:hAnsi="Arial" w:cs="Arial"/>
          <w:sz w:val="18"/>
          <w:szCs w:val="18"/>
        </w:rPr>
        <w:t>393,306</w:t>
      </w:r>
      <w:r>
        <w:rPr>
          <w:rFonts w:ascii="Arial" w:hAnsi="Arial" w:cs="Arial"/>
          <w:sz w:val="18"/>
          <w:szCs w:val="18"/>
        </w:rPr>
        <w:t xml:space="preserve"> respecto del ejercicio de 202</w:t>
      </w:r>
      <w:r w:rsidR="0040250D">
        <w:rPr>
          <w:rFonts w:ascii="Arial" w:hAnsi="Arial" w:cs="Arial"/>
          <w:sz w:val="18"/>
          <w:szCs w:val="18"/>
        </w:rPr>
        <w:t>5</w:t>
      </w:r>
      <w:r w:rsidRPr="0073056A">
        <w:rPr>
          <w:rFonts w:ascii="Arial" w:hAnsi="Arial" w:cs="Arial"/>
          <w:sz w:val="18"/>
          <w:szCs w:val="18"/>
        </w:rPr>
        <w:t>.</w:t>
      </w:r>
    </w:p>
    <w:p w14:paraId="2356BFA2" w14:textId="089A90F7" w:rsidR="0040250D" w:rsidRDefault="00A35925" w:rsidP="00A35925">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w:t>
      </w:r>
      <w:r w:rsidR="0040250D">
        <w:rPr>
          <w:rFonts w:ascii="Arial" w:hAnsi="Arial" w:cs="Arial"/>
          <w:sz w:val="18"/>
          <w:szCs w:val="18"/>
        </w:rPr>
        <w:t>10</w:t>
      </w:r>
      <w:r>
        <w:rPr>
          <w:rFonts w:ascii="Arial" w:hAnsi="Arial" w:cs="Arial"/>
          <w:sz w:val="18"/>
          <w:szCs w:val="18"/>
        </w:rPr>
        <w:t>,</w:t>
      </w:r>
      <w:r w:rsidR="0040250D">
        <w:rPr>
          <w:rFonts w:ascii="Arial" w:hAnsi="Arial" w:cs="Arial"/>
          <w:sz w:val="18"/>
          <w:szCs w:val="18"/>
        </w:rPr>
        <w:t>971</w:t>
      </w:r>
      <w:r>
        <w:rPr>
          <w:rFonts w:ascii="Arial" w:hAnsi="Arial" w:cs="Arial"/>
          <w:sz w:val="18"/>
          <w:szCs w:val="18"/>
        </w:rPr>
        <w:t>,</w:t>
      </w:r>
      <w:r w:rsidR="0040250D">
        <w:rPr>
          <w:rFonts w:ascii="Arial" w:hAnsi="Arial" w:cs="Arial"/>
          <w:sz w:val="18"/>
          <w:szCs w:val="18"/>
        </w:rPr>
        <w:t>689,046</w:t>
      </w:r>
      <w:r w:rsidRPr="00F619D6">
        <w:rPr>
          <w:rFonts w:ascii="Arial" w:hAnsi="Arial" w:cs="Arial"/>
          <w:sz w:val="18"/>
          <w:szCs w:val="18"/>
        </w:rPr>
        <w:t xml:space="preserve">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 xml:space="preserve">, siendo </w:t>
      </w:r>
      <w:r w:rsidR="0040250D">
        <w:rPr>
          <w:rFonts w:ascii="Arial" w:hAnsi="Arial" w:cs="Arial"/>
          <w:sz w:val="18"/>
          <w:szCs w:val="18"/>
        </w:rPr>
        <w:t>menor su</w:t>
      </w:r>
      <w:r>
        <w:rPr>
          <w:rFonts w:ascii="Arial" w:hAnsi="Arial" w:cs="Arial"/>
          <w:sz w:val="18"/>
          <w:szCs w:val="18"/>
        </w:rPr>
        <w:t xml:space="preserve"> importe con el ejercicio de 202</w:t>
      </w:r>
      <w:r w:rsidR="0040250D">
        <w:rPr>
          <w:rFonts w:ascii="Arial" w:hAnsi="Arial" w:cs="Arial"/>
          <w:sz w:val="18"/>
          <w:szCs w:val="18"/>
        </w:rPr>
        <w:t>5, en $280,066,309.</w:t>
      </w:r>
    </w:p>
    <w:p w14:paraId="39DF6082" w14:textId="5202789A" w:rsidR="00A35925" w:rsidRDefault="00A35925" w:rsidP="00A35925">
      <w:pPr>
        <w:tabs>
          <w:tab w:val="left" w:pos="284"/>
        </w:tabs>
        <w:ind w:left="284"/>
        <w:jc w:val="both"/>
        <w:rPr>
          <w:rFonts w:ascii="Arial" w:hAnsi="Arial" w:cs="Arial"/>
          <w:sz w:val="18"/>
          <w:szCs w:val="18"/>
        </w:rPr>
      </w:pPr>
    </w:p>
    <w:p w14:paraId="498640FB" w14:textId="315D9F5E" w:rsidR="00A35925" w:rsidRPr="0073056A" w:rsidRDefault="00A35925" w:rsidP="00A35925">
      <w:pPr>
        <w:tabs>
          <w:tab w:val="left" w:pos="284"/>
        </w:tabs>
        <w:ind w:left="284"/>
        <w:jc w:val="both"/>
        <w:rPr>
          <w:rFonts w:ascii="Arial" w:hAnsi="Arial" w:cs="Arial"/>
          <w:sz w:val="18"/>
          <w:szCs w:val="18"/>
        </w:rPr>
      </w:pPr>
      <w:r>
        <w:rPr>
          <w:rFonts w:ascii="Arial" w:hAnsi="Arial" w:cs="Arial"/>
          <w:sz w:val="18"/>
          <w:szCs w:val="18"/>
        </w:rPr>
        <w:lastRenderedPageBreak/>
        <w:t>El saldo de $</w:t>
      </w:r>
      <w:r w:rsidR="0040250D">
        <w:rPr>
          <w:rFonts w:ascii="Arial" w:hAnsi="Arial" w:cs="Arial"/>
          <w:sz w:val="18"/>
          <w:szCs w:val="18"/>
        </w:rPr>
        <w:t>313</w:t>
      </w:r>
      <w:r>
        <w:rPr>
          <w:rFonts w:ascii="Arial" w:hAnsi="Arial" w:cs="Arial"/>
          <w:sz w:val="18"/>
          <w:szCs w:val="18"/>
        </w:rPr>
        <w:t>,</w:t>
      </w:r>
      <w:r w:rsidR="0040250D">
        <w:rPr>
          <w:rFonts w:ascii="Arial" w:hAnsi="Arial" w:cs="Arial"/>
          <w:sz w:val="18"/>
          <w:szCs w:val="18"/>
        </w:rPr>
        <w:t>444</w:t>
      </w:r>
      <w:r>
        <w:rPr>
          <w:rFonts w:ascii="Arial" w:hAnsi="Arial" w:cs="Arial"/>
          <w:sz w:val="18"/>
          <w:szCs w:val="18"/>
        </w:rPr>
        <w:t>,</w:t>
      </w:r>
      <w:r w:rsidR="0040250D">
        <w:rPr>
          <w:rFonts w:ascii="Arial" w:hAnsi="Arial" w:cs="Arial"/>
          <w:sz w:val="18"/>
          <w:szCs w:val="18"/>
        </w:rPr>
        <w:t>792</w:t>
      </w:r>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Pr>
          <w:rFonts w:ascii="Arial" w:hAnsi="Arial" w:cs="Arial"/>
          <w:sz w:val="18"/>
          <w:szCs w:val="18"/>
        </w:rPr>
        <w:t>, no observándose variaciones en relación al ejercicio de 202</w:t>
      </w:r>
      <w:r w:rsidR="0040250D">
        <w:rPr>
          <w:rFonts w:ascii="Arial" w:hAnsi="Arial" w:cs="Arial"/>
          <w:sz w:val="18"/>
          <w:szCs w:val="18"/>
        </w:rPr>
        <w:t>5</w:t>
      </w:r>
      <w:r w:rsidRPr="00137E93">
        <w:rPr>
          <w:rFonts w:ascii="Arial" w:hAnsi="Arial" w:cs="Arial"/>
          <w:sz w:val="18"/>
          <w:szCs w:val="18"/>
        </w:rPr>
        <w:t>.</w:t>
      </w:r>
    </w:p>
    <w:p w14:paraId="3E77AA49" w14:textId="77777777" w:rsidR="00A35925" w:rsidRDefault="00A35925" w:rsidP="00A35925">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14:paraId="0FCC88D7" w14:textId="77777777" w:rsidR="00A35925" w:rsidRPr="00FB6E0E" w:rsidRDefault="00A35925" w:rsidP="00A35925">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14:paraId="34AA5D2C"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14:paraId="06C53C40" w14:textId="77777777" w:rsidR="00A35925" w:rsidRPr="0073056A" w:rsidRDefault="00A35925" w:rsidP="00A35925">
      <w:pPr>
        <w:pStyle w:val="ROMANOS"/>
        <w:tabs>
          <w:tab w:val="clear" w:pos="720"/>
          <w:tab w:val="left" w:pos="284"/>
        </w:tabs>
        <w:spacing w:after="0" w:line="276" w:lineRule="auto"/>
        <w:ind w:left="284" w:firstLine="0"/>
        <w:rPr>
          <w:b/>
          <w:lang w:val="es-MX"/>
        </w:rPr>
      </w:pPr>
      <w:r w:rsidRPr="0073056A">
        <w:rPr>
          <w:b/>
          <w:lang w:val="es-MX"/>
        </w:rPr>
        <w:t>Otros Activos</w:t>
      </w:r>
    </w:p>
    <w:p w14:paraId="57A51FDE" w14:textId="71F92C82" w:rsidR="00A35925" w:rsidRPr="0073056A" w:rsidRDefault="00A35925" w:rsidP="00A35925">
      <w:pPr>
        <w:tabs>
          <w:tab w:val="left" w:pos="284"/>
        </w:tabs>
        <w:ind w:left="284"/>
        <w:jc w:val="both"/>
        <w:rPr>
          <w:rFonts w:ascii="Arial" w:hAnsi="Arial" w:cs="Arial"/>
          <w:sz w:val="18"/>
          <w:szCs w:val="18"/>
        </w:rPr>
      </w:pPr>
      <w:r>
        <w:rPr>
          <w:rFonts w:ascii="Arial" w:hAnsi="Arial" w:cs="Arial"/>
          <w:sz w:val="18"/>
          <w:szCs w:val="18"/>
        </w:rPr>
        <w:t>Al mes de marzo del ejercicio 202</w:t>
      </w:r>
      <w:r w:rsidR="0040250D">
        <w:rPr>
          <w:rFonts w:ascii="Arial" w:hAnsi="Arial" w:cs="Arial"/>
          <w:sz w:val="18"/>
          <w:szCs w:val="18"/>
        </w:rPr>
        <w:t>6</w:t>
      </w:r>
      <w:r>
        <w:rPr>
          <w:rFonts w:ascii="Arial" w:hAnsi="Arial" w:cs="Arial"/>
          <w:sz w:val="18"/>
          <w:szCs w:val="18"/>
        </w:rPr>
        <w:t>, el Poder Ejecutivo no cuenta con Otros Activos.</w:t>
      </w:r>
    </w:p>
    <w:p w14:paraId="74C45F76" w14:textId="77777777" w:rsidR="00A35925" w:rsidRPr="0073056A" w:rsidRDefault="00A35925" w:rsidP="00A35925">
      <w:pPr>
        <w:pStyle w:val="ROMANOS"/>
        <w:tabs>
          <w:tab w:val="clear" w:pos="720"/>
          <w:tab w:val="left" w:pos="284"/>
        </w:tabs>
        <w:spacing w:after="0" w:line="276" w:lineRule="auto"/>
        <w:ind w:left="284" w:firstLine="0"/>
        <w:rPr>
          <w:b/>
          <w:lang w:val="es-MX"/>
        </w:rPr>
      </w:pPr>
      <w:r w:rsidRPr="0073056A">
        <w:rPr>
          <w:b/>
          <w:lang w:val="es-MX"/>
        </w:rPr>
        <w:t>Pasivo</w:t>
      </w:r>
    </w:p>
    <w:p w14:paraId="2C8F2D93" w14:textId="77777777" w:rsidR="00A35925" w:rsidRPr="0073056A" w:rsidRDefault="00A35925" w:rsidP="00A35925">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14:paraId="0BD4360D" w14:textId="77777777" w:rsidR="00A35925" w:rsidRPr="0073056A" w:rsidRDefault="00A35925" w:rsidP="00A35925">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14:paraId="672A356F" w14:textId="0C9E606A" w:rsidR="00A35925" w:rsidRDefault="00A35925" w:rsidP="00A35925">
      <w:pPr>
        <w:tabs>
          <w:tab w:val="left" w:pos="284"/>
        </w:tabs>
        <w:ind w:left="284"/>
        <w:jc w:val="both"/>
        <w:rPr>
          <w:rFonts w:ascii="Arial" w:hAnsi="Arial" w:cs="Arial"/>
          <w:sz w:val="18"/>
          <w:szCs w:val="18"/>
        </w:rPr>
      </w:pPr>
      <w:r>
        <w:rPr>
          <w:rFonts w:ascii="Arial" w:hAnsi="Arial" w:cs="Arial"/>
          <w:sz w:val="18"/>
          <w:szCs w:val="18"/>
        </w:rPr>
        <w:t>El saldo de $2,</w:t>
      </w:r>
      <w:r w:rsidR="0040250D">
        <w:rPr>
          <w:rFonts w:ascii="Arial" w:hAnsi="Arial" w:cs="Arial"/>
          <w:sz w:val="18"/>
          <w:szCs w:val="18"/>
        </w:rPr>
        <w:t>324</w:t>
      </w:r>
      <w:r>
        <w:rPr>
          <w:rFonts w:ascii="Arial" w:hAnsi="Arial" w:cs="Arial"/>
          <w:sz w:val="18"/>
          <w:szCs w:val="18"/>
        </w:rPr>
        <w:t>,</w:t>
      </w:r>
      <w:r w:rsidR="0040250D">
        <w:rPr>
          <w:rFonts w:ascii="Arial" w:hAnsi="Arial" w:cs="Arial"/>
          <w:sz w:val="18"/>
          <w:szCs w:val="18"/>
        </w:rPr>
        <w:t>016</w:t>
      </w:r>
      <w:r>
        <w:rPr>
          <w:rFonts w:ascii="Arial" w:hAnsi="Arial" w:cs="Arial"/>
          <w:sz w:val="18"/>
          <w:szCs w:val="18"/>
        </w:rPr>
        <w:t>,</w:t>
      </w:r>
      <w:r w:rsidR="0040250D">
        <w:rPr>
          <w:rFonts w:ascii="Arial" w:hAnsi="Arial" w:cs="Arial"/>
          <w:sz w:val="18"/>
          <w:szCs w:val="18"/>
        </w:rPr>
        <w:t>583</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r>
        <w:rPr>
          <w:rFonts w:ascii="Arial" w:hAnsi="Arial" w:cs="Arial"/>
          <w:sz w:val="18"/>
          <w:szCs w:val="18"/>
        </w:rPr>
        <w:t xml:space="preserve"> En este rubro se tiene un decremento del 1</w:t>
      </w:r>
      <w:r w:rsidR="004C3E6F">
        <w:rPr>
          <w:rFonts w:ascii="Arial" w:hAnsi="Arial" w:cs="Arial"/>
          <w:sz w:val="18"/>
          <w:szCs w:val="18"/>
        </w:rPr>
        <w:t>8</w:t>
      </w:r>
      <w:r>
        <w:rPr>
          <w:rFonts w:ascii="Arial" w:hAnsi="Arial" w:cs="Arial"/>
          <w:sz w:val="18"/>
          <w:szCs w:val="18"/>
        </w:rPr>
        <w:t>% respecto del ejercicio 202</w:t>
      </w:r>
      <w:r w:rsidR="004C3E6F">
        <w:rPr>
          <w:rFonts w:ascii="Arial" w:hAnsi="Arial" w:cs="Arial"/>
          <w:sz w:val="18"/>
          <w:szCs w:val="18"/>
        </w:rPr>
        <w:t>5</w:t>
      </w:r>
      <w:r>
        <w:rPr>
          <w:rFonts w:ascii="Arial" w:hAnsi="Arial" w:cs="Arial"/>
          <w:sz w:val="18"/>
          <w:szCs w:val="18"/>
        </w:rPr>
        <w:t>.</w:t>
      </w:r>
    </w:p>
    <w:p w14:paraId="5950E3AD" w14:textId="77777777" w:rsidR="00A35925" w:rsidRPr="0073056A" w:rsidRDefault="00A35925" w:rsidP="00A35925">
      <w:pPr>
        <w:pStyle w:val="INCISO"/>
        <w:tabs>
          <w:tab w:val="left" w:pos="284"/>
        </w:tabs>
        <w:spacing w:after="0" w:line="276" w:lineRule="auto"/>
        <w:ind w:left="284" w:firstLine="0"/>
        <w:rPr>
          <w:b/>
          <w:smallCaps/>
        </w:rPr>
      </w:pPr>
      <w:r w:rsidRPr="00891820">
        <w:rPr>
          <w:b/>
          <w:smallCaps/>
        </w:rPr>
        <w:t>III)</w:t>
      </w:r>
      <w:r w:rsidRPr="00891820">
        <w:rPr>
          <w:b/>
          <w:smallCaps/>
        </w:rPr>
        <w:tab/>
        <w:t>Notas al Estado de Variación en la Hacienda Pública</w:t>
      </w:r>
    </w:p>
    <w:p w14:paraId="0F3B4376" w14:textId="77777777" w:rsidR="00A35925" w:rsidRPr="0073056A" w:rsidRDefault="00A35925" w:rsidP="00A35925">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14:paraId="6F97B0A6" w14:textId="77777777" w:rsidR="00A35925" w:rsidRDefault="00A35925" w:rsidP="00A35925">
      <w:pPr>
        <w:tabs>
          <w:tab w:val="left" w:pos="284"/>
        </w:tabs>
        <w:spacing w:after="0"/>
        <w:ind w:left="284"/>
        <w:jc w:val="both"/>
        <w:rPr>
          <w:rFonts w:ascii="Arial" w:hAnsi="Arial" w:cs="Arial"/>
          <w:b/>
          <w:sz w:val="18"/>
          <w:szCs w:val="18"/>
        </w:rPr>
      </w:pPr>
    </w:p>
    <w:p w14:paraId="2960C5A5" w14:textId="77777777" w:rsidR="00A35925" w:rsidRPr="0073056A" w:rsidRDefault="00A35925" w:rsidP="00A35925">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Pr>
          <w:rFonts w:ascii="Arial" w:hAnsi="Arial" w:cs="Arial"/>
          <w:b/>
          <w:sz w:val="18"/>
          <w:szCs w:val="18"/>
        </w:rPr>
        <w:t>Generado</w:t>
      </w:r>
    </w:p>
    <w:p w14:paraId="008B0FCE" w14:textId="41A994E3" w:rsidR="00A35925" w:rsidRDefault="00A35925" w:rsidP="00A35925">
      <w:pPr>
        <w:ind w:left="284"/>
        <w:jc w:val="both"/>
        <w:rPr>
          <w:rFonts w:ascii="Arial" w:eastAsia="Times New Roman" w:hAnsi="Arial" w:cs="Arial"/>
          <w:bCs/>
          <w:sz w:val="18"/>
          <w:szCs w:val="18"/>
          <w:lang w:eastAsia="es-MX"/>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l mes de marzo de 202</w:t>
      </w:r>
      <w:r w:rsidR="004C3E6F">
        <w:rPr>
          <w:rFonts w:ascii="Arial" w:hAnsi="Arial" w:cs="Arial"/>
          <w:sz w:val="18"/>
          <w:szCs w:val="18"/>
        </w:rPr>
        <w:t>6</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1,5</w:t>
      </w:r>
      <w:r w:rsidR="004C3E6F">
        <w:rPr>
          <w:rFonts w:ascii="Arial" w:hAnsi="Arial" w:cs="Arial"/>
          <w:sz w:val="18"/>
          <w:szCs w:val="18"/>
        </w:rPr>
        <w:t>87</w:t>
      </w:r>
      <w:r>
        <w:rPr>
          <w:rFonts w:ascii="Arial" w:eastAsia="Times New Roman" w:hAnsi="Arial" w:cs="Arial"/>
          <w:bCs/>
          <w:sz w:val="18"/>
          <w:szCs w:val="18"/>
          <w:lang w:eastAsia="es-MX"/>
        </w:rPr>
        <w:t>,</w:t>
      </w:r>
      <w:r w:rsidR="004C3E6F">
        <w:rPr>
          <w:rFonts w:ascii="Arial" w:eastAsia="Times New Roman" w:hAnsi="Arial" w:cs="Arial"/>
          <w:bCs/>
          <w:sz w:val="18"/>
          <w:szCs w:val="18"/>
          <w:lang w:eastAsia="es-MX"/>
        </w:rPr>
        <w:t>812</w:t>
      </w:r>
      <w:r>
        <w:rPr>
          <w:rFonts w:ascii="Arial" w:eastAsia="Times New Roman" w:hAnsi="Arial" w:cs="Arial"/>
          <w:bCs/>
          <w:sz w:val="18"/>
          <w:szCs w:val="18"/>
          <w:lang w:eastAsia="es-MX"/>
        </w:rPr>
        <w:t>,</w:t>
      </w:r>
      <w:r w:rsidR="004C3E6F">
        <w:rPr>
          <w:rFonts w:ascii="Arial" w:eastAsia="Times New Roman" w:hAnsi="Arial" w:cs="Arial"/>
          <w:bCs/>
          <w:sz w:val="18"/>
          <w:szCs w:val="18"/>
          <w:lang w:eastAsia="es-MX"/>
        </w:rPr>
        <w:t>310</w:t>
      </w:r>
      <w:r>
        <w:rPr>
          <w:rFonts w:ascii="Arial" w:eastAsia="Times New Roman" w:hAnsi="Arial" w:cs="Arial"/>
          <w:bCs/>
          <w:sz w:val="18"/>
          <w:szCs w:val="18"/>
          <w:lang w:eastAsia="es-MX"/>
        </w:rPr>
        <w:t>.</w:t>
      </w:r>
    </w:p>
    <w:p w14:paraId="71EA0289" w14:textId="77777777" w:rsidR="00A35925" w:rsidRDefault="00A35925" w:rsidP="00A35925">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14:paraId="39704485" w14:textId="77777777" w:rsidR="00A35925" w:rsidRDefault="00A35925" w:rsidP="00A35925">
      <w:pPr>
        <w:pStyle w:val="INCISO"/>
        <w:tabs>
          <w:tab w:val="left" w:pos="284"/>
        </w:tabs>
        <w:spacing w:after="0" w:line="276" w:lineRule="auto"/>
        <w:ind w:left="284" w:firstLine="0"/>
        <w:rPr>
          <w:b/>
          <w:smallCaps/>
        </w:rPr>
      </w:pPr>
    </w:p>
    <w:p w14:paraId="23018659" w14:textId="77777777" w:rsidR="00A35925" w:rsidRPr="0073056A" w:rsidRDefault="00A35925" w:rsidP="00A35925">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p>
    <w:p w14:paraId="0C8BCA9E" w14:textId="22302371" w:rsidR="00A35925" w:rsidRPr="005C02A4" w:rsidRDefault="00A35925" w:rsidP="00A35925">
      <w:pPr>
        <w:pStyle w:val="ROMANOS"/>
        <w:tabs>
          <w:tab w:val="clear" w:pos="720"/>
          <w:tab w:val="left" w:pos="284"/>
        </w:tabs>
        <w:spacing w:after="0" w:line="276" w:lineRule="auto"/>
        <w:ind w:left="284" w:firstLine="0"/>
        <w:rPr>
          <w:lang w:val="es-MX"/>
        </w:rPr>
      </w:pPr>
      <w:r>
        <w:rPr>
          <w:lang w:val="es-MX"/>
        </w:rPr>
        <w:t>Muestra l</w:t>
      </w:r>
      <w:r w:rsidRPr="005C02A4">
        <w:rPr>
          <w:lang w:val="es-MX"/>
        </w:rPr>
        <w:t>a información sobre los cambios en el efectivo y equivalentes</w:t>
      </w:r>
      <w:r>
        <w:rPr>
          <w:lang w:val="es-MX"/>
        </w:rPr>
        <w:t>, considerando que s</w:t>
      </w:r>
      <w:r w:rsidRPr="005C02A4">
        <w:rPr>
          <w:lang w:val="es-MX"/>
        </w:rPr>
        <w:t>on inversiones a corto plazo de gran liquidez que se mantienen para cumplir los compromisos de pago a corto plazo</w:t>
      </w:r>
      <w:r>
        <w:rPr>
          <w:lang w:val="es-MX"/>
        </w:rPr>
        <w:t xml:space="preserve"> a cargo del Poder Ejecutivo</w:t>
      </w:r>
      <w:r w:rsidRPr="005C02A4">
        <w:rPr>
          <w:lang w:val="es-MX"/>
        </w:rPr>
        <w:t xml:space="preserve"> que se informa mostrando por separado los cambios según proceda</w:t>
      </w:r>
      <w:r>
        <w:rPr>
          <w:lang w:val="es-MX"/>
        </w:rPr>
        <w:t>, reflejando un importe de $9</w:t>
      </w:r>
      <w:r w:rsidR="004C3E6F">
        <w:rPr>
          <w:lang w:val="es-MX"/>
        </w:rPr>
        <w:t>11</w:t>
      </w:r>
      <w:r>
        <w:rPr>
          <w:lang w:val="es-MX"/>
        </w:rPr>
        <w:t>,</w:t>
      </w:r>
      <w:r w:rsidR="004C3E6F">
        <w:rPr>
          <w:lang w:val="es-MX"/>
        </w:rPr>
        <w:t>451</w:t>
      </w:r>
      <w:r>
        <w:rPr>
          <w:lang w:val="es-MX"/>
        </w:rPr>
        <w:t>,</w:t>
      </w:r>
      <w:r w:rsidR="004C3E6F">
        <w:rPr>
          <w:lang w:val="es-MX"/>
        </w:rPr>
        <w:t>590</w:t>
      </w:r>
      <w:r>
        <w:rPr>
          <w:lang w:val="es-MX"/>
        </w:rPr>
        <w:t xml:space="preserve"> mismo que se integra por:</w:t>
      </w:r>
    </w:p>
    <w:p w14:paraId="69E8D168" w14:textId="77777777" w:rsidR="00A35925" w:rsidRDefault="00A35925" w:rsidP="00A35925">
      <w:pPr>
        <w:pStyle w:val="ROMANOS"/>
        <w:tabs>
          <w:tab w:val="clear" w:pos="720"/>
          <w:tab w:val="left" w:pos="284"/>
        </w:tabs>
        <w:spacing w:after="0" w:line="276" w:lineRule="auto"/>
        <w:ind w:left="284" w:firstLine="0"/>
        <w:rPr>
          <w:b/>
          <w:lang w:val="es-MX"/>
        </w:rPr>
      </w:pPr>
    </w:p>
    <w:p w14:paraId="23B683F6" w14:textId="77777777" w:rsidR="00A35925" w:rsidRPr="005C02A4" w:rsidRDefault="00A35925" w:rsidP="00A35925">
      <w:pPr>
        <w:pStyle w:val="ROMANOS"/>
        <w:tabs>
          <w:tab w:val="clear" w:pos="720"/>
          <w:tab w:val="left" w:pos="284"/>
        </w:tabs>
        <w:spacing w:after="0" w:line="276" w:lineRule="auto"/>
        <w:ind w:left="284" w:firstLine="0"/>
        <w:rPr>
          <w:b/>
          <w:lang w:val="es-MX"/>
        </w:rPr>
      </w:pPr>
      <w:r w:rsidRPr="005C02A4">
        <w:rPr>
          <w:b/>
          <w:lang w:val="es-MX"/>
        </w:rPr>
        <w:t>Actividades de Operación.</w:t>
      </w:r>
    </w:p>
    <w:p w14:paraId="2BF12D8A" w14:textId="0AE86D93" w:rsidR="00A35925" w:rsidRDefault="00A35925" w:rsidP="00A35925">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$1,57</w:t>
      </w:r>
      <w:r w:rsidR="004C3E6F">
        <w:rPr>
          <w:lang w:val="es-MX"/>
        </w:rPr>
        <w:t>7</w:t>
      </w:r>
      <w:r>
        <w:rPr>
          <w:lang w:val="es-MX"/>
        </w:rPr>
        <w:t>,</w:t>
      </w:r>
      <w:r w:rsidR="004C3E6F">
        <w:rPr>
          <w:lang w:val="es-MX"/>
        </w:rPr>
        <w:t>43</w:t>
      </w:r>
      <w:r>
        <w:rPr>
          <w:lang w:val="es-MX"/>
        </w:rPr>
        <w:t>0,</w:t>
      </w:r>
      <w:r w:rsidR="004C3E6F">
        <w:rPr>
          <w:lang w:val="es-MX"/>
        </w:rPr>
        <w:t>951</w:t>
      </w:r>
      <w:r>
        <w:rPr>
          <w:lang w:val="es-MX"/>
        </w:rPr>
        <w:t>.</w:t>
      </w:r>
    </w:p>
    <w:p w14:paraId="5E6CD14F" w14:textId="77777777" w:rsidR="00A35925" w:rsidRDefault="00A35925" w:rsidP="00A35925">
      <w:pPr>
        <w:pStyle w:val="ROMANOS"/>
        <w:tabs>
          <w:tab w:val="clear" w:pos="720"/>
          <w:tab w:val="left" w:pos="284"/>
        </w:tabs>
        <w:spacing w:after="0" w:line="276" w:lineRule="auto"/>
        <w:ind w:left="284" w:firstLine="0"/>
        <w:rPr>
          <w:b/>
          <w:lang w:val="es-MX"/>
        </w:rPr>
      </w:pPr>
    </w:p>
    <w:p w14:paraId="0FA6BD29" w14:textId="77777777" w:rsidR="00A35925" w:rsidRPr="00D71A33" w:rsidRDefault="00A35925" w:rsidP="00A35925">
      <w:pPr>
        <w:pStyle w:val="ROMANOS"/>
        <w:tabs>
          <w:tab w:val="clear" w:pos="720"/>
          <w:tab w:val="left" w:pos="284"/>
        </w:tabs>
        <w:spacing w:after="0" w:line="276" w:lineRule="auto"/>
        <w:ind w:left="284" w:firstLine="0"/>
        <w:rPr>
          <w:b/>
          <w:lang w:val="es-MX"/>
        </w:rPr>
      </w:pPr>
      <w:r w:rsidRPr="00D71A33">
        <w:rPr>
          <w:b/>
          <w:lang w:val="es-MX"/>
        </w:rPr>
        <w:t>Actividades de Inversión</w:t>
      </w:r>
    </w:p>
    <w:p w14:paraId="0AB3923C" w14:textId="3756E827" w:rsidR="00A35925" w:rsidRDefault="00A35925" w:rsidP="00A35925">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del mes de marzo un importe de </w:t>
      </w:r>
      <w:r w:rsidRPr="004466A7">
        <w:rPr>
          <w:lang w:val="es-MX"/>
        </w:rPr>
        <w:t>$</w:t>
      </w:r>
      <w:r>
        <w:rPr>
          <w:lang w:val="es-MX"/>
        </w:rPr>
        <w:t>1</w:t>
      </w:r>
      <w:r w:rsidR="004C3E6F">
        <w:rPr>
          <w:lang w:val="es-MX"/>
        </w:rPr>
        <w:t>6</w:t>
      </w:r>
      <w:r>
        <w:rPr>
          <w:lang w:val="es-MX"/>
        </w:rPr>
        <w:t>7,</w:t>
      </w:r>
      <w:r w:rsidR="004C3E6F">
        <w:rPr>
          <w:lang w:val="es-MX"/>
        </w:rPr>
        <w:t>613</w:t>
      </w:r>
      <w:r>
        <w:rPr>
          <w:lang w:val="es-MX"/>
        </w:rPr>
        <w:t>,</w:t>
      </w:r>
      <w:r w:rsidR="004C3E6F">
        <w:rPr>
          <w:lang w:val="es-MX"/>
        </w:rPr>
        <w:t>903</w:t>
      </w:r>
      <w:r>
        <w:rPr>
          <w:lang w:val="es-MX"/>
        </w:rPr>
        <w:t>.</w:t>
      </w:r>
    </w:p>
    <w:p w14:paraId="25FDAE16" w14:textId="77777777" w:rsidR="00A35925" w:rsidRDefault="00A35925" w:rsidP="00A35925">
      <w:pPr>
        <w:pStyle w:val="ROMANOS"/>
        <w:tabs>
          <w:tab w:val="clear" w:pos="720"/>
          <w:tab w:val="left" w:pos="284"/>
        </w:tabs>
        <w:spacing w:after="0" w:line="276" w:lineRule="auto"/>
        <w:ind w:left="284" w:firstLine="0"/>
        <w:rPr>
          <w:b/>
          <w:lang w:val="es-MX"/>
        </w:rPr>
      </w:pPr>
    </w:p>
    <w:p w14:paraId="100C54DE" w14:textId="77777777" w:rsidR="00A35925" w:rsidRPr="00D71A33" w:rsidRDefault="00A35925" w:rsidP="00A35925">
      <w:pPr>
        <w:pStyle w:val="ROMANOS"/>
        <w:tabs>
          <w:tab w:val="clear" w:pos="720"/>
          <w:tab w:val="left" w:pos="284"/>
        </w:tabs>
        <w:spacing w:after="0" w:line="276" w:lineRule="auto"/>
        <w:ind w:left="284" w:firstLine="0"/>
        <w:rPr>
          <w:b/>
          <w:lang w:val="es-MX"/>
        </w:rPr>
      </w:pPr>
      <w:r w:rsidRPr="00D71A33">
        <w:rPr>
          <w:b/>
          <w:lang w:val="es-MX"/>
        </w:rPr>
        <w:t>Actividades de Financia</w:t>
      </w:r>
      <w:r>
        <w:rPr>
          <w:b/>
          <w:lang w:val="es-MX"/>
        </w:rPr>
        <w:t>miento</w:t>
      </w:r>
    </w:p>
    <w:p w14:paraId="44207814" w14:textId="08206A91" w:rsidR="00A35925" w:rsidRDefault="00A35925" w:rsidP="00A35925">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 xml:space="preserve">también </w:t>
      </w:r>
      <w:r>
        <w:rPr>
          <w:lang w:val="es-MX"/>
        </w:rPr>
        <w:lastRenderedPageBreak/>
        <w:t>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 xml:space="preserve">refleja un saldo acumulado al </w:t>
      </w:r>
      <w:r>
        <w:rPr>
          <w:lang w:val="es-MX"/>
        </w:rPr>
        <w:t>31</w:t>
      </w:r>
      <w:r w:rsidRPr="00DA18AC">
        <w:rPr>
          <w:lang w:val="es-MX"/>
        </w:rPr>
        <w:t xml:space="preserve"> de </w:t>
      </w:r>
      <w:r>
        <w:rPr>
          <w:lang w:val="es-MX"/>
        </w:rPr>
        <w:t>marzo</w:t>
      </w:r>
      <w:r w:rsidRPr="00DA18AC">
        <w:rPr>
          <w:lang w:val="es-MX"/>
        </w:rPr>
        <w:t xml:space="preserve"> de 20</w:t>
      </w:r>
      <w:r>
        <w:rPr>
          <w:lang w:val="es-MX"/>
        </w:rPr>
        <w:t>2</w:t>
      </w:r>
      <w:r w:rsidR="00773936">
        <w:rPr>
          <w:lang w:val="es-MX"/>
        </w:rPr>
        <w:t>6</w:t>
      </w:r>
      <w:r w:rsidRPr="00DA18AC">
        <w:rPr>
          <w:lang w:val="es-MX"/>
        </w:rPr>
        <w:t xml:space="preserve"> de </w:t>
      </w:r>
      <w:r>
        <w:rPr>
          <w:lang w:val="es-MX"/>
        </w:rPr>
        <w:t>-</w:t>
      </w:r>
      <w:r w:rsidRPr="00DA18AC">
        <w:rPr>
          <w:lang w:val="es-MX"/>
        </w:rPr>
        <w:t>$</w:t>
      </w:r>
      <w:r w:rsidR="00773936">
        <w:rPr>
          <w:lang w:val="es-MX"/>
        </w:rPr>
        <w:t>833</w:t>
      </w:r>
      <w:r>
        <w:rPr>
          <w:lang w:val="es-MX"/>
        </w:rPr>
        <w:t>,</w:t>
      </w:r>
      <w:r w:rsidR="001418E7">
        <w:rPr>
          <w:lang w:val="es-MX"/>
        </w:rPr>
        <w:t>593</w:t>
      </w:r>
      <w:r>
        <w:rPr>
          <w:lang w:val="es-MX"/>
        </w:rPr>
        <w:t>,</w:t>
      </w:r>
      <w:r w:rsidR="001418E7">
        <w:rPr>
          <w:lang w:val="es-MX"/>
        </w:rPr>
        <w:t>264</w:t>
      </w:r>
      <w:r w:rsidRPr="00DA18AC">
        <w:rPr>
          <w:lang w:val="es-MX"/>
        </w:rPr>
        <w:t>.</w:t>
      </w:r>
    </w:p>
    <w:p w14:paraId="2CAB7048" w14:textId="77777777" w:rsidR="00A35925" w:rsidRDefault="00A35925" w:rsidP="00A35925">
      <w:pPr>
        <w:pStyle w:val="ROMANOS"/>
        <w:tabs>
          <w:tab w:val="clear" w:pos="720"/>
          <w:tab w:val="left" w:pos="284"/>
        </w:tabs>
        <w:spacing w:after="0" w:line="276" w:lineRule="auto"/>
        <w:ind w:left="284" w:firstLine="0"/>
        <w:rPr>
          <w:lang w:val="es-MX"/>
        </w:rPr>
      </w:pPr>
    </w:p>
    <w:p w14:paraId="47FF4BE7" w14:textId="77777777" w:rsidR="00A35925" w:rsidRPr="002640DB" w:rsidRDefault="00A35925" w:rsidP="00A35925">
      <w:pPr>
        <w:numPr>
          <w:ilvl w:val="0"/>
          <w:numId w:val="7"/>
        </w:numPr>
        <w:tabs>
          <w:tab w:val="left" w:pos="0"/>
        </w:tabs>
        <w:spacing w:after="0" w:line="240" w:lineRule="exact"/>
        <w:mirrorIndents/>
        <w:jc w:val="both"/>
        <w:rPr>
          <w:rFonts w:ascii="Arial" w:eastAsia="Times New Roman" w:hAnsi="Arial" w:cs="Arial"/>
          <w:sz w:val="18"/>
          <w:szCs w:val="18"/>
          <w:lang w:eastAsia="es-ES"/>
        </w:rPr>
      </w:pPr>
      <w:r w:rsidRPr="002640DB">
        <w:rPr>
          <w:rFonts w:ascii="Arial" w:eastAsia="Times New Roman" w:hAnsi="Arial" w:cs="Arial"/>
          <w:sz w:val="18"/>
          <w:szCs w:val="18"/>
          <w:lang w:eastAsia="es-ES"/>
        </w:rPr>
        <w:t>El análisis de los saldos inicial y final que figuran en la última parte del Estado de Flujo de Efectivo en la cuenta de efectivo y equivalentes es como sigue:</w:t>
      </w:r>
    </w:p>
    <w:p w14:paraId="280FBD47" w14:textId="77777777" w:rsidR="00A35925" w:rsidRDefault="00A35925" w:rsidP="00A35925">
      <w:pPr>
        <w:pStyle w:val="ROMANOS"/>
        <w:tabs>
          <w:tab w:val="clear" w:pos="720"/>
          <w:tab w:val="left" w:pos="284"/>
        </w:tabs>
        <w:spacing w:after="0" w:line="276" w:lineRule="auto"/>
        <w:ind w:left="284" w:firstLine="0"/>
        <w:rPr>
          <w:lang w:val="es-MX"/>
        </w:rPr>
      </w:pPr>
    </w:p>
    <w:tbl>
      <w:tblPr>
        <w:tblW w:w="0" w:type="auto"/>
        <w:jc w:val="center"/>
        <w:tblLayout w:type="fixed"/>
        <w:tblLook w:val="0000" w:firstRow="0" w:lastRow="0" w:firstColumn="0" w:lastColumn="0" w:noHBand="0" w:noVBand="0"/>
      </w:tblPr>
      <w:tblGrid>
        <w:gridCol w:w="4450"/>
        <w:gridCol w:w="1393"/>
        <w:gridCol w:w="1708"/>
      </w:tblGrid>
      <w:tr w:rsidR="00A35925" w:rsidRPr="00450621" w14:paraId="5199C22F" w14:textId="77777777" w:rsidTr="00D106A2">
        <w:trPr>
          <w:cantSplit/>
          <w:jc w:val="center"/>
        </w:trPr>
        <w:tc>
          <w:tcPr>
            <w:tcW w:w="4450" w:type="dxa"/>
            <w:tcBorders>
              <w:top w:val="single" w:sz="6" w:space="0" w:color="auto"/>
              <w:left w:val="single" w:sz="6" w:space="0" w:color="auto"/>
              <w:bottom w:val="single" w:sz="6" w:space="0" w:color="auto"/>
              <w:right w:val="single" w:sz="6" w:space="0" w:color="auto"/>
            </w:tcBorders>
          </w:tcPr>
          <w:p w14:paraId="7EDD16E5" w14:textId="77777777" w:rsidR="00A35925" w:rsidRPr="00DA460F" w:rsidRDefault="00A35925" w:rsidP="00D106A2">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Efectivo y Equivalentes</w:t>
            </w:r>
          </w:p>
        </w:tc>
        <w:tc>
          <w:tcPr>
            <w:tcW w:w="1393" w:type="dxa"/>
            <w:tcBorders>
              <w:top w:val="single" w:sz="6" w:space="0" w:color="auto"/>
              <w:left w:val="single" w:sz="6" w:space="0" w:color="auto"/>
              <w:bottom w:val="single" w:sz="6" w:space="0" w:color="auto"/>
              <w:right w:val="single" w:sz="6" w:space="0" w:color="auto"/>
            </w:tcBorders>
          </w:tcPr>
          <w:p w14:paraId="02C441B0" w14:textId="77777777" w:rsidR="00A35925" w:rsidRPr="00DA460F" w:rsidRDefault="00A35925" w:rsidP="00D106A2">
            <w:pPr>
              <w:spacing w:after="0" w:line="240" w:lineRule="exact"/>
              <w:mirrorIndents/>
              <w:jc w:val="center"/>
              <w:rPr>
                <w:rFonts w:ascii="Arial" w:eastAsia="Times New Roman" w:hAnsi="Arial" w:cs="Arial"/>
                <w:b/>
                <w:sz w:val="18"/>
                <w:szCs w:val="18"/>
                <w:lang w:eastAsia="es-ES"/>
              </w:rPr>
            </w:pPr>
          </w:p>
        </w:tc>
        <w:tc>
          <w:tcPr>
            <w:tcW w:w="1708" w:type="dxa"/>
            <w:tcBorders>
              <w:top w:val="single" w:sz="6" w:space="0" w:color="auto"/>
              <w:left w:val="single" w:sz="6" w:space="0" w:color="auto"/>
              <w:bottom w:val="single" w:sz="6" w:space="0" w:color="auto"/>
              <w:right w:val="single" w:sz="6" w:space="0" w:color="auto"/>
            </w:tcBorders>
          </w:tcPr>
          <w:p w14:paraId="3E189F08" w14:textId="77777777" w:rsidR="00A35925" w:rsidRPr="00DA460F" w:rsidRDefault="00A35925" w:rsidP="00D106A2">
            <w:pPr>
              <w:spacing w:after="0" w:line="240" w:lineRule="exact"/>
              <w:mirrorIndents/>
              <w:jc w:val="center"/>
              <w:rPr>
                <w:rFonts w:ascii="Arial" w:eastAsia="Times New Roman" w:hAnsi="Arial" w:cs="Arial"/>
                <w:b/>
                <w:sz w:val="18"/>
                <w:szCs w:val="18"/>
                <w:lang w:eastAsia="es-ES"/>
              </w:rPr>
            </w:pPr>
          </w:p>
        </w:tc>
      </w:tr>
      <w:tr w:rsidR="00A35925" w:rsidRPr="00450621" w14:paraId="25A8AB18" w14:textId="77777777" w:rsidTr="00D106A2">
        <w:trPr>
          <w:cantSplit/>
          <w:jc w:val="center"/>
        </w:trPr>
        <w:tc>
          <w:tcPr>
            <w:tcW w:w="4450" w:type="dxa"/>
            <w:tcBorders>
              <w:top w:val="single" w:sz="6" w:space="0" w:color="auto"/>
              <w:left w:val="single" w:sz="6" w:space="0" w:color="auto"/>
              <w:bottom w:val="single" w:sz="6" w:space="0" w:color="auto"/>
              <w:right w:val="single" w:sz="6" w:space="0" w:color="auto"/>
            </w:tcBorders>
          </w:tcPr>
          <w:p w14:paraId="12BB7279" w14:textId="77777777" w:rsidR="00A35925" w:rsidRPr="00DA460F" w:rsidRDefault="00A35925" w:rsidP="00D106A2">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393" w:type="dxa"/>
            <w:tcBorders>
              <w:top w:val="single" w:sz="6" w:space="0" w:color="auto"/>
              <w:left w:val="single" w:sz="6" w:space="0" w:color="auto"/>
              <w:bottom w:val="single" w:sz="6" w:space="0" w:color="auto"/>
              <w:right w:val="single" w:sz="6" w:space="0" w:color="auto"/>
            </w:tcBorders>
          </w:tcPr>
          <w:p w14:paraId="3C2346ED" w14:textId="11102531" w:rsidR="00A35925" w:rsidRPr="00DA460F" w:rsidRDefault="00A35925" w:rsidP="00D106A2">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w:t>
            </w:r>
            <w:r w:rsidR="00DE62C0">
              <w:rPr>
                <w:rFonts w:ascii="Arial" w:eastAsia="Times New Roman" w:hAnsi="Arial" w:cs="Arial"/>
                <w:b/>
                <w:sz w:val="18"/>
                <w:szCs w:val="18"/>
                <w:lang w:eastAsia="es-ES"/>
              </w:rPr>
              <w:t>6</w:t>
            </w:r>
          </w:p>
        </w:tc>
        <w:tc>
          <w:tcPr>
            <w:tcW w:w="1708" w:type="dxa"/>
            <w:tcBorders>
              <w:top w:val="single" w:sz="6" w:space="0" w:color="auto"/>
              <w:left w:val="single" w:sz="6" w:space="0" w:color="auto"/>
              <w:bottom w:val="single" w:sz="6" w:space="0" w:color="auto"/>
              <w:right w:val="single" w:sz="6" w:space="0" w:color="auto"/>
            </w:tcBorders>
          </w:tcPr>
          <w:p w14:paraId="3064CA11" w14:textId="6897ADE0" w:rsidR="00A35925" w:rsidRPr="00DA460F" w:rsidRDefault="00A35925" w:rsidP="00D106A2">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202</w:t>
            </w:r>
            <w:r w:rsidR="00DE62C0">
              <w:rPr>
                <w:rFonts w:ascii="Arial" w:eastAsia="Times New Roman" w:hAnsi="Arial" w:cs="Arial"/>
                <w:b/>
                <w:sz w:val="18"/>
                <w:szCs w:val="18"/>
                <w:lang w:eastAsia="es-ES"/>
              </w:rPr>
              <w:t>5</w:t>
            </w:r>
          </w:p>
        </w:tc>
      </w:tr>
      <w:tr w:rsidR="00A35925" w:rsidRPr="00450621" w14:paraId="2B947988" w14:textId="77777777" w:rsidTr="00D106A2">
        <w:trPr>
          <w:cantSplit/>
          <w:jc w:val="center"/>
        </w:trPr>
        <w:tc>
          <w:tcPr>
            <w:tcW w:w="4450" w:type="dxa"/>
            <w:tcBorders>
              <w:top w:val="single" w:sz="6" w:space="0" w:color="auto"/>
              <w:left w:val="single" w:sz="6" w:space="0" w:color="auto"/>
              <w:bottom w:val="single" w:sz="6" w:space="0" w:color="auto"/>
              <w:right w:val="single" w:sz="6" w:space="0" w:color="auto"/>
            </w:tcBorders>
          </w:tcPr>
          <w:p w14:paraId="52B8850B" w14:textId="77777777" w:rsidR="00A35925" w:rsidRPr="00450621" w:rsidRDefault="00A35925" w:rsidP="00D106A2">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–Tesorería</w:t>
            </w:r>
          </w:p>
        </w:tc>
        <w:tc>
          <w:tcPr>
            <w:tcW w:w="1393" w:type="dxa"/>
            <w:tcBorders>
              <w:top w:val="single" w:sz="6" w:space="0" w:color="auto"/>
              <w:left w:val="single" w:sz="6" w:space="0" w:color="auto"/>
              <w:bottom w:val="single" w:sz="6" w:space="0" w:color="auto"/>
              <w:right w:val="single" w:sz="6" w:space="0" w:color="auto"/>
            </w:tcBorders>
          </w:tcPr>
          <w:p w14:paraId="0BD4E239" w14:textId="5B2E38C8" w:rsidR="00A35925" w:rsidRPr="00450621" w:rsidRDefault="001146DF"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1,143,149,302</w:t>
            </w:r>
          </w:p>
        </w:tc>
        <w:tc>
          <w:tcPr>
            <w:tcW w:w="1708" w:type="dxa"/>
            <w:tcBorders>
              <w:top w:val="single" w:sz="6" w:space="0" w:color="auto"/>
              <w:left w:val="single" w:sz="6" w:space="0" w:color="auto"/>
              <w:bottom w:val="single" w:sz="6" w:space="0" w:color="auto"/>
              <w:right w:val="single" w:sz="6" w:space="0" w:color="auto"/>
            </w:tcBorders>
          </w:tcPr>
          <w:p w14:paraId="00F7556A" w14:textId="117A6540" w:rsidR="00A35925" w:rsidRPr="00450621" w:rsidRDefault="00895784"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641,360,071</w:t>
            </w:r>
          </w:p>
        </w:tc>
      </w:tr>
      <w:tr w:rsidR="00A35925" w:rsidRPr="00450621" w14:paraId="6E823F00" w14:textId="77777777" w:rsidTr="00D106A2">
        <w:trPr>
          <w:cantSplit/>
          <w:jc w:val="center"/>
        </w:trPr>
        <w:tc>
          <w:tcPr>
            <w:tcW w:w="4450" w:type="dxa"/>
            <w:tcBorders>
              <w:top w:val="single" w:sz="6" w:space="0" w:color="auto"/>
              <w:left w:val="single" w:sz="6" w:space="0" w:color="auto"/>
              <w:bottom w:val="single" w:sz="6" w:space="0" w:color="auto"/>
              <w:right w:val="single" w:sz="6" w:space="0" w:color="auto"/>
            </w:tcBorders>
          </w:tcPr>
          <w:p w14:paraId="7A072ED2" w14:textId="77777777" w:rsidR="00A35925" w:rsidRPr="00450621" w:rsidRDefault="00A35925" w:rsidP="00D106A2">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Dependencias</w:t>
            </w:r>
          </w:p>
        </w:tc>
        <w:tc>
          <w:tcPr>
            <w:tcW w:w="1393" w:type="dxa"/>
            <w:tcBorders>
              <w:top w:val="single" w:sz="6" w:space="0" w:color="auto"/>
              <w:left w:val="single" w:sz="6" w:space="0" w:color="auto"/>
              <w:bottom w:val="single" w:sz="6" w:space="0" w:color="auto"/>
              <w:right w:val="single" w:sz="6" w:space="0" w:color="auto"/>
            </w:tcBorders>
          </w:tcPr>
          <w:p w14:paraId="009C2085" w14:textId="77777777" w:rsidR="00A35925" w:rsidRPr="00450621" w:rsidRDefault="00A35925" w:rsidP="00D106A2">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009851AE" w14:textId="77777777" w:rsidR="00A35925" w:rsidRPr="00450621" w:rsidRDefault="00A35925" w:rsidP="00D106A2">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A35925" w:rsidRPr="00450621" w14:paraId="253FA9BE" w14:textId="77777777" w:rsidTr="00D106A2">
        <w:trPr>
          <w:cantSplit/>
          <w:jc w:val="center"/>
        </w:trPr>
        <w:tc>
          <w:tcPr>
            <w:tcW w:w="4450" w:type="dxa"/>
            <w:tcBorders>
              <w:top w:val="single" w:sz="6" w:space="0" w:color="auto"/>
              <w:left w:val="single" w:sz="6" w:space="0" w:color="auto"/>
              <w:bottom w:val="single" w:sz="6" w:space="0" w:color="auto"/>
              <w:right w:val="single" w:sz="6" w:space="0" w:color="auto"/>
            </w:tcBorders>
          </w:tcPr>
          <w:p w14:paraId="15B7D095" w14:textId="77777777" w:rsidR="00A35925" w:rsidRPr="00450621" w:rsidRDefault="00A35925" w:rsidP="00D106A2">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 xml:space="preserve">Inversiones temporales (hasta 3 meses) </w:t>
            </w:r>
          </w:p>
        </w:tc>
        <w:tc>
          <w:tcPr>
            <w:tcW w:w="1393" w:type="dxa"/>
            <w:tcBorders>
              <w:top w:val="single" w:sz="6" w:space="0" w:color="auto"/>
              <w:left w:val="single" w:sz="6" w:space="0" w:color="auto"/>
              <w:bottom w:val="single" w:sz="6" w:space="0" w:color="auto"/>
              <w:right w:val="single" w:sz="6" w:space="0" w:color="auto"/>
            </w:tcBorders>
          </w:tcPr>
          <w:p w14:paraId="47C9ACBC" w14:textId="4FB28A87" w:rsidR="00A35925" w:rsidRPr="00450621" w:rsidRDefault="00FD7E25"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2,526,777,557</w:t>
            </w:r>
          </w:p>
        </w:tc>
        <w:tc>
          <w:tcPr>
            <w:tcW w:w="1708" w:type="dxa"/>
            <w:tcBorders>
              <w:top w:val="single" w:sz="6" w:space="0" w:color="auto"/>
              <w:left w:val="single" w:sz="6" w:space="0" w:color="auto"/>
              <w:bottom w:val="single" w:sz="6" w:space="0" w:color="auto"/>
              <w:right w:val="single" w:sz="6" w:space="0" w:color="auto"/>
            </w:tcBorders>
          </w:tcPr>
          <w:p w14:paraId="1EF48283" w14:textId="229DDBCF" w:rsidR="00A35925" w:rsidRPr="00450621" w:rsidRDefault="002F7A06"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2,100,015,009</w:t>
            </w:r>
          </w:p>
        </w:tc>
      </w:tr>
      <w:tr w:rsidR="00A35925" w:rsidRPr="00450621" w14:paraId="561371F0" w14:textId="77777777" w:rsidTr="00D106A2">
        <w:trPr>
          <w:cantSplit/>
          <w:jc w:val="center"/>
        </w:trPr>
        <w:tc>
          <w:tcPr>
            <w:tcW w:w="4450" w:type="dxa"/>
            <w:tcBorders>
              <w:top w:val="single" w:sz="6" w:space="0" w:color="auto"/>
              <w:left w:val="single" w:sz="6" w:space="0" w:color="auto"/>
              <w:bottom w:val="single" w:sz="6" w:space="0" w:color="auto"/>
              <w:right w:val="single" w:sz="6" w:space="0" w:color="auto"/>
            </w:tcBorders>
          </w:tcPr>
          <w:p w14:paraId="165FA2CF" w14:textId="77777777" w:rsidR="00A35925" w:rsidRPr="00450621" w:rsidRDefault="00A35925" w:rsidP="00D106A2">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Fondos con afectación específica</w:t>
            </w:r>
          </w:p>
        </w:tc>
        <w:tc>
          <w:tcPr>
            <w:tcW w:w="1393" w:type="dxa"/>
            <w:tcBorders>
              <w:top w:val="single" w:sz="6" w:space="0" w:color="auto"/>
              <w:left w:val="single" w:sz="6" w:space="0" w:color="auto"/>
              <w:bottom w:val="single" w:sz="6" w:space="0" w:color="auto"/>
              <w:right w:val="single" w:sz="6" w:space="0" w:color="auto"/>
            </w:tcBorders>
          </w:tcPr>
          <w:p w14:paraId="6DF5AF4C" w14:textId="77777777" w:rsidR="00A35925" w:rsidRPr="00450621" w:rsidRDefault="00A35925" w:rsidP="00D106A2">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0552D71F" w14:textId="77777777" w:rsidR="00A35925" w:rsidRPr="00450621" w:rsidRDefault="00A35925" w:rsidP="00D106A2">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A35925" w:rsidRPr="00450621" w14:paraId="28D2A625" w14:textId="77777777" w:rsidTr="00D106A2">
        <w:trPr>
          <w:cantSplit/>
          <w:jc w:val="center"/>
        </w:trPr>
        <w:tc>
          <w:tcPr>
            <w:tcW w:w="4450" w:type="dxa"/>
            <w:tcBorders>
              <w:top w:val="single" w:sz="6" w:space="0" w:color="auto"/>
              <w:left w:val="single" w:sz="6" w:space="0" w:color="auto"/>
              <w:bottom w:val="single" w:sz="6" w:space="0" w:color="auto"/>
              <w:right w:val="single" w:sz="6" w:space="0" w:color="auto"/>
            </w:tcBorders>
          </w:tcPr>
          <w:p w14:paraId="4306EE70" w14:textId="77777777" w:rsidR="00A35925" w:rsidRPr="00450621" w:rsidRDefault="00A35925" w:rsidP="00D106A2">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Depósitos de fondos de terceros y otros</w:t>
            </w:r>
          </w:p>
        </w:tc>
        <w:tc>
          <w:tcPr>
            <w:tcW w:w="1393" w:type="dxa"/>
            <w:tcBorders>
              <w:top w:val="single" w:sz="6" w:space="0" w:color="auto"/>
              <w:left w:val="single" w:sz="6" w:space="0" w:color="auto"/>
              <w:bottom w:val="single" w:sz="6" w:space="0" w:color="auto"/>
              <w:right w:val="single" w:sz="6" w:space="0" w:color="auto"/>
            </w:tcBorders>
          </w:tcPr>
          <w:p w14:paraId="7BF607E4" w14:textId="6A7D730F" w:rsidR="00A35925" w:rsidRPr="00450621" w:rsidRDefault="000B4C82"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155,602,925</w:t>
            </w:r>
          </w:p>
        </w:tc>
        <w:tc>
          <w:tcPr>
            <w:tcW w:w="1708" w:type="dxa"/>
            <w:tcBorders>
              <w:top w:val="single" w:sz="6" w:space="0" w:color="auto"/>
              <w:left w:val="single" w:sz="6" w:space="0" w:color="auto"/>
              <w:bottom w:val="single" w:sz="6" w:space="0" w:color="auto"/>
              <w:right w:val="single" w:sz="6" w:space="0" w:color="auto"/>
            </w:tcBorders>
          </w:tcPr>
          <w:p w14:paraId="2899A16D" w14:textId="014E5E0F" w:rsidR="00A35925" w:rsidRPr="00450621" w:rsidRDefault="000B4C82"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172,703,114</w:t>
            </w:r>
          </w:p>
        </w:tc>
      </w:tr>
      <w:tr w:rsidR="00A35925" w:rsidRPr="00450621" w14:paraId="50ED7B24" w14:textId="77777777" w:rsidTr="00D106A2">
        <w:trPr>
          <w:cantSplit/>
          <w:jc w:val="center"/>
        </w:trPr>
        <w:tc>
          <w:tcPr>
            <w:tcW w:w="4450" w:type="dxa"/>
            <w:tcBorders>
              <w:top w:val="single" w:sz="6" w:space="0" w:color="auto"/>
              <w:left w:val="single" w:sz="6" w:space="0" w:color="auto"/>
              <w:bottom w:val="single" w:sz="6" w:space="0" w:color="auto"/>
              <w:right w:val="single" w:sz="6" w:space="0" w:color="auto"/>
            </w:tcBorders>
          </w:tcPr>
          <w:p w14:paraId="343CA139" w14:textId="77777777" w:rsidR="00A35925" w:rsidRPr="00DA460F" w:rsidRDefault="00A35925" w:rsidP="00D106A2">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Total</w:t>
            </w:r>
          </w:p>
        </w:tc>
        <w:tc>
          <w:tcPr>
            <w:tcW w:w="1393" w:type="dxa"/>
            <w:tcBorders>
              <w:top w:val="single" w:sz="6" w:space="0" w:color="auto"/>
              <w:left w:val="single" w:sz="6" w:space="0" w:color="auto"/>
              <w:bottom w:val="single" w:sz="6" w:space="0" w:color="auto"/>
              <w:right w:val="single" w:sz="6" w:space="0" w:color="auto"/>
            </w:tcBorders>
          </w:tcPr>
          <w:p w14:paraId="1501E200" w14:textId="7B03BA0B" w:rsidR="00A35925" w:rsidRPr="009B66AA" w:rsidRDefault="008C467A" w:rsidP="00D106A2">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3,825,</w:t>
            </w:r>
            <w:r w:rsidR="00727769">
              <w:rPr>
                <w:rFonts w:ascii="Arial" w:eastAsia="Times New Roman" w:hAnsi="Arial" w:cs="Arial"/>
                <w:b/>
                <w:sz w:val="18"/>
                <w:szCs w:val="18"/>
                <w:lang w:eastAsia="es-ES"/>
              </w:rPr>
              <w:t>529,783</w:t>
            </w:r>
          </w:p>
        </w:tc>
        <w:tc>
          <w:tcPr>
            <w:tcW w:w="1708" w:type="dxa"/>
            <w:tcBorders>
              <w:top w:val="single" w:sz="6" w:space="0" w:color="auto"/>
              <w:left w:val="single" w:sz="6" w:space="0" w:color="auto"/>
              <w:bottom w:val="single" w:sz="6" w:space="0" w:color="auto"/>
              <w:right w:val="single" w:sz="6" w:space="0" w:color="auto"/>
            </w:tcBorders>
          </w:tcPr>
          <w:p w14:paraId="0447C8C2" w14:textId="3CAAAD2D" w:rsidR="00A35925" w:rsidRPr="009B66AA" w:rsidRDefault="00895784" w:rsidP="00D106A2">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2,914,078,193</w:t>
            </w:r>
          </w:p>
        </w:tc>
      </w:tr>
    </w:tbl>
    <w:p w14:paraId="4199E48D" w14:textId="77777777" w:rsidR="00A35925" w:rsidRDefault="00A35925" w:rsidP="00A35925">
      <w:pPr>
        <w:pStyle w:val="INCISO"/>
        <w:tabs>
          <w:tab w:val="left" w:pos="284"/>
        </w:tabs>
        <w:spacing w:after="0" w:line="276" w:lineRule="auto"/>
        <w:ind w:left="284" w:firstLine="0"/>
        <w:rPr>
          <w:b/>
          <w:smallCaps/>
        </w:rPr>
      </w:pPr>
    </w:p>
    <w:p w14:paraId="47E1D235" w14:textId="77777777" w:rsidR="00A35925" w:rsidRDefault="00A35925" w:rsidP="00A35925">
      <w:pPr>
        <w:pStyle w:val="INCISO"/>
        <w:numPr>
          <w:ilvl w:val="0"/>
          <w:numId w:val="9"/>
        </w:numPr>
        <w:tabs>
          <w:tab w:val="left" w:pos="284"/>
        </w:tabs>
        <w:spacing w:after="0" w:line="276" w:lineRule="auto"/>
        <w:rPr>
          <w:b/>
          <w:smallCaps/>
        </w:rPr>
      </w:pPr>
    </w:p>
    <w:p w14:paraId="3D4A250E" w14:textId="77777777" w:rsidR="00A35925" w:rsidRDefault="00A35925" w:rsidP="00A35925">
      <w:pPr>
        <w:pStyle w:val="INCISO"/>
        <w:tabs>
          <w:tab w:val="left" w:pos="284"/>
        </w:tabs>
        <w:spacing w:after="0" w:line="276" w:lineRule="auto"/>
        <w:ind w:left="284" w:firstLine="0"/>
        <w:rPr>
          <w:b/>
          <w:smallCaps/>
        </w:rPr>
      </w:pPr>
    </w:p>
    <w:p w14:paraId="607C4FD8" w14:textId="77777777" w:rsidR="00A35925" w:rsidRDefault="00A35925" w:rsidP="00A35925">
      <w:pPr>
        <w:spacing w:after="0" w:line="240" w:lineRule="exact"/>
        <w:mirrorIndents/>
        <w:jc w:val="both"/>
        <w:rPr>
          <w:rFonts w:ascii="Arial" w:eastAsia="Times New Roman" w:hAnsi="Arial" w:cs="Arial"/>
          <w:sz w:val="18"/>
          <w:szCs w:val="18"/>
          <w:lang w:eastAsia="es-ES"/>
        </w:rPr>
      </w:pPr>
      <w:r w:rsidRPr="002640DB">
        <w:rPr>
          <w:rFonts w:ascii="Arial" w:eastAsia="Times New Roman" w:hAnsi="Arial" w:cs="Arial"/>
          <w:sz w:val="18"/>
          <w:szCs w:val="18"/>
          <w:lang w:eastAsia="es-ES"/>
        </w:rPr>
        <w:t>2. Adquisiciones de las Actividades de Inversión efectivamente pagadas, respecto del apartado de aplicación.</w:t>
      </w:r>
    </w:p>
    <w:p w14:paraId="1C0FEF6E" w14:textId="77777777" w:rsidR="00A35925" w:rsidRDefault="00A35925" w:rsidP="00A35925">
      <w:pPr>
        <w:spacing w:after="0" w:line="240" w:lineRule="exact"/>
        <w:mirrorIndents/>
        <w:jc w:val="both"/>
        <w:rPr>
          <w:rFonts w:ascii="Arial" w:eastAsia="Times New Roman" w:hAnsi="Arial" w:cs="Arial"/>
          <w:sz w:val="18"/>
          <w:szCs w:val="18"/>
          <w:lang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A35925" w:rsidRPr="00450621" w14:paraId="56EE7890" w14:textId="77777777" w:rsidTr="00D106A2">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2A612043" w14:textId="77777777" w:rsidR="00A35925" w:rsidRPr="00450621" w:rsidRDefault="00A35925" w:rsidP="00D106A2">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Adquisiciones de Actividades de Inversión Efectivamente pagadas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6B1F60E3" w14:textId="77777777" w:rsidR="00A35925" w:rsidRPr="00450621" w:rsidRDefault="00A35925" w:rsidP="00D106A2">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2DD4C74C" w14:textId="77777777" w:rsidR="00A35925" w:rsidRDefault="00A35925" w:rsidP="00D106A2">
            <w:pPr>
              <w:spacing w:after="0" w:line="240" w:lineRule="auto"/>
              <w:jc w:val="right"/>
              <w:rPr>
                <w:rFonts w:ascii="Arial" w:eastAsia="Times New Roman" w:hAnsi="Arial" w:cs="Arial"/>
                <w:b/>
                <w:bCs/>
                <w:color w:val="000000"/>
                <w:sz w:val="16"/>
                <w:szCs w:val="16"/>
                <w:lang w:eastAsia="es-MX"/>
              </w:rPr>
            </w:pPr>
          </w:p>
        </w:tc>
      </w:tr>
      <w:tr w:rsidR="00A35925" w:rsidRPr="00450621" w14:paraId="00DF5350" w14:textId="77777777" w:rsidTr="00D106A2">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159410DF" w14:textId="77777777" w:rsidR="00A35925" w:rsidRPr="00450621" w:rsidRDefault="00A35925" w:rsidP="00D106A2">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6C57E558" w14:textId="3B57A45C" w:rsidR="00A35925" w:rsidRDefault="00A35925" w:rsidP="00D106A2">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w:t>
            </w:r>
            <w:r w:rsidR="0007703D">
              <w:rPr>
                <w:rFonts w:ascii="Arial" w:eastAsia="Times New Roman" w:hAnsi="Arial" w:cs="Arial"/>
                <w:b/>
                <w:bCs/>
                <w:color w:val="000000"/>
                <w:sz w:val="16"/>
                <w:szCs w:val="16"/>
                <w:lang w:eastAsia="es-MX"/>
              </w:rPr>
              <w:t>6</w:t>
            </w:r>
          </w:p>
        </w:tc>
        <w:tc>
          <w:tcPr>
            <w:tcW w:w="1267" w:type="dxa"/>
            <w:tcBorders>
              <w:top w:val="single" w:sz="4" w:space="0" w:color="000000"/>
              <w:left w:val="nil"/>
              <w:bottom w:val="single" w:sz="4" w:space="0" w:color="000000"/>
              <w:right w:val="single" w:sz="4" w:space="0" w:color="000000"/>
            </w:tcBorders>
            <w:shd w:val="clear" w:color="000000" w:fill="D3D3D3"/>
          </w:tcPr>
          <w:p w14:paraId="030652DD" w14:textId="77777777" w:rsidR="00A35925" w:rsidRDefault="00A35925" w:rsidP="00D106A2">
            <w:pPr>
              <w:spacing w:after="0" w:line="240" w:lineRule="auto"/>
              <w:jc w:val="center"/>
              <w:rPr>
                <w:rFonts w:ascii="Arial" w:eastAsia="Times New Roman" w:hAnsi="Arial" w:cs="Arial"/>
                <w:b/>
                <w:bCs/>
                <w:color w:val="000000"/>
                <w:sz w:val="16"/>
                <w:szCs w:val="16"/>
                <w:lang w:eastAsia="es-MX"/>
              </w:rPr>
            </w:pPr>
          </w:p>
          <w:p w14:paraId="24A59F5C" w14:textId="01516BDC" w:rsidR="00A35925" w:rsidRDefault="00A35925" w:rsidP="00D106A2">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w:t>
            </w:r>
            <w:r w:rsidR="0007703D">
              <w:rPr>
                <w:rFonts w:ascii="Arial" w:eastAsia="Times New Roman" w:hAnsi="Arial" w:cs="Arial"/>
                <w:b/>
                <w:bCs/>
                <w:color w:val="000000"/>
                <w:sz w:val="16"/>
                <w:szCs w:val="16"/>
                <w:lang w:eastAsia="es-MX"/>
              </w:rPr>
              <w:t>5</w:t>
            </w:r>
          </w:p>
        </w:tc>
      </w:tr>
      <w:tr w:rsidR="00A35925" w:rsidRPr="00450621" w14:paraId="54045270" w14:textId="77777777" w:rsidTr="00D106A2">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128BC1BD" w14:textId="77777777" w:rsidR="00A35925" w:rsidRPr="00450621" w:rsidRDefault="00A35925" w:rsidP="00D106A2">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Bienes Inmuebles, Infraestructura y Construcciones en Proceso</w:t>
            </w:r>
          </w:p>
        </w:tc>
        <w:tc>
          <w:tcPr>
            <w:tcW w:w="1318" w:type="dxa"/>
            <w:tcBorders>
              <w:top w:val="nil"/>
              <w:left w:val="nil"/>
              <w:bottom w:val="single" w:sz="4" w:space="0" w:color="000000"/>
              <w:right w:val="single" w:sz="4" w:space="0" w:color="000000"/>
            </w:tcBorders>
            <w:shd w:val="clear" w:color="000000" w:fill="FFFFFF"/>
            <w:vAlign w:val="bottom"/>
            <w:hideMark/>
          </w:tcPr>
          <w:p w14:paraId="16942071" w14:textId="60369D74" w:rsidR="00A35925" w:rsidRPr="00450621" w:rsidRDefault="00905E8B" w:rsidP="00D106A2">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4BAD578B" w14:textId="54BF1942" w:rsidR="00A35925" w:rsidRDefault="00C97850" w:rsidP="00D106A2">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1,923,825,848</w:t>
            </w:r>
          </w:p>
        </w:tc>
      </w:tr>
      <w:tr w:rsidR="00A35925" w:rsidRPr="00450621" w14:paraId="3E122758"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4DB7A3D"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Terrenos</w:t>
            </w:r>
          </w:p>
        </w:tc>
        <w:tc>
          <w:tcPr>
            <w:tcW w:w="1318" w:type="dxa"/>
            <w:tcBorders>
              <w:top w:val="nil"/>
              <w:left w:val="nil"/>
              <w:bottom w:val="single" w:sz="4" w:space="0" w:color="000000"/>
              <w:right w:val="single" w:sz="4" w:space="0" w:color="000000"/>
            </w:tcBorders>
            <w:shd w:val="clear" w:color="000000" w:fill="FFFFFF"/>
            <w:hideMark/>
          </w:tcPr>
          <w:p w14:paraId="32ED510D" w14:textId="76910B1D" w:rsidR="00A35925" w:rsidRPr="00450621" w:rsidRDefault="00905E8B"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554B1FDC" w14:textId="36B2E607" w:rsidR="00A35925" w:rsidRPr="00450621" w:rsidRDefault="00C97850"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51,889,512</w:t>
            </w:r>
          </w:p>
        </w:tc>
      </w:tr>
      <w:tr w:rsidR="00A35925" w:rsidRPr="00450621" w14:paraId="41225A69"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97C2E70"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Viviendas</w:t>
            </w:r>
          </w:p>
        </w:tc>
        <w:tc>
          <w:tcPr>
            <w:tcW w:w="1318" w:type="dxa"/>
            <w:tcBorders>
              <w:top w:val="nil"/>
              <w:left w:val="nil"/>
              <w:bottom w:val="single" w:sz="4" w:space="0" w:color="000000"/>
              <w:right w:val="single" w:sz="4" w:space="0" w:color="000000"/>
            </w:tcBorders>
            <w:shd w:val="clear" w:color="000000" w:fill="FFFFFF"/>
            <w:hideMark/>
          </w:tcPr>
          <w:p w14:paraId="0C0E65DE"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F66ADB2"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A35925" w:rsidRPr="008E3C48" w14:paraId="27B7F8ED"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DF33254"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Edificios no Habitaciones</w:t>
            </w:r>
          </w:p>
        </w:tc>
        <w:tc>
          <w:tcPr>
            <w:tcW w:w="1318" w:type="dxa"/>
            <w:tcBorders>
              <w:top w:val="nil"/>
              <w:left w:val="nil"/>
              <w:bottom w:val="single" w:sz="4" w:space="0" w:color="000000"/>
              <w:right w:val="single" w:sz="4" w:space="0" w:color="000000"/>
            </w:tcBorders>
            <w:shd w:val="clear" w:color="000000" w:fill="FFFFFF"/>
            <w:hideMark/>
          </w:tcPr>
          <w:p w14:paraId="55DEA598" w14:textId="77777777" w:rsidR="00A35925" w:rsidRPr="008E3C48" w:rsidRDefault="00A35925"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59839355" w14:textId="77777777" w:rsidR="00A35925" w:rsidRPr="008E3C48" w:rsidRDefault="00A35925" w:rsidP="00D106A2">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A35925" w:rsidRPr="00450621" w14:paraId="3F69A24D"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7D555CB"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Infraestructura</w:t>
            </w:r>
          </w:p>
        </w:tc>
        <w:tc>
          <w:tcPr>
            <w:tcW w:w="1318" w:type="dxa"/>
            <w:tcBorders>
              <w:top w:val="nil"/>
              <w:left w:val="nil"/>
              <w:bottom w:val="single" w:sz="4" w:space="0" w:color="000000"/>
              <w:right w:val="single" w:sz="4" w:space="0" w:color="000000"/>
            </w:tcBorders>
            <w:shd w:val="clear" w:color="000000" w:fill="FFFFFF"/>
            <w:hideMark/>
          </w:tcPr>
          <w:p w14:paraId="2E492157"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4690E337" w14:textId="77777777" w:rsidR="00A35925" w:rsidRDefault="00A35925"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A35925" w:rsidRPr="00450621" w14:paraId="0C932216"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2843E56"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de Dominio Público</w:t>
            </w:r>
          </w:p>
        </w:tc>
        <w:tc>
          <w:tcPr>
            <w:tcW w:w="1318" w:type="dxa"/>
            <w:tcBorders>
              <w:top w:val="nil"/>
              <w:left w:val="nil"/>
              <w:bottom w:val="single" w:sz="4" w:space="0" w:color="000000"/>
              <w:right w:val="single" w:sz="4" w:space="0" w:color="000000"/>
            </w:tcBorders>
            <w:shd w:val="clear" w:color="000000" w:fill="FFFFFF"/>
            <w:hideMark/>
          </w:tcPr>
          <w:p w14:paraId="36584554" w14:textId="32CC3AFB" w:rsidR="00A35925" w:rsidRPr="00450621" w:rsidRDefault="00905E8B"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r w:rsidR="00A35925"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73688A6B" w14:textId="50DF2438" w:rsidR="00A35925" w:rsidRPr="00450621" w:rsidRDefault="00905E8B"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654,251,648</w:t>
            </w:r>
          </w:p>
        </w:tc>
      </w:tr>
      <w:tr w:rsidR="00A35925" w:rsidRPr="00450621" w14:paraId="36967A22"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38F592C"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Propios</w:t>
            </w:r>
          </w:p>
        </w:tc>
        <w:tc>
          <w:tcPr>
            <w:tcW w:w="1318" w:type="dxa"/>
            <w:tcBorders>
              <w:top w:val="nil"/>
              <w:left w:val="nil"/>
              <w:bottom w:val="single" w:sz="4" w:space="0" w:color="000000"/>
              <w:right w:val="single" w:sz="4" w:space="0" w:color="000000"/>
            </w:tcBorders>
            <w:shd w:val="clear" w:color="000000" w:fill="FFFFFF"/>
            <w:hideMark/>
          </w:tcPr>
          <w:p w14:paraId="2D5CA2C9" w14:textId="6759294D" w:rsidR="00A35925" w:rsidRPr="00450621" w:rsidRDefault="00A928FB"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55DDBC87" w14:textId="4F9D2E08" w:rsidR="00A35925" w:rsidRPr="00450621" w:rsidRDefault="00A928FB"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1,217,684,688</w:t>
            </w:r>
          </w:p>
        </w:tc>
      </w:tr>
      <w:tr w:rsidR="00A35925" w:rsidRPr="00450621" w14:paraId="290FD88F"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5D84431"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Otros Bienes Inmuebles</w:t>
            </w:r>
          </w:p>
        </w:tc>
        <w:tc>
          <w:tcPr>
            <w:tcW w:w="1318" w:type="dxa"/>
            <w:tcBorders>
              <w:top w:val="nil"/>
              <w:left w:val="nil"/>
              <w:bottom w:val="single" w:sz="4" w:space="0" w:color="000000"/>
              <w:right w:val="single" w:sz="4" w:space="0" w:color="000000"/>
            </w:tcBorders>
            <w:shd w:val="clear" w:color="000000" w:fill="FFFFFF"/>
            <w:hideMark/>
          </w:tcPr>
          <w:p w14:paraId="14BCDD7A"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2C894459"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A35925" w:rsidRPr="00450621" w14:paraId="4338E46D"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FF3B1B3"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b/>
                <w:bCs/>
                <w:color w:val="000000"/>
                <w:sz w:val="16"/>
                <w:szCs w:val="16"/>
                <w:lang w:eastAsia="es-MX"/>
              </w:rPr>
              <w:t>Bienes Muebles</w:t>
            </w:r>
          </w:p>
        </w:tc>
        <w:tc>
          <w:tcPr>
            <w:tcW w:w="1318" w:type="dxa"/>
            <w:tcBorders>
              <w:top w:val="nil"/>
              <w:left w:val="nil"/>
              <w:bottom w:val="single" w:sz="4" w:space="0" w:color="000000"/>
              <w:right w:val="single" w:sz="4" w:space="0" w:color="000000"/>
            </w:tcBorders>
            <w:shd w:val="clear" w:color="000000" w:fill="FFFFFF"/>
            <w:hideMark/>
          </w:tcPr>
          <w:p w14:paraId="22F5125F" w14:textId="47DF3986" w:rsidR="00A35925" w:rsidRPr="00FF5A7D" w:rsidRDefault="008D29F8" w:rsidP="00D106A2">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11,948</w:t>
            </w:r>
          </w:p>
        </w:tc>
        <w:tc>
          <w:tcPr>
            <w:tcW w:w="1267" w:type="dxa"/>
            <w:tcBorders>
              <w:top w:val="nil"/>
              <w:left w:val="nil"/>
              <w:bottom w:val="single" w:sz="4" w:space="0" w:color="000000"/>
              <w:right w:val="single" w:sz="4" w:space="0" w:color="000000"/>
            </w:tcBorders>
            <w:shd w:val="clear" w:color="000000" w:fill="FFFFFF"/>
          </w:tcPr>
          <w:p w14:paraId="2ECE8108" w14:textId="48C2B356" w:rsidR="00A35925" w:rsidRPr="00FF5A7D" w:rsidRDefault="00241A60" w:rsidP="00D106A2">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257,289,362</w:t>
            </w:r>
          </w:p>
        </w:tc>
      </w:tr>
      <w:tr w:rsidR="00A35925" w:rsidRPr="00450621" w14:paraId="10A1012D"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89FFF3D"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de Administración</w:t>
            </w:r>
          </w:p>
        </w:tc>
        <w:tc>
          <w:tcPr>
            <w:tcW w:w="1318" w:type="dxa"/>
            <w:tcBorders>
              <w:top w:val="nil"/>
              <w:left w:val="nil"/>
              <w:bottom w:val="single" w:sz="4" w:space="0" w:color="000000"/>
              <w:right w:val="single" w:sz="4" w:space="0" w:color="000000"/>
            </w:tcBorders>
            <w:shd w:val="clear" w:color="000000" w:fill="FFFFFF"/>
            <w:hideMark/>
          </w:tcPr>
          <w:p w14:paraId="2D0FB89A" w14:textId="72C4006E" w:rsidR="00A35925" w:rsidRPr="00450621" w:rsidRDefault="008D29F8"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11,948</w:t>
            </w:r>
          </w:p>
        </w:tc>
        <w:tc>
          <w:tcPr>
            <w:tcW w:w="1267" w:type="dxa"/>
            <w:tcBorders>
              <w:top w:val="nil"/>
              <w:left w:val="nil"/>
              <w:bottom w:val="single" w:sz="4" w:space="0" w:color="000000"/>
              <w:right w:val="single" w:sz="4" w:space="0" w:color="000000"/>
            </w:tcBorders>
            <w:shd w:val="clear" w:color="000000" w:fill="FFFFFF"/>
          </w:tcPr>
          <w:p w14:paraId="4F29C615" w14:textId="0FD9E29A" w:rsidR="00A35925" w:rsidRPr="00450621" w:rsidRDefault="00702A1A"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4,659,800</w:t>
            </w:r>
          </w:p>
        </w:tc>
      </w:tr>
      <w:tr w:rsidR="00A35925" w:rsidRPr="00450621" w14:paraId="315AC07F"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BB6E442"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Educacional y Recreativ</w:t>
            </w:r>
            <w:r>
              <w:rPr>
                <w:rFonts w:ascii="Arial" w:eastAsia="Times New Roman" w:hAnsi="Arial" w:cs="Arial"/>
                <w:color w:val="000000"/>
                <w:sz w:val="14"/>
                <w:szCs w:val="14"/>
                <w:lang w:eastAsia="es-MX"/>
              </w:rPr>
              <w:t>o</w:t>
            </w:r>
          </w:p>
        </w:tc>
        <w:tc>
          <w:tcPr>
            <w:tcW w:w="1318" w:type="dxa"/>
            <w:tcBorders>
              <w:top w:val="nil"/>
              <w:left w:val="nil"/>
              <w:bottom w:val="single" w:sz="4" w:space="0" w:color="000000"/>
              <w:right w:val="single" w:sz="4" w:space="0" w:color="000000"/>
            </w:tcBorders>
            <w:shd w:val="clear" w:color="000000" w:fill="FFFFFF"/>
            <w:hideMark/>
          </w:tcPr>
          <w:p w14:paraId="025F6157" w14:textId="6CD6315B" w:rsidR="00A35925" w:rsidRDefault="008B653C"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p w14:paraId="20260446"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6D7EB7B6" w14:textId="339CDC65" w:rsidR="00A35925" w:rsidRPr="00450621" w:rsidRDefault="00702A1A"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441,841</w:t>
            </w:r>
          </w:p>
        </w:tc>
      </w:tr>
      <w:tr w:rsidR="00A35925" w:rsidRPr="00450621" w14:paraId="298AEB16"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19799E3"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e Instrumental Médico y de Laboratorio</w:t>
            </w:r>
          </w:p>
        </w:tc>
        <w:tc>
          <w:tcPr>
            <w:tcW w:w="1318" w:type="dxa"/>
            <w:tcBorders>
              <w:top w:val="nil"/>
              <w:left w:val="nil"/>
              <w:bottom w:val="single" w:sz="4" w:space="0" w:color="000000"/>
              <w:right w:val="single" w:sz="4" w:space="0" w:color="000000"/>
            </w:tcBorders>
            <w:shd w:val="clear" w:color="000000" w:fill="FFFFFF"/>
            <w:hideMark/>
          </w:tcPr>
          <w:p w14:paraId="2FF75376" w14:textId="096CF8D6" w:rsidR="00A35925" w:rsidRPr="00450621" w:rsidRDefault="008B653C"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3E499FF9" w14:textId="37534E6D" w:rsidR="00A35925" w:rsidRPr="00450621" w:rsidRDefault="00702A1A"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2,259,848</w:t>
            </w:r>
          </w:p>
        </w:tc>
      </w:tr>
      <w:tr w:rsidR="00A35925" w:rsidRPr="00450621" w14:paraId="5A8AA442"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169820F"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Vehículos y Equipo de Transporte</w:t>
            </w:r>
          </w:p>
        </w:tc>
        <w:tc>
          <w:tcPr>
            <w:tcW w:w="1318" w:type="dxa"/>
            <w:tcBorders>
              <w:top w:val="nil"/>
              <w:left w:val="nil"/>
              <w:bottom w:val="single" w:sz="4" w:space="0" w:color="000000"/>
              <w:right w:val="single" w:sz="4" w:space="0" w:color="000000"/>
            </w:tcBorders>
            <w:shd w:val="clear" w:color="000000" w:fill="FFFFFF"/>
            <w:hideMark/>
          </w:tcPr>
          <w:p w14:paraId="57AF55D6" w14:textId="0331A884" w:rsidR="00A35925" w:rsidRPr="00450621" w:rsidRDefault="008B653C"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7C7CCB27" w14:textId="5E27EA34" w:rsidR="00A35925" w:rsidRPr="00450621" w:rsidRDefault="00702A1A"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42,505,892</w:t>
            </w:r>
          </w:p>
        </w:tc>
      </w:tr>
      <w:tr w:rsidR="00A35925" w:rsidRPr="00450621" w14:paraId="491E1FED"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3CC5304"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de Defensa y Seguridad</w:t>
            </w:r>
          </w:p>
        </w:tc>
        <w:tc>
          <w:tcPr>
            <w:tcW w:w="1318" w:type="dxa"/>
            <w:tcBorders>
              <w:top w:val="nil"/>
              <w:left w:val="nil"/>
              <w:bottom w:val="single" w:sz="4" w:space="0" w:color="000000"/>
              <w:right w:val="single" w:sz="4" w:space="0" w:color="000000"/>
            </w:tcBorders>
            <w:shd w:val="clear" w:color="000000" w:fill="FFFFFF"/>
            <w:hideMark/>
          </w:tcPr>
          <w:p w14:paraId="20998E88" w14:textId="4CE5D0FA" w:rsidR="00A35925" w:rsidRPr="00450621" w:rsidRDefault="008B653C"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3DFDB539" w14:textId="0FA03ACA" w:rsidR="00A35925" w:rsidRPr="00450621" w:rsidRDefault="00152AC4"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11,108,</w:t>
            </w:r>
            <w:r w:rsidR="00925A1C">
              <w:rPr>
                <w:rFonts w:ascii="Arial" w:eastAsia="Times New Roman" w:hAnsi="Arial" w:cs="Arial"/>
                <w:color w:val="000000"/>
                <w:sz w:val="14"/>
                <w:szCs w:val="14"/>
                <w:lang w:eastAsia="es-MX"/>
              </w:rPr>
              <w:t>155</w:t>
            </w:r>
          </w:p>
        </w:tc>
      </w:tr>
      <w:tr w:rsidR="00A35925" w:rsidRPr="00450621" w14:paraId="196D3166"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3BBA73C"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Maquinaria, Otros Equipos y Herramientas</w:t>
            </w:r>
          </w:p>
        </w:tc>
        <w:tc>
          <w:tcPr>
            <w:tcW w:w="1318" w:type="dxa"/>
            <w:tcBorders>
              <w:top w:val="nil"/>
              <w:left w:val="nil"/>
              <w:bottom w:val="single" w:sz="4" w:space="0" w:color="000000"/>
              <w:right w:val="single" w:sz="4" w:space="0" w:color="000000"/>
            </w:tcBorders>
            <w:shd w:val="clear" w:color="000000" w:fill="FFFFFF"/>
            <w:hideMark/>
          </w:tcPr>
          <w:p w14:paraId="710B5DFE" w14:textId="30CBD3DE" w:rsidR="00A35925" w:rsidRPr="00450621" w:rsidRDefault="008B653C"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5C21D820" w14:textId="76F7EF69" w:rsidR="00A35925" w:rsidRPr="00450621" w:rsidRDefault="00925A1C"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158,383,222</w:t>
            </w:r>
          </w:p>
        </w:tc>
      </w:tr>
      <w:tr w:rsidR="00A35925" w:rsidRPr="00450621" w14:paraId="3EC40601"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D0CCD81"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Colecciones, Obras de Arte y Objetos Valiosos</w:t>
            </w:r>
          </w:p>
        </w:tc>
        <w:tc>
          <w:tcPr>
            <w:tcW w:w="1318" w:type="dxa"/>
            <w:tcBorders>
              <w:top w:val="nil"/>
              <w:left w:val="nil"/>
              <w:bottom w:val="single" w:sz="4" w:space="0" w:color="000000"/>
              <w:right w:val="single" w:sz="4" w:space="0" w:color="000000"/>
            </w:tcBorders>
            <w:shd w:val="clear" w:color="000000" w:fill="FFFFFF"/>
            <w:hideMark/>
          </w:tcPr>
          <w:p w14:paraId="3F349139"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5EB41CDC"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A35925" w:rsidRPr="00450621" w14:paraId="746C85F3"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127254A"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Activos Biológicos</w:t>
            </w:r>
          </w:p>
        </w:tc>
        <w:tc>
          <w:tcPr>
            <w:tcW w:w="1318" w:type="dxa"/>
            <w:tcBorders>
              <w:top w:val="nil"/>
              <w:left w:val="nil"/>
              <w:bottom w:val="single" w:sz="4" w:space="0" w:color="000000"/>
              <w:right w:val="single" w:sz="4" w:space="0" w:color="000000"/>
            </w:tcBorders>
            <w:shd w:val="clear" w:color="000000" w:fill="FFFFFF"/>
            <w:hideMark/>
          </w:tcPr>
          <w:p w14:paraId="55CE41F4"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64C4FEB6"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A35925" w:rsidRPr="00450621" w14:paraId="7786DA2B"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25BA275" w14:textId="77777777" w:rsidR="00A35925" w:rsidRPr="00F8171F" w:rsidRDefault="00A35925" w:rsidP="00D106A2">
            <w:pPr>
              <w:spacing w:after="0" w:line="240" w:lineRule="auto"/>
              <w:rPr>
                <w:rFonts w:ascii="Arial" w:eastAsia="Times New Roman" w:hAnsi="Arial" w:cs="Arial"/>
                <w:b/>
                <w:color w:val="000000"/>
                <w:sz w:val="14"/>
                <w:szCs w:val="14"/>
                <w:lang w:eastAsia="es-MX"/>
              </w:rPr>
            </w:pPr>
            <w:r w:rsidRPr="00F8171F">
              <w:rPr>
                <w:rFonts w:ascii="Arial" w:eastAsia="Times New Roman" w:hAnsi="Arial" w:cs="Arial"/>
                <w:b/>
                <w:color w:val="000000"/>
                <w:sz w:val="14"/>
                <w:szCs w:val="14"/>
                <w:lang w:eastAsia="es-MX"/>
              </w:rPr>
              <w:t>Otras Inversiones</w:t>
            </w:r>
          </w:p>
        </w:tc>
        <w:tc>
          <w:tcPr>
            <w:tcW w:w="1318" w:type="dxa"/>
            <w:tcBorders>
              <w:top w:val="nil"/>
              <w:left w:val="nil"/>
              <w:bottom w:val="single" w:sz="4" w:space="0" w:color="000000"/>
              <w:right w:val="single" w:sz="4" w:space="0" w:color="000000"/>
            </w:tcBorders>
            <w:shd w:val="clear" w:color="000000" w:fill="FFFFFF"/>
            <w:hideMark/>
          </w:tcPr>
          <w:p w14:paraId="10741AA1" w14:textId="096C51DF" w:rsidR="00A35925" w:rsidRPr="00F8171F" w:rsidRDefault="008B653C" w:rsidP="00D106A2">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512E47D7" w14:textId="47A6D16B" w:rsidR="00A35925" w:rsidRPr="00F8171F" w:rsidRDefault="00925A1C" w:rsidP="00D106A2">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168,225142</w:t>
            </w:r>
          </w:p>
        </w:tc>
      </w:tr>
      <w:tr w:rsidR="00A35925" w:rsidRPr="00450621" w14:paraId="3A78DDB6" w14:textId="77777777" w:rsidTr="00D106A2">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0B6CA660" w14:textId="77777777" w:rsidR="00A35925" w:rsidRPr="00450621" w:rsidRDefault="00A35925" w:rsidP="00D106A2">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TOTAL</w:t>
            </w:r>
          </w:p>
        </w:tc>
        <w:tc>
          <w:tcPr>
            <w:tcW w:w="1318" w:type="dxa"/>
            <w:tcBorders>
              <w:top w:val="nil"/>
              <w:left w:val="nil"/>
              <w:bottom w:val="single" w:sz="4" w:space="0" w:color="000000"/>
              <w:right w:val="single" w:sz="4" w:space="0" w:color="000000"/>
            </w:tcBorders>
            <w:shd w:val="clear" w:color="000000" w:fill="D3D3D3"/>
            <w:vAlign w:val="bottom"/>
            <w:hideMark/>
          </w:tcPr>
          <w:p w14:paraId="62376300" w14:textId="60909756" w:rsidR="00A35925" w:rsidRPr="00450621" w:rsidRDefault="008D29F8" w:rsidP="00D106A2">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11,948</w:t>
            </w:r>
          </w:p>
        </w:tc>
        <w:tc>
          <w:tcPr>
            <w:tcW w:w="1267" w:type="dxa"/>
            <w:tcBorders>
              <w:top w:val="nil"/>
              <w:left w:val="nil"/>
              <w:bottom w:val="single" w:sz="4" w:space="0" w:color="000000"/>
              <w:right w:val="single" w:sz="4" w:space="0" w:color="000000"/>
            </w:tcBorders>
            <w:shd w:val="clear" w:color="000000" w:fill="D3D3D3"/>
          </w:tcPr>
          <w:p w14:paraId="01DDE4B3" w14:textId="77777777" w:rsidR="00A35925" w:rsidRDefault="00A35925" w:rsidP="00D106A2">
            <w:pPr>
              <w:spacing w:after="0" w:line="240" w:lineRule="auto"/>
              <w:jc w:val="right"/>
              <w:rPr>
                <w:rFonts w:ascii="Arial" w:eastAsia="Times New Roman" w:hAnsi="Arial" w:cs="Arial"/>
                <w:b/>
                <w:bCs/>
                <w:color w:val="000000"/>
                <w:sz w:val="16"/>
                <w:szCs w:val="16"/>
                <w:lang w:eastAsia="es-MX"/>
              </w:rPr>
            </w:pPr>
          </w:p>
          <w:p w14:paraId="389B5782" w14:textId="0B2B0002" w:rsidR="00A35925" w:rsidRDefault="00925A1C" w:rsidP="00D106A2">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2,349,340,353</w:t>
            </w:r>
          </w:p>
        </w:tc>
      </w:tr>
    </w:tbl>
    <w:p w14:paraId="49DE6489" w14:textId="77777777" w:rsidR="00A35925" w:rsidRDefault="00A35925" w:rsidP="00A35925">
      <w:pPr>
        <w:pStyle w:val="INCISO"/>
        <w:tabs>
          <w:tab w:val="left" w:pos="284"/>
        </w:tabs>
        <w:spacing w:after="0" w:line="276" w:lineRule="auto"/>
        <w:ind w:left="284" w:firstLine="0"/>
        <w:rPr>
          <w:b/>
          <w:smallCaps/>
        </w:rPr>
      </w:pPr>
    </w:p>
    <w:p w14:paraId="73C3B84E" w14:textId="77777777" w:rsidR="00A35925" w:rsidRDefault="00A35925" w:rsidP="00A35925">
      <w:pPr>
        <w:spacing w:after="0" w:line="240" w:lineRule="exact"/>
        <w:mirrorIndents/>
        <w:jc w:val="both"/>
        <w:rPr>
          <w:rFonts w:ascii="Arial" w:eastAsia="Times New Roman" w:hAnsi="Arial" w:cs="Arial"/>
          <w:sz w:val="18"/>
          <w:szCs w:val="18"/>
          <w:lang w:eastAsia="es-ES"/>
        </w:rPr>
      </w:pPr>
      <w:r w:rsidRPr="002640DB">
        <w:rPr>
          <w:rFonts w:ascii="Arial" w:eastAsia="Times New Roman" w:hAnsi="Arial" w:cs="Arial"/>
          <w:sz w:val="18"/>
          <w:szCs w:val="18"/>
          <w:lang w:eastAsia="es-ES"/>
        </w:rPr>
        <w:t>3. Conciliación de los Flujos de Efectivo Netos de las Actividades de Operación y los saldos de Resultados del Ejercicio (Ahorro/Desahorro).</w:t>
      </w:r>
    </w:p>
    <w:p w14:paraId="36826EB0" w14:textId="77777777" w:rsidR="00A35925" w:rsidRDefault="00A35925" w:rsidP="00A35925">
      <w:pPr>
        <w:spacing w:after="0" w:line="240" w:lineRule="exact"/>
        <w:mirrorIndents/>
        <w:jc w:val="both"/>
        <w:rPr>
          <w:rFonts w:ascii="Arial" w:eastAsia="Times New Roman" w:hAnsi="Arial" w:cs="Arial"/>
          <w:b/>
          <w:smallCaps/>
          <w:sz w:val="18"/>
          <w:szCs w:val="18"/>
          <w:lang w:val="es-ES"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A35925" w:rsidRPr="00450621" w14:paraId="03EBAF8B" w14:textId="77777777" w:rsidTr="00D106A2">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44DD3492" w14:textId="77777777" w:rsidR="00A35925" w:rsidRPr="00450621" w:rsidRDefault="00A35925" w:rsidP="00D106A2">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CONCILIACION DE FLUJOS DE EFECTIVO NETOS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7536AEAF" w14:textId="77777777" w:rsidR="00A35925" w:rsidRPr="00450621" w:rsidRDefault="00A35925" w:rsidP="00D106A2">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4DD8741F" w14:textId="77777777" w:rsidR="00A35925" w:rsidRDefault="00A35925" w:rsidP="00D106A2">
            <w:pPr>
              <w:spacing w:after="0" w:line="240" w:lineRule="auto"/>
              <w:jc w:val="right"/>
              <w:rPr>
                <w:rFonts w:ascii="Arial" w:eastAsia="Times New Roman" w:hAnsi="Arial" w:cs="Arial"/>
                <w:b/>
                <w:bCs/>
                <w:color w:val="000000"/>
                <w:sz w:val="16"/>
                <w:szCs w:val="16"/>
                <w:lang w:eastAsia="es-MX"/>
              </w:rPr>
            </w:pPr>
          </w:p>
        </w:tc>
      </w:tr>
      <w:tr w:rsidR="00A35925" w:rsidRPr="00450621" w14:paraId="72446E8B" w14:textId="77777777" w:rsidTr="00D106A2">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03BA18A7" w14:textId="77777777" w:rsidR="00A35925" w:rsidRPr="00450621" w:rsidRDefault="00A35925" w:rsidP="00D106A2">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15507824" w14:textId="03E8131C" w:rsidR="00A35925" w:rsidRDefault="00A35925" w:rsidP="00D106A2">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w:t>
            </w:r>
            <w:r w:rsidR="00C75890">
              <w:rPr>
                <w:rFonts w:ascii="Arial" w:eastAsia="Times New Roman" w:hAnsi="Arial" w:cs="Arial"/>
                <w:b/>
                <w:bCs/>
                <w:color w:val="000000"/>
                <w:sz w:val="16"/>
                <w:szCs w:val="16"/>
                <w:lang w:eastAsia="es-MX"/>
              </w:rPr>
              <w:t>6</w:t>
            </w:r>
          </w:p>
        </w:tc>
        <w:tc>
          <w:tcPr>
            <w:tcW w:w="1267" w:type="dxa"/>
            <w:tcBorders>
              <w:top w:val="single" w:sz="4" w:space="0" w:color="000000"/>
              <w:left w:val="nil"/>
              <w:bottom w:val="single" w:sz="4" w:space="0" w:color="000000"/>
              <w:right w:val="single" w:sz="4" w:space="0" w:color="000000"/>
            </w:tcBorders>
            <w:shd w:val="clear" w:color="000000" w:fill="D3D3D3"/>
          </w:tcPr>
          <w:p w14:paraId="4B1DBCC4" w14:textId="77777777" w:rsidR="00A35925" w:rsidRDefault="00A35925" w:rsidP="00D106A2">
            <w:pPr>
              <w:spacing w:after="0" w:line="240" w:lineRule="auto"/>
              <w:jc w:val="center"/>
              <w:rPr>
                <w:rFonts w:ascii="Arial" w:eastAsia="Times New Roman" w:hAnsi="Arial" w:cs="Arial"/>
                <w:b/>
                <w:bCs/>
                <w:color w:val="000000"/>
                <w:sz w:val="16"/>
                <w:szCs w:val="16"/>
                <w:lang w:eastAsia="es-MX"/>
              </w:rPr>
            </w:pPr>
          </w:p>
          <w:p w14:paraId="4EDF942D" w14:textId="6BFD5EB4" w:rsidR="00A35925" w:rsidRDefault="00140F6D" w:rsidP="00D106A2">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2025</w:t>
            </w:r>
          </w:p>
        </w:tc>
      </w:tr>
      <w:tr w:rsidR="00A35925" w:rsidRPr="00450621" w14:paraId="4F6F692E" w14:textId="77777777" w:rsidTr="00D106A2">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4651AF6D" w14:textId="77777777" w:rsidR="00A35925" w:rsidRPr="00450621" w:rsidRDefault="00A35925" w:rsidP="00D106A2">
            <w:pPr>
              <w:spacing w:after="0" w:line="240" w:lineRule="auto"/>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Resultados del Ejercicio Ahorro/Desahorro</w:t>
            </w:r>
          </w:p>
        </w:tc>
        <w:tc>
          <w:tcPr>
            <w:tcW w:w="1318" w:type="dxa"/>
            <w:tcBorders>
              <w:top w:val="nil"/>
              <w:left w:val="nil"/>
              <w:bottom w:val="single" w:sz="4" w:space="0" w:color="000000"/>
              <w:right w:val="single" w:sz="4" w:space="0" w:color="000000"/>
            </w:tcBorders>
            <w:shd w:val="clear" w:color="000000" w:fill="FFFFFF"/>
            <w:vAlign w:val="bottom"/>
            <w:hideMark/>
          </w:tcPr>
          <w:p w14:paraId="46C3B5D9" w14:textId="28CD288B" w:rsidR="00A35925" w:rsidRPr="00450621" w:rsidRDefault="003E4C9D" w:rsidP="00D106A2">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1,577,430,951</w:t>
            </w:r>
          </w:p>
        </w:tc>
        <w:tc>
          <w:tcPr>
            <w:tcW w:w="1267" w:type="dxa"/>
            <w:tcBorders>
              <w:top w:val="nil"/>
              <w:left w:val="nil"/>
              <w:bottom w:val="single" w:sz="4" w:space="0" w:color="000000"/>
              <w:right w:val="single" w:sz="4" w:space="0" w:color="000000"/>
            </w:tcBorders>
            <w:shd w:val="clear" w:color="000000" w:fill="FFFFFF"/>
          </w:tcPr>
          <w:p w14:paraId="5D242A16" w14:textId="09280AEC" w:rsidR="00A35925" w:rsidRDefault="00140F6D" w:rsidP="00D106A2">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2,355,461,108</w:t>
            </w:r>
          </w:p>
        </w:tc>
      </w:tr>
      <w:tr w:rsidR="00A35925" w:rsidRPr="00450621" w14:paraId="217DF99F"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022E5BA"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Movimientos de partidas (o rubros) que no afectan al efectivo</w:t>
            </w:r>
          </w:p>
        </w:tc>
        <w:tc>
          <w:tcPr>
            <w:tcW w:w="1318" w:type="dxa"/>
            <w:tcBorders>
              <w:top w:val="nil"/>
              <w:left w:val="nil"/>
              <w:bottom w:val="single" w:sz="4" w:space="0" w:color="000000"/>
              <w:right w:val="single" w:sz="4" w:space="0" w:color="000000"/>
            </w:tcBorders>
            <w:shd w:val="clear" w:color="000000" w:fill="FFFFFF"/>
            <w:hideMark/>
          </w:tcPr>
          <w:p w14:paraId="55D3C625"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8654E6A"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A35925" w:rsidRPr="00450621" w14:paraId="75F05888"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8DE1CAE"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Depreciación</w:t>
            </w:r>
          </w:p>
        </w:tc>
        <w:tc>
          <w:tcPr>
            <w:tcW w:w="1318" w:type="dxa"/>
            <w:tcBorders>
              <w:top w:val="nil"/>
              <w:left w:val="nil"/>
              <w:bottom w:val="single" w:sz="4" w:space="0" w:color="000000"/>
              <w:right w:val="single" w:sz="4" w:space="0" w:color="000000"/>
            </w:tcBorders>
            <w:shd w:val="clear" w:color="000000" w:fill="FFFFFF"/>
            <w:hideMark/>
          </w:tcPr>
          <w:p w14:paraId="7BFF29D5"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6F4BC81"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A35925" w:rsidRPr="008E3C48" w14:paraId="49941B2C"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081580A"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Amortización</w:t>
            </w:r>
          </w:p>
        </w:tc>
        <w:tc>
          <w:tcPr>
            <w:tcW w:w="1318" w:type="dxa"/>
            <w:tcBorders>
              <w:top w:val="nil"/>
              <w:left w:val="nil"/>
              <w:bottom w:val="single" w:sz="4" w:space="0" w:color="000000"/>
              <w:right w:val="single" w:sz="4" w:space="0" w:color="000000"/>
            </w:tcBorders>
            <w:shd w:val="clear" w:color="000000" w:fill="FFFFFF"/>
            <w:hideMark/>
          </w:tcPr>
          <w:p w14:paraId="1D1B2A36" w14:textId="77777777" w:rsidR="00A35925" w:rsidRPr="008E3C48" w:rsidRDefault="00A35925"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362F2466" w14:textId="77777777" w:rsidR="00A35925" w:rsidRPr="008E3C48" w:rsidRDefault="00A35925" w:rsidP="00D106A2">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A35925" w:rsidRPr="00450621" w14:paraId="0713FC21"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1E330B7"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Incrementos en las provisiones</w:t>
            </w:r>
          </w:p>
        </w:tc>
        <w:tc>
          <w:tcPr>
            <w:tcW w:w="1318" w:type="dxa"/>
            <w:tcBorders>
              <w:top w:val="nil"/>
              <w:left w:val="nil"/>
              <w:bottom w:val="single" w:sz="4" w:space="0" w:color="000000"/>
              <w:right w:val="single" w:sz="4" w:space="0" w:color="000000"/>
            </w:tcBorders>
            <w:shd w:val="clear" w:color="000000" w:fill="FFFFFF"/>
            <w:hideMark/>
          </w:tcPr>
          <w:p w14:paraId="13D0AC22"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47684B0D" w14:textId="77777777" w:rsidR="00A35925" w:rsidRDefault="00A35925"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A35925" w:rsidRPr="00450621" w14:paraId="5CEB613F"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BC3FA1"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 en inversiones producido por revaluación</w:t>
            </w:r>
          </w:p>
        </w:tc>
        <w:tc>
          <w:tcPr>
            <w:tcW w:w="1318" w:type="dxa"/>
            <w:tcBorders>
              <w:top w:val="nil"/>
              <w:left w:val="nil"/>
              <w:bottom w:val="single" w:sz="4" w:space="0" w:color="000000"/>
              <w:right w:val="single" w:sz="4" w:space="0" w:color="000000"/>
            </w:tcBorders>
            <w:shd w:val="clear" w:color="000000" w:fill="FFFFFF"/>
            <w:hideMark/>
          </w:tcPr>
          <w:p w14:paraId="64E1BB75"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42E16BA5"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A35925" w:rsidRPr="00450621" w14:paraId="25B69FA3"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CFE9297"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lastRenderedPageBreak/>
              <w:t>Ganancia/pérdida en venta de bienes muebles, inmuebles e intangibles</w:t>
            </w:r>
          </w:p>
        </w:tc>
        <w:tc>
          <w:tcPr>
            <w:tcW w:w="1318" w:type="dxa"/>
            <w:tcBorders>
              <w:top w:val="nil"/>
              <w:left w:val="nil"/>
              <w:bottom w:val="single" w:sz="4" w:space="0" w:color="000000"/>
              <w:right w:val="single" w:sz="4" w:space="0" w:color="000000"/>
            </w:tcBorders>
            <w:shd w:val="clear" w:color="000000" w:fill="FFFFFF"/>
            <w:hideMark/>
          </w:tcPr>
          <w:p w14:paraId="5D4A897D"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F896A10"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A35925" w:rsidRPr="00450621" w14:paraId="6194A783"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A16F00D"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 en cuentas por cobrar</w:t>
            </w:r>
          </w:p>
        </w:tc>
        <w:tc>
          <w:tcPr>
            <w:tcW w:w="1318" w:type="dxa"/>
            <w:tcBorders>
              <w:top w:val="nil"/>
              <w:left w:val="nil"/>
              <w:bottom w:val="single" w:sz="4" w:space="0" w:color="000000"/>
              <w:right w:val="single" w:sz="4" w:space="0" w:color="000000"/>
            </w:tcBorders>
            <w:shd w:val="clear" w:color="000000" w:fill="FFFFFF"/>
            <w:hideMark/>
          </w:tcPr>
          <w:p w14:paraId="0D0419A3"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71583FCE"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A35925" w:rsidRPr="00450621" w14:paraId="33FB3E71" w14:textId="77777777" w:rsidTr="00D106A2">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1EEB392A" w14:textId="77777777" w:rsidR="00A35925" w:rsidRPr="00450621" w:rsidRDefault="00A35925" w:rsidP="00D106A2">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Flujos de Efectivo Netos de las Actividades de Operación</w:t>
            </w:r>
          </w:p>
        </w:tc>
        <w:tc>
          <w:tcPr>
            <w:tcW w:w="1318" w:type="dxa"/>
            <w:tcBorders>
              <w:top w:val="nil"/>
              <w:left w:val="nil"/>
              <w:bottom w:val="single" w:sz="4" w:space="0" w:color="000000"/>
              <w:right w:val="single" w:sz="4" w:space="0" w:color="000000"/>
            </w:tcBorders>
            <w:shd w:val="clear" w:color="000000" w:fill="D3D3D3"/>
            <w:vAlign w:val="bottom"/>
            <w:hideMark/>
          </w:tcPr>
          <w:p w14:paraId="40FCBB4D" w14:textId="519A926D" w:rsidR="00A35925" w:rsidRPr="00450621" w:rsidRDefault="003E4C9D" w:rsidP="00D106A2">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1,577,430,951</w:t>
            </w:r>
          </w:p>
        </w:tc>
        <w:tc>
          <w:tcPr>
            <w:tcW w:w="1267" w:type="dxa"/>
            <w:tcBorders>
              <w:top w:val="nil"/>
              <w:left w:val="nil"/>
              <w:bottom w:val="single" w:sz="4" w:space="0" w:color="000000"/>
              <w:right w:val="single" w:sz="4" w:space="0" w:color="000000"/>
            </w:tcBorders>
            <w:shd w:val="clear" w:color="000000" w:fill="D3D3D3"/>
          </w:tcPr>
          <w:p w14:paraId="3AAA57E8" w14:textId="154CD7C2" w:rsidR="00A35925" w:rsidRDefault="00D039B3" w:rsidP="00D106A2">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2,914,078,193</w:t>
            </w:r>
          </w:p>
        </w:tc>
      </w:tr>
    </w:tbl>
    <w:p w14:paraId="489742C0" w14:textId="77777777" w:rsidR="00A35925" w:rsidRDefault="00A35925" w:rsidP="00A35925">
      <w:pPr>
        <w:pStyle w:val="INCISO"/>
        <w:tabs>
          <w:tab w:val="left" w:pos="284"/>
        </w:tabs>
        <w:spacing w:after="0" w:line="276" w:lineRule="auto"/>
        <w:ind w:left="284" w:firstLine="0"/>
        <w:rPr>
          <w:b/>
          <w:smallCaps/>
        </w:rPr>
      </w:pPr>
    </w:p>
    <w:p w14:paraId="6DE8A773" w14:textId="77777777" w:rsidR="00A35925" w:rsidRDefault="00A35925" w:rsidP="00A35925">
      <w:pPr>
        <w:pStyle w:val="INCISO"/>
        <w:tabs>
          <w:tab w:val="left" w:pos="284"/>
        </w:tabs>
        <w:spacing w:after="0" w:line="276" w:lineRule="auto"/>
        <w:ind w:left="284" w:firstLine="0"/>
        <w:rPr>
          <w:b/>
          <w:smallCaps/>
        </w:rPr>
      </w:pPr>
    </w:p>
    <w:p w14:paraId="116CCF9B" w14:textId="77777777" w:rsidR="00A35925" w:rsidRPr="0073056A" w:rsidRDefault="00A35925" w:rsidP="00A35925">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14:paraId="16652548" w14:textId="77777777" w:rsidR="00A35925" w:rsidRPr="0073056A" w:rsidRDefault="00A35925" w:rsidP="00A35925">
      <w:pPr>
        <w:pStyle w:val="Texto"/>
        <w:tabs>
          <w:tab w:val="left" w:pos="284"/>
        </w:tabs>
        <w:spacing w:after="0" w:line="276" w:lineRule="auto"/>
        <w:ind w:left="284" w:firstLine="0"/>
        <w:jc w:val="center"/>
        <w:rPr>
          <w:b/>
          <w:smallCaps/>
          <w:szCs w:val="18"/>
          <w:lang w:val="es-MX"/>
        </w:rPr>
      </w:pPr>
    </w:p>
    <w:p w14:paraId="415408EF" w14:textId="77777777" w:rsidR="00A35925" w:rsidRPr="0073056A" w:rsidRDefault="00A35925" w:rsidP="00A35925">
      <w:pPr>
        <w:pStyle w:val="Texto"/>
        <w:tabs>
          <w:tab w:val="left" w:pos="284"/>
        </w:tabs>
        <w:spacing w:after="0" w:line="276" w:lineRule="auto"/>
        <w:ind w:left="284" w:firstLine="0"/>
        <w:rPr>
          <w:szCs w:val="18"/>
          <w:lang w:val="es-MX"/>
        </w:rPr>
      </w:pPr>
      <w:r w:rsidRPr="0073056A">
        <w:rPr>
          <w:szCs w:val="18"/>
          <w:lang w:val="es-MX"/>
        </w:rPr>
        <w:t xml:space="preserve">La conciliación se presentará atendiendo a lo dispuesto por </w:t>
      </w:r>
      <w:r>
        <w:rPr>
          <w:szCs w:val="18"/>
          <w:lang w:val="es-MX"/>
        </w:rPr>
        <w:t>el</w:t>
      </w:r>
      <w:r w:rsidRPr="0073056A">
        <w:rPr>
          <w:szCs w:val="18"/>
          <w:lang w:val="es-MX"/>
        </w:rPr>
        <w:t xml:space="preserve"> Acuerdo por el que se emite el formato de conciliación entre los ingresos presupuestarios y contables, así como entre los egresos presupuestarios y los gastos contables.</w:t>
      </w:r>
    </w:p>
    <w:p w14:paraId="4FE78121" w14:textId="77777777" w:rsidR="00A35925" w:rsidRDefault="00E47250" w:rsidP="00A35925">
      <w:pPr>
        <w:rPr>
          <w:lang w:eastAsia="es-ES"/>
        </w:rPr>
      </w:pPr>
      <w:r>
        <w:rPr>
          <w:noProof/>
          <w:szCs w:val="18"/>
          <w:lang w:val="es-ES" w:eastAsia="es-MX"/>
        </w:rPr>
        <w:object w:dxaOrig="1440" w:dyaOrig="1440" w14:anchorId="058A8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5" type="#_x0000_t75" style="position:absolute;margin-left:-39.4pt;margin-top:35.2pt;width:547.15pt;height:363.25pt;z-index:251653632">
            <v:imagedata r:id="rId18" o:title=""/>
            <w10:wrap type="topAndBottom"/>
          </v:shape>
          <o:OLEObject Type="Embed" ProgID="Excel.Sheet.12" ShapeID="_x0000_s2105" DrawAspect="Content" ObjectID="_1838994031" r:id="rId19"/>
        </w:object>
      </w:r>
    </w:p>
    <w:p w14:paraId="7F51B3B0" w14:textId="77777777" w:rsidR="00A35925" w:rsidRPr="006942ED" w:rsidRDefault="00A35925" w:rsidP="00A35925">
      <w:pPr>
        <w:rPr>
          <w:lang w:eastAsia="es-ES"/>
        </w:rPr>
      </w:pPr>
    </w:p>
    <w:p w14:paraId="7C676BEF" w14:textId="77777777" w:rsidR="00A35925" w:rsidRDefault="00A35925" w:rsidP="00A35925">
      <w:pPr>
        <w:ind w:firstLine="708"/>
        <w:rPr>
          <w:lang w:eastAsia="es-ES"/>
        </w:rPr>
      </w:pPr>
    </w:p>
    <w:p w14:paraId="26A4998D" w14:textId="77777777" w:rsidR="00A35925" w:rsidRDefault="00E47250" w:rsidP="00A35925">
      <w:pPr>
        <w:ind w:firstLine="708"/>
        <w:rPr>
          <w:lang w:eastAsia="es-ES"/>
        </w:rPr>
      </w:pPr>
      <w:r>
        <w:rPr>
          <w:b/>
          <w:smallCaps/>
          <w:noProof/>
          <w:szCs w:val="18"/>
          <w:lang w:eastAsia="es-MX"/>
        </w:rPr>
        <w:lastRenderedPageBreak/>
        <w:object w:dxaOrig="1440" w:dyaOrig="1440" w14:anchorId="2F4EE434">
          <v:shape id="_x0000_s2106" type="#_x0000_t75" style="position:absolute;left:0;text-align:left;margin-left:-35.3pt;margin-top:14.25pt;width:538.3pt;height:491.25pt;z-index:251654656">
            <v:imagedata r:id="rId20" o:title=""/>
            <w10:wrap type="topAndBottom"/>
          </v:shape>
          <o:OLEObject Type="Embed" ProgID="Excel.Sheet.12" ShapeID="_x0000_s2106" DrawAspect="Content" ObjectID="_1838994032" r:id="rId21"/>
        </w:object>
      </w:r>
    </w:p>
    <w:p w14:paraId="13A37517" w14:textId="77777777" w:rsidR="00A35925" w:rsidRPr="006942ED" w:rsidRDefault="00A35925" w:rsidP="00A35925">
      <w:pPr>
        <w:ind w:firstLine="708"/>
        <w:rPr>
          <w:lang w:eastAsia="es-ES"/>
        </w:rPr>
      </w:pPr>
    </w:p>
    <w:p w14:paraId="00CFB60C" w14:textId="77777777" w:rsidR="00A35925" w:rsidRDefault="00A35925" w:rsidP="00A35925">
      <w:pPr>
        <w:pStyle w:val="Texto"/>
        <w:tabs>
          <w:tab w:val="left" w:pos="284"/>
        </w:tabs>
        <w:spacing w:after="0" w:line="276" w:lineRule="auto"/>
        <w:ind w:left="284" w:firstLine="0"/>
        <w:jc w:val="center"/>
        <w:rPr>
          <w:b/>
          <w:szCs w:val="18"/>
        </w:rPr>
      </w:pPr>
    </w:p>
    <w:p w14:paraId="3B8790CC" w14:textId="77777777" w:rsidR="00A35925" w:rsidRDefault="00A35925" w:rsidP="00A35925">
      <w:pPr>
        <w:pStyle w:val="Texto"/>
        <w:tabs>
          <w:tab w:val="left" w:pos="284"/>
        </w:tabs>
        <w:spacing w:after="0" w:line="276" w:lineRule="auto"/>
        <w:ind w:left="284" w:firstLine="0"/>
        <w:jc w:val="center"/>
        <w:rPr>
          <w:b/>
          <w:szCs w:val="18"/>
        </w:rPr>
      </w:pPr>
    </w:p>
    <w:p w14:paraId="5ACAC2EB" w14:textId="77777777" w:rsidR="00A35925" w:rsidRDefault="00A35925" w:rsidP="00A35925">
      <w:pPr>
        <w:pStyle w:val="Texto"/>
        <w:tabs>
          <w:tab w:val="left" w:pos="284"/>
        </w:tabs>
        <w:spacing w:after="0" w:line="276" w:lineRule="auto"/>
        <w:ind w:left="284" w:firstLine="0"/>
        <w:jc w:val="center"/>
        <w:rPr>
          <w:b/>
          <w:szCs w:val="18"/>
        </w:rPr>
      </w:pPr>
    </w:p>
    <w:p w14:paraId="2FA48A63" w14:textId="77777777" w:rsidR="00A35925" w:rsidRDefault="00A35925" w:rsidP="00A35925">
      <w:pPr>
        <w:pStyle w:val="Texto"/>
        <w:tabs>
          <w:tab w:val="left" w:pos="284"/>
        </w:tabs>
        <w:spacing w:after="0" w:line="276" w:lineRule="auto"/>
        <w:ind w:left="284" w:firstLine="0"/>
        <w:jc w:val="center"/>
        <w:rPr>
          <w:b/>
          <w:szCs w:val="18"/>
        </w:rPr>
      </w:pPr>
    </w:p>
    <w:p w14:paraId="565DC9B6" w14:textId="77777777" w:rsidR="00A35925" w:rsidRDefault="00A35925" w:rsidP="00A35925">
      <w:pPr>
        <w:pStyle w:val="Texto"/>
        <w:tabs>
          <w:tab w:val="left" w:pos="284"/>
        </w:tabs>
        <w:spacing w:after="0" w:line="276" w:lineRule="auto"/>
        <w:ind w:left="284" w:firstLine="0"/>
        <w:jc w:val="center"/>
        <w:rPr>
          <w:b/>
          <w:szCs w:val="18"/>
        </w:rPr>
      </w:pPr>
    </w:p>
    <w:p w14:paraId="67102B79" w14:textId="77777777" w:rsidR="00A35925" w:rsidRDefault="00A35925" w:rsidP="00A35925">
      <w:pPr>
        <w:pStyle w:val="Texto"/>
        <w:tabs>
          <w:tab w:val="left" w:pos="284"/>
        </w:tabs>
        <w:spacing w:after="0" w:line="276" w:lineRule="auto"/>
        <w:ind w:left="284" w:firstLine="0"/>
        <w:jc w:val="center"/>
        <w:rPr>
          <w:b/>
          <w:szCs w:val="18"/>
        </w:rPr>
      </w:pPr>
    </w:p>
    <w:p w14:paraId="7260B16C" w14:textId="77777777" w:rsidR="00A35925" w:rsidRDefault="00A35925" w:rsidP="00A35925">
      <w:pPr>
        <w:pStyle w:val="Texto"/>
        <w:tabs>
          <w:tab w:val="left" w:pos="284"/>
        </w:tabs>
        <w:spacing w:after="0" w:line="276" w:lineRule="auto"/>
        <w:ind w:left="284" w:firstLine="0"/>
        <w:jc w:val="center"/>
        <w:rPr>
          <w:b/>
          <w:szCs w:val="18"/>
        </w:rPr>
      </w:pPr>
    </w:p>
    <w:p w14:paraId="02836EBB" w14:textId="77777777" w:rsidR="00A35925" w:rsidRPr="0073056A" w:rsidRDefault="00A35925" w:rsidP="00A35925">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14:paraId="073B9E08" w14:textId="77777777" w:rsidR="00A35925" w:rsidRPr="0073056A" w:rsidRDefault="00A35925" w:rsidP="00A35925">
      <w:pPr>
        <w:pStyle w:val="Texto"/>
        <w:tabs>
          <w:tab w:val="left" w:pos="284"/>
        </w:tabs>
        <w:spacing w:after="0" w:line="276" w:lineRule="auto"/>
        <w:ind w:left="284" w:firstLine="0"/>
        <w:rPr>
          <w:b/>
          <w:szCs w:val="18"/>
          <w:lang w:val="es-MX"/>
        </w:rPr>
      </w:pPr>
    </w:p>
    <w:p w14:paraId="152A3ED3" w14:textId="77777777" w:rsidR="00A35925" w:rsidRPr="0073056A" w:rsidRDefault="00A35925" w:rsidP="00A35925">
      <w:pPr>
        <w:pStyle w:val="Texto"/>
        <w:tabs>
          <w:tab w:val="left" w:pos="284"/>
        </w:tabs>
        <w:spacing w:after="0" w:line="276" w:lineRule="auto"/>
        <w:ind w:left="284" w:firstLine="0"/>
        <w:rPr>
          <w:b/>
          <w:szCs w:val="18"/>
          <w:lang w:val="es-MX"/>
        </w:rPr>
      </w:pPr>
    </w:p>
    <w:p w14:paraId="10B8EBAE" w14:textId="77777777" w:rsidR="00A35925" w:rsidRPr="0073056A" w:rsidRDefault="00A35925" w:rsidP="00A35925">
      <w:pPr>
        <w:tabs>
          <w:tab w:val="left" w:pos="284"/>
        </w:tabs>
        <w:ind w:left="284"/>
        <w:jc w:val="both"/>
        <w:rPr>
          <w:rFonts w:ascii="Arial" w:hAnsi="Arial" w:cs="Arial"/>
          <w:sz w:val="18"/>
          <w:szCs w:val="18"/>
        </w:rPr>
      </w:pPr>
      <w:r w:rsidRPr="0073056A">
        <w:rPr>
          <w:rFonts w:ascii="Arial" w:hAnsi="Arial" w:cs="Arial"/>
          <w:sz w:val="18"/>
          <w:szCs w:val="18"/>
        </w:rPr>
        <w:t xml:space="preserve">Las cuentas de orden se utilizan para registrar movimientos de valores que no afecten o modifiquen el balance del ente, sin embargo, su incorporación en libros es necesaria con fines de recordatorio contable, de control y en </w:t>
      </w:r>
      <w:r w:rsidRPr="0073056A">
        <w:rPr>
          <w:rFonts w:ascii="Arial" w:hAnsi="Arial" w:cs="Arial"/>
          <w:sz w:val="18"/>
          <w:szCs w:val="18"/>
        </w:rPr>
        <w:lastRenderedPageBreak/>
        <w:t>general sobre los aspectos administrativos, o bien para consignar sus derechos o responsabilidades contingentes que puedan o no presentarse en el futuro.</w:t>
      </w:r>
    </w:p>
    <w:p w14:paraId="21361DEF" w14:textId="77777777" w:rsidR="00A35925" w:rsidRDefault="00A35925" w:rsidP="00A35925">
      <w:pPr>
        <w:tabs>
          <w:tab w:val="left" w:pos="284"/>
        </w:tabs>
        <w:ind w:left="284"/>
        <w:jc w:val="both"/>
        <w:rPr>
          <w:rFonts w:ascii="Arial" w:hAnsi="Arial" w:cs="Arial"/>
          <w:b/>
          <w:sz w:val="18"/>
          <w:szCs w:val="18"/>
        </w:rPr>
      </w:pPr>
    </w:p>
    <w:p w14:paraId="34271FFF" w14:textId="77777777" w:rsidR="00A35925" w:rsidRPr="0073056A" w:rsidRDefault="00A35925" w:rsidP="00A35925">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14:paraId="5C034460" w14:textId="7A3BC73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Al mes de marzo del 202</w:t>
      </w:r>
      <w:r w:rsidR="001418E7">
        <w:rPr>
          <w:rFonts w:ascii="Arial" w:hAnsi="Arial" w:cs="Arial"/>
          <w:sz w:val="18"/>
          <w:szCs w:val="18"/>
        </w:rPr>
        <w:t>6</w:t>
      </w:r>
      <w:r>
        <w:rPr>
          <w:rFonts w:ascii="Arial" w:hAnsi="Arial" w:cs="Arial"/>
          <w:sz w:val="18"/>
          <w:szCs w:val="18"/>
        </w:rPr>
        <w:t xml:space="preserve"> el Poder Ejecutivo no cuenta con Cuentas de Orden Contables.</w:t>
      </w:r>
    </w:p>
    <w:p w14:paraId="04630B0E" w14:textId="77777777" w:rsidR="00A35925" w:rsidRPr="0073056A" w:rsidRDefault="00A35925" w:rsidP="00A35925">
      <w:pPr>
        <w:tabs>
          <w:tab w:val="left" w:pos="284"/>
        </w:tabs>
        <w:ind w:left="284"/>
        <w:jc w:val="both"/>
        <w:rPr>
          <w:rFonts w:ascii="Arial" w:hAnsi="Arial" w:cs="Arial"/>
          <w:sz w:val="18"/>
          <w:szCs w:val="18"/>
        </w:rPr>
      </w:pPr>
    </w:p>
    <w:p w14:paraId="66ABD0BB" w14:textId="77777777" w:rsidR="00A35925" w:rsidRPr="0073056A" w:rsidRDefault="00A35925" w:rsidP="00A35925">
      <w:pPr>
        <w:tabs>
          <w:tab w:val="left" w:pos="284"/>
        </w:tabs>
        <w:ind w:left="284"/>
        <w:jc w:val="both"/>
        <w:rPr>
          <w:rFonts w:ascii="Arial" w:hAnsi="Arial" w:cs="Arial"/>
          <w:b/>
          <w:sz w:val="18"/>
          <w:szCs w:val="18"/>
        </w:rPr>
      </w:pPr>
      <w:r w:rsidRPr="002640DB">
        <w:rPr>
          <w:rFonts w:ascii="Arial" w:hAnsi="Arial" w:cs="Arial"/>
          <w:b/>
          <w:sz w:val="18"/>
          <w:szCs w:val="18"/>
        </w:rPr>
        <w:t>Cuentas de Orden Presupuestales</w:t>
      </w:r>
    </w:p>
    <w:p w14:paraId="68737C0F"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el Estado de Actividades del Gobierno del Estado presenta el Saldo del periodo de las Cuentas Presupuestales del Ingreso y del Egreso.</w:t>
      </w:r>
    </w:p>
    <w:p w14:paraId="316B3B65" w14:textId="77777777" w:rsidR="00A35925" w:rsidRDefault="00A35925" w:rsidP="00A35925">
      <w:pPr>
        <w:spacing w:after="0"/>
        <w:jc w:val="center"/>
        <w:rPr>
          <w:rFonts w:ascii="Arial" w:hAnsi="Arial" w:cs="Arial"/>
          <w:sz w:val="18"/>
          <w:szCs w:val="18"/>
        </w:rPr>
      </w:pPr>
    </w:p>
    <w:p w14:paraId="79D25366" w14:textId="77777777" w:rsidR="00A35925" w:rsidRDefault="00A35925" w:rsidP="00A35925">
      <w:pPr>
        <w:spacing w:after="0"/>
        <w:jc w:val="center"/>
        <w:rPr>
          <w:rFonts w:ascii="Arial" w:hAnsi="Arial" w:cs="Arial"/>
          <w:sz w:val="18"/>
          <w:szCs w:val="18"/>
        </w:rPr>
      </w:pPr>
    </w:p>
    <w:tbl>
      <w:tblPr>
        <w:tblW w:w="0" w:type="auto"/>
        <w:jc w:val="center"/>
        <w:tblLayout w:type="fixed"/>
        <w:tblLook w:val="0000" w:firstRow="0" w:lastRow="0" w:firstColumn="0" w:lastColumn="0" w:noHBand="0" w:noVBand="0"/>
      </w:tblPr>
      <w:tblGrid>
        <w:gridCol w:w="5570"/>
        <w:gridCol w:w="1743"/>
      </w:tblGrid>
      <w:tr w:rsidR="00A35925" w:rsidRPr="00450621" w14:paraId="7666B3F6" w14:textId="77777777" w:rsidTr="00D106A2">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4D67BB9" w14:textId="77777777" w:rsidR="00A35925" w:rsidRPr="00DA460F" w:rsidRDefault="00A35925" w:rsidP="00D106A2">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Cuentas de Orden Presupuestarias de Ingresos</w:t>
            </w:r>
          </w:p>
        </w:tc>
        <w:tc>
          <w:tcPr>
            <w:tcW w:w="1743" w:type="dxa"/>
            <w:tcBorders>
              <w:top w:val="single" w:sz="6" w:space="0" w:color="auto"/>
              <w:left w:val="single" w:sz="6" w:space="0" w:color="auto"/>
              <w:bottom w:val="single" w:sz="6" w:space="0" w:color="auto"/>
              <w:right w:val="single" w:sz="6" w:space="0" w:color="auto"/>
            </w:tcBorders>
          </w:tcPr>
          <w:p w14:paraId="035531DE" w14:textId="77777777" w:rsidR="00A35925" w:rsidRPr="00DA460F" w:rsidRDefault="00A35925" w:rsidP="00D106A2">
            <w:pPr>
              <w:spacing w:after="0" w:line="240" w:lineRule="exact"/>
              <w:mirrorIndents/>
              <w:jc w:val="center"/>
              <w:rPr>
                <w:rFonts w:ascii="Arial" w:eastAsia="Times New Roman" w:hAnsi="Arial" w:cs="Arial"/>
                <w:b/>
                <w:sz w:val="18"/>
                <w:szCs w:val="18"/>
                <w:lang w:eastAsia="es-ES"/>
              </w:rPr>
            </w:pPr>
          </w:p>
        </w:tc>
      </w:tr>
      <w:tr w:rsidR="00A35925" w:rsidRPr="00450621" w14:paraId="79BECF16" w14:textId="77777777" w:rsidTr="00D106A2">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5D12EBEA" w14:textId="77777777" w:rsidR="00A35925" w:rsidRPr="00DA460F" w:rsidRDefault="00A35925" w:rsidP="00D106A2">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743" w:type="dxa"/>
            <w:tcBorders>
              <w:top w:val="single" w:sz="6" w:space="0" w:color="auto"/>
              <w:left w:val="single" w:sz="6" w:space="0" w:color="auto"/>
              <w:bottom w:val="single" w:sz="6" w:space="0" w:color="auto"/>
              <w:right w:val="single" w:sz="6" w:space="0" w:color="auto"/>
            </w:tcBorders>
          </w:tcPr>
          <w:p w14:paraId="39F1510A" w14:textId="43302AF3" w:rsidR="00A35925" w:rsidRPr="00DA460F" w:rsidRDefault="00A35925" w:rsidP="00D106A2">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202</w:t>
            </w:r>
            <w:r w:rsidR="00C617E6">
              <w:rPr>
                <w:rFonts w:ascii="Arial" w:eastAsia="Times New Roman" w:hAnsi="Arial" w:cs="Arial"/>
                <w:b/>
                <w:sz w:val="18"/>
                <w:szCs w:val="18"/>
                <w:lang w:eastAsia="es-ES"/>
              </w:rPr>
              <w:t>6</w:t>
            </w:r>
          </w:p>
        </w:tc>
      </w:tr>
      <w:tr w:rsidR="00A35925" w:rsidRPr="00450621" w14:paraId="7EFB8B26" w14:textId="77777777" w:rsidTr="00D106A2">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81B72C2" w14:textId="77777777" w:rsidR="00A35925" w:rsidRPr="00450621" w:rsidRDefault="00A35925" w:rsidP="00D106A2">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Estimada</w:t>
            </w:r>
          </w:p>
        </w:tc>
        <w:tc>
          <w:tcPr>
            <w:tcW w:w="1743" w:type="dxa"/>
            <w:tcBorders>
              <w:top w:val="single" w:sz="6" w:space="0" w:color="auto"/>
              <w:left w:val="single" w:sz="6" w:space="0" w:color="auto"/>
              <w:bottom w:val="single" w:sz="6" w:space="0" w:color="auto"/>
              <w:right w:val="single" w:sz="6" w:space="0" w:color="auto"/>
            </w:tcBorders>
          </w:tcPr>
          <w:p w14:paraId="400E4861" w14:textId="306626B5" w:rsidR="00A35925" w:rsidRPr="00450621" w:rsidRDefault="005B1C97"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7,075,240,430</w:t>
            </w:r>
          </w:p>
        </w:tc>
      </w:tr>
      <w:tr w:rsidR="00A35925" w:rsidRPr="00450621" w14:paraId="6A89C310" w14:textId="77777777" w:rsidTr="00D106A2">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3162FD0" w14:textId="77777777" w:rsidR="00A35925" w:rsidRPr="00450621" w:rsidRDefault="00A35925" w:rsidP="00D106A2">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por Ejecutar</w:t>
            </w:r>
          </w:p>
        </w:tc>
        <w:tc>
          <w:tcPr>
            <w:tcW w:w="1743" w:type="dxa"/>
            <w:tcBorders>
              <w:top w:val="single" w:sz="6" w:space="0" w:color="auto"/>
              <w:left w:val="single" w:sz="6" w:space="0" w:color="auto"/>
              <w:bottom w:val="single" w:sz="6" w:space="0" w:color="auto"/>
              <w:right w:val="single" w:sz="6" w:space="0" w:color="auto"/>
            </w:tcBorders>
          </w:tcPr>
          <w:p w14:paraId="5534ED8B" w14:textId="77777777" w:rsidR="00A35925" w:rsidRPr="00450621" w:rsidRDefault="00A35925"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A35925" w:rsidRPr="00450621" w14:paraId="267D74B9" w14:textId="77777777" w:rsidTr="00D106A2">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420D2749" w14:textId="77777777" w:rsidR="00A35925" w:rsidRPr="00450621" w:rsidRDefault="00A35925" w:rsidP="00D106A2">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Modificaciones a la Ley de Ingresos Estimada</w:t>
            </w:r>
            <w:r w:rsidRPr="00450621">
              <w:rPr>
                <w:rFonts w:ascii="Arial" w:eastAsia="Times New Roman" w:hAnsi="Arial" w:cs="Arial"/>
                <w:sz w:val="18"/>
                <w:szCs w:val="18"/>
                <w:lang w:eastAsia="es-ES"/>
              </w:rPr>
              <w:t xml:space="preserve"> </w:t>
            </w:r>
          </w:p>
        </w:tc>
        <w:tc>
          <w:tcPr>
            <w:tcW w:w="1743" w:type="dxa"/>
            <w:tcBorders>
              <w:top w:val="single" w:sz="6" w:space="0" w:color="auto"/>
              <w:left w:val="single" w:sz="6" w:space="0" w:color="auto"/>
              <w:bottom w:val="single" w:sz="6" w:space="0" w:color="auto"/>
              <w:right w:val="single" w:sz="6" w:space="0" w:color="auto"/>
            </w:tcBorders>
          </w:tcPr>
          <w:p w14:paraId="0DA8F9A2" w14:textId="32CEB845" w:rsidR="00A35925" w:rsidRPr="00450621" w:rsidRDefault="00FF608A"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951,290,738</w:t>
            </w:r>
          </w:p>
        </w:tc>
      </w:tr>
      <w:tr w:rsidR="00A35925" w:rsidRPr="00450621" w14:paraId="354C96D7" w14:textId="77777777" w:rsidTr="00D106A2">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35F3B1E0" w14:textId="77777777" w:rsidR="00A35925" w:rsidRPr="00450621" w:rsidRDefault="00A35925" w:rsidP="00D106A2">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Devengada</w:t>
            </w:r>
          </w:p>
        </w:tc>
        <w:tc>
          <w:tcPr>
            <w:tcW w:w="1743" w:type="dxa"/>
            <w:tcBorders>
              <w:top w:val="single" w:sz="6" w:space="0" w:color="auto"/>
              <w:left w:val="single" w:sz="6" w:space="0" w:color="auto"/>
              <w:bottom w:val="single" w:sz="6" w:space="0" w:color="auto"/>
              <w:right w:val="single" w:sz="6" w:space="0" w:color="auto"/>
            </w:tcBorders>
          </w:tcPr>
          <w:p w14:paraId="60FBC1F4" w14:textId="77777777" w:rsidR="00A35925" w:rsidRPr="00450621" w:rsidRDefault="00A35925"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A35925" w:rsidRPr="00450621" w14:paraId="3D013292" w14:textId="77777777" w:rsidTr="00D106A2">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564390D8" w14:textId="77777777" w:rsidR="00A35925" w:rsidRPr="00450621" w:rsidRDefault="00A35925" w:rsidP="00D106A2">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Recaudada</w:t>
            </w:r>
          </w:p>
        </w:tc>
        <w:tc>
          <w:tcPr>
            <w:tcW w:w="1743" w:type="dxa"/>
            <w:tcBorders>
              <w:top w:val="single" w:sz="6" w:space="0" w:color="auto"/>
              <w:left w:val="single" w:sz="6" w:space="0" w:color="auto"/>
              <w:bottom w:val="single" w:sz="6" w:space="0" w:color="auto"/>
              <w:right w:val="single" w:sz="6" w:space="0" w:color="auto"/>
            </w:tcBorders>
          </w:tcPr>
          <w:p w14:paraId="79188708" w14:textId="7D44DC7C" w:rsidR="00A35925" w:rsidRPr="00450621" w:rsidRDefault="001A4FD0"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8,026,531,168</w:t>
            </w:r>
          </w:p>
        </w:tc>
      </w:tr>
    </w:tbl>
    <w:p w14:paraId="71FDDDD5" w14:textId="77777777" w:rsidR="00A35925" w:rsidRDefault="00A35925" w:rsidP="00A35925">
      <w:pPr>
        <w:spacing w:after="0"/>
        <w:jc w:val="center"/>
        <w:rPr>
          <w:rFonts w:ascii="Arial" w:hAnsi="Arial" w:cs="Arial"/>
          <w:sz w:val="18"/>
          <w:szCs w:val="18"/>
        </w:rPr>
      </w:pPr>
    </w:p>
    <w:p w14:paraId="33342991" w14:textId="77777777" w:rsidR="00A35925" w:rsidRDefault="00A35925" w:rsidP="00A35925">
      <w:pPr>
        <w:spacing w:after="0"/>
        <w:jc w:val="center"/>
        <w:rPr>
          <w:rFonts w:ascii="Arial" w:hAnsi="Arial" w:cs="Arial"/>
          <w:sz w:val="18"/>
          <w:szCs w:val="18"/>
        </w:rPr>
      </w:pPr>
    </w:p>
    <w:p w14:paraId="732B7CCF" w14:textId="77777777" w:rsidR="00A35925" w:rsidRDefault="00A35925" w:rsidP="00A35925">
      <w:pPr>
        <w:spacing w:after="0"/>
        <w:jc w:val="center"/>
        <w:rPr>
          <w:rFonts w:ascii="Arial" w:hAnsi="Arial" w:cs="Arial"/>
          <w:sz w:val="18"/>
          <w:szCs w:val="18"/>
        </w:rPr>
      </w:pPr>
    </w:p>
    <w:tbl>
      <w:tblPr>
        <w:tblW w:w="0" w:type="auto"/>
        <w:jc w:val="center"/>
        <w:tblLayout w:type="fixed"/>
        <w:tblLook w:val="0000" w:firstRow="0" w:lastRow="0" w:firstColumn="0" w:lastColumn="0" w:noHBand="0" w:noVBand="0"/>
      </w:tblPr>
      <w:tblGrid>
        <w:gridCol w:w="5570"/>
        <w:gridCol w:w="1743"/>
      </w:tblGrid>
      <w:tr w:rsidR="00A35925" w:rsidRPr="00450621" w14:paraId="75E543D7" w14:textId="77777777" w:rsidTr="00D106A2">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666008EF" w14:textId="77777777" w:rsidR="00A35925" w:rsidRPr="00DA460F" w:rsidRDefault="00A35925" w:rsidP="00D106A2">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Cuentas de Orden Presupuestarias de Egresos</w:t>
            </w:r>
          </w:p>
        </w:tc>
        <w:tc>
          <w:tcPr>
            <w:tcW w:w="1743" w:type="dxa"/>
            <w:tcBorders>
              <w:top w:val="single" w:sz="6" w:space="0" w:color="auto"/>
              <w:left w:val="single" w:sz="6" w:space="0" w:color="auto"/>
              <w:bottom w:val="single" w:sz="6" w:space="0" w:color="auto"/>
              <w:right w:val="single" w:sz="6" w:space="0" w:color="auto"/>
            </w:tcBorders>
          </w:tcPr>
          <w:p w14:paraId="0D439CDB" w14:textId="77777777" w:rsidR="00A35925" w:rsidRPr="00DA460F" w:rsidRDefault="00A35925" w:rsidP="00D106A2">
            <w:pPr>
              <w:spacing w:after="0" w:line="240" w:lineRule="exact"/>
              <w:mirrorIndents/>
              <w:jc w:val="center"/>
              <w:rPr>
                <w:rFonts w:ascii="Arial" w:eastAsia="Times New Roman" w:hAnsi="Arial" w:cs="Arial"/>
                <w:b/>
                <w:sz w:val="18"/>
                <w:szCs w:val="18"/>
                <w:lang w:eastAsia="es-ES"/>
              </w:rPr>
            </w:pPr>
          </w:p>
        </w:tc>
      </w:tr>
      <w:tr w:rsidR="00A35925" w:rsidRPr="00450621" w14:paraId="4436BB9E" w14:textId="77777777" w:rsidTr="00D106A2">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7768777A" w14:textId="77777777" w:rsidR="00A35925" w:rsidRPr="00DA460F" w:rsidRDefault="00A35925" w:rsidP="00D106A2">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743" w:type="dxa"/>
            <w:tcBorders>
              <w:top w:val="single" w:sz="6" w:space="0" w:color="auto"/>
              <w:left w:val="single" w:sz="6" w:space="0" w:color="auto"/>
              <w:bottom w:val="single" w:sz="6" w:space="0" w:color="auto"/>
              <w:right w:val="single" w:sz="6" w:space="0" w:color="auto"/>
            </w:tcBorders>
          </w:tcPr>
          <w:p w14:paraId="7DBC8491" w14:textId="6DB65F3C" w:rsidR="00A35925" w:rsidRPr="00DA460F" w:rsidRDefault="00A35925" w:rsidP="00D106A2">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w:t>
            </w:r>
            <w:r w:rsidR="0083068E">
              <w:rPr>
                <w:rFonts w:ascii="Arial" w:eastAsia="Times New Roman" w:hAnsi="Arial" w:cs="Arial"/>
                <w:b/>
                <w:sz w:val="18"/>
                <w:szCs w:val="18"/>
                <w:lang w:eastAsia="es-ES"/>
              </w:rPr>
              <w:t>6</w:t>
            </w:r>
          </w:p>
        </w:tc>
      </w:tr>
      <w:tr w:rsidR="00A35925" w:rsidRPr="00450621" w14:paraId="32451A5C" w14:textId="77777777" w:rsidTr="00D106A2">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02C86981" w14:textId="77777777" w:rsidR="00A35925" w:rsidRPr="00450621" w:rsidRDefault="00A35925" w:rsidP="00D106A2">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Aprobado</w:t>
            </w:r>
          </w:p>
        </w:tc>
        <w:tc>
          <w:tcPr>
            <w:tcW w:w="1743" w:type="dxa"/>
            <w:tcBorders>
              <w:top w:val="single" w:sz="6" w:space="0" w:color="auto"/>
              <w:left w:val="single" w:sz="6" w:space="0" w:color="auto"/>
              <w:bottom w:val="single" w:sz="6" w:space="0" w:color="auto"/>
              <w:right w:val="single" w:sz="6" w:space="0" w:color="auto"/>
            </w:tcBorders>
          </w:tcPr>
          <w:p w14:paraId="5D8429D1" w14:textId="706E31B9" w:rsidR="00A35925" w:rsidRPr="00450621" w:rsidRDefault="0014374F"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7,075,240,430</w:t>
            </w:r>
          </w:p>
        </w:tc>
      </w:tr>
      <w:tr w:rsidR="00A35925" w:rsidRPr="00450621" w14:paraId="2CC4C5D1" w14:textId="77777777" w:rsidTr="00D106A2">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0110754" w14:textId="77777777" w:rsidR="00A35925" w:rsidRPr="00450621" w:rsidRDefault="00A35925" w:rsidP="00D106A2">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por Ejercer</w:t>
            </w:r>
          </w:p>
        </w:tc>
        <w:tc>
          <w:tcPr>
            <w:tcW w:w="1743" w:type="dxa"/>
            <w:tcBorders>
              <w:top w:val="single" w:sz="6" w:space="0" w:color="auto"/>
              <w:left w:val="single" w:sz="6" w:space="0" w:color="auto"/>
              <w:bottom w:val="single" w:sz="6" w:space="0" w:color="auto"/>
              <w:right w:val="single" w:sz="6" w:space="0" w:color="auto"/>
            </w:tcBorders>
          </w:tcPr>
          <w:p w14:paraId="4852D511" w14:textId="55B6D63B" w:rsidR="00A35925" w:rsidRPr="00450621" w:rsidRDefault="0014374F"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1,234,722,955</w:t>
            </w:r>
          </w:p>
        </w:tc>
      </w:tr>
      <w:tr w:rsidR="00A35925" w:rsidRPr="00450621" w14:paraId="75073B6E" w14:textId="77777777" w:rsidTr="00D106A2">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3E5B832" w14:textId="77777777" w:rsidR="00A35925" w:rsidRPr="00450621" w:rsidRDefault="00A35925" w:rsidP="00D106A2">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Modificaciones al Presupuesto de Egresos Aprobado</w:t>
            </w:r>
            <w:r w:rsidRPr="00450621">
              <w:rPr>
                <w:rFonts w:ascii="Arial" w:eastAsia="Times New Roman" w:hAnsi="Arial" w:cs="Arial"/>
                <w:sz w:val="18"/>
                <w:szCs w:val="18"/>
                <w:lang w:eastAsia="es-ES"/>
              </w:rPr>
              <w:t xml:space="preserve"> </w:t>
            </w:r>
          </w:p>
        </w:tc>
        <w:tc>
          <w:tcPr>
            <w:tcW w:w="1743" w:type="dxa"/>
            <w:tcBorders>
              <w:top w:val="single" w:sz="6" w:space="0" w:color="auto"/>
              <w:left w:val="single" w:sz="6" w:space="0" w:color="auto"/>
              <w:bottom w:val="single" w:sz="6" w:space="0" w:color="auto"/>
              <w:right w:val="single" w:sz="6" w:space="0" w:color="auto"/>
            </w:tcBorders>
          </w:tcPr>
          <w:p w14:paraId="6ED824C3" w14:textId="5AF92D53" w:rsidR="00A35925" w:rsidRPr="00450621" w:rsidRDefault="0014374F"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951,290,738</w:t>
            </w:r>
          </w:p>
        </w:tc>
      </w:tr>
      <w:tr w:rsidR="00A35925" w:rsidRPr="00450621" w14:paraId="50889509" w14:textId="77777777" w:rsidTr="00D106A2">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317FEF10" w14:textId="77777777" w:rsidR="00A35925" w:rsidRPr="00450621" w:rsidRDefault="00A35925" w:rsidP="00D106A2">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Comprometido</w:t>
            </w:r>
          </w:p>
        </w:tc>
        <w:tc>
          <w:tcPr>
            <w:tcW w:w="1743" w:type="dxa"/>
            <w:tcBorders>
              <w:top w:val="single" w:sz="6" w:space="0" w:color="auto"/>
              <w:left w:val="single" w:sz="6" w:space="0" w:color="auto"/>
              <w:bottom w:val="single" w:sz="6" w:space="0" w:color="auto"/>
              <w:right w:val="single" w:sz="6" w:space="0" w:color="auto"/>
            </w:tcBorders>
          </w:tcPr>
          <w:p w14:paraId="1402F548" w14:textId="36226C3F" w:rsidR="00A35925" w:rsidRPr="00450621" w:rsidRDefault="00A47E82"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240,586,948</w:t>
            </w:r>
          </w:p>
        </w:tc>
      </w:tr>
      <w:tr w:rsidR="00A35925" w:rsidRPr="00450621" w14:paraId="5D6DF164" w14:textId="77777777" w:rsidTr="00D106A2">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2CA57DB" w14:textId="77777777" w:rsidR="00A35925" w:rsidRPr="00450621" w:rsidRDefault="00A35925" w:rsidP="00D106A2">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Devengado</w:t>
            </w:r>
          </w:p>
        </w:tc>
        <w:tc>
          <w:tcPr>
            <w:tcW w:w="1743" w:type="dxa"/>
            <w:tcBorders>
              <w:top w:val="single" w:sz="6" w:space="0" w:color="auto"/>
              <w:left w:val="single" w:sz="6" w:space="0" w:color="auto"/>
              <w:bottom w:val="single" w:sz="6" w:space="0" w:color="auto"/>
              <w:right w:val="single" w:sz="6" w:space="0" w:color="auto"/>
            </w:tcBorders>
          </w:tcPr>
          <w:p w14:paraId="47994161" w14:textId="77777777" w:rsidR="00A35925" w:rsidRPr="00450621" w:rsidRDefault="00A35925"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A35925" w:rsidRPr="00AD5155" w14:paraId="13717440" w14:textId="77777777" w:rsidTr="00D106A2">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5DD26A49" w14:textId="77777777" w:rsidR="00A35925" w:rsidRPr="00FF3187" w:rsidRDefault="00A35925" w:rsidP="00D106A2">
            <w:pPr>
              <w:spacing w:after="0" w:line="240" w:lineRule="exact"/>
              <w:mirrorIndents/>
              <w:rPr>
                <w:rFonts w:ascii="Arial" w:eastAsia="Times New Roman" w:hAnsi="Arial" w:cs="Arial"/>
                <w:sz w:val="18"/>
                <w:szCs w:val="18"/>
                <w:lang w:eastAsia="es-ES"/>
              </w:rPr>
            </w:pPr>
            <w:r w:rsidRPr="00FF3187">
              <w:rPr>
                <w:rFonts w:ascii="Arial" w:eastAsia="Times New Roman" w:hAnsi="Arial" w:cs="Arial"/>
                <w:sz w:val="18"/>
                <w:szCs w:val="18"/>
                <w:lang w:eastAsia="es-ES"/>
              </w:rPr>
              <w:t>Presupuesto de Egresos Ejercido</w:t>
            </w:r>
          </w:p>
        </w:tc>
        <w:tc>
          <w:tcPr>
            <w:tcW w:w="1743" w:type="dxa"/>
            <w:tcBorders>
              <w:top w:val="single" w:sz="6" w:space="0" w:color="auto"/>
              <w:left w:val="single" w:sz="6" w:space="0" w:color="auto"/>
              <w:bottom w:val="single" w:sz="6" w:space="0" w:color="auto"/>
              <w:right w:val="single" w:sz="6" w:space="0" w:color="auto"/>
            </w:tcBorders>
          </w:tcPr>
          <w:p w14:paraId="6C444E01" w14:textId="3619F444" w:rsidR="00A35925" w:rsidRPr="00AD5155" w:rsidRDefault="00A47E82"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1,950,</w:t>
            </w:r>
            <w:r w:rsidR="001C43B7">
              <w:rPr>
                <w:rFonts w:ascii="Arial" w:eastAsia="Times New Roman" w:hAnsi="Arial" w:cs="Arial"/>
                <w:sz w:val="18"/>
                <w:szCs w:val="18"/>
                <w:lang w:eastAsia="es-ES"/>
              </w:rPr>
              <w:t>869</w:t>
            </w:r>
          </w:p>
        </w:tc>
      </w:tr>
      <w:tr w:rsidR="00A35925" w:rsidRPr="00450621" w14:paraId="6A222BED" w14:textId="77777777" w:rsidTr="00D106A2">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028586B5" w14:textId="77777777" w:rsidR="00A35925" w:rsidRPr="00FF3187" w:rsidRDefault="00A35925" w:rsidP="00D106A2">
            <w:pPr>
              <w:spacing w:after="0" w:line="240" w:lineRule="exact"/>
              <w:mirrorIndents/>
              <w:rPr>
                <w:rFonts w:ascii="Arial" w:eastAsia="Times New Roman" w:hAnsi="Arial" w:cs="Arial"/>
                <w:sz w:val="18"/>
                <w:szCs w:val="18"/>
                <w:lang w:eastAsia="es-ES"/>
              </w:rPr>
            </w:pPr>
            <w:r>
              <w:rPr>
                <w:rFonts w:ascii="Arial" w:eastAsia="Times New Roman" w:hAnsi="Arial" w:cs="Arial"/>
                <w:sz w:val="18"/>
                <w:szCs w:val="18"/>
                <w:lang w:eastAsia="es-ES"/>
              </w:rPr>
              <w:t>Presupuesto de Egresos Pagado</w:t>
            </w:r>
          </w:p>
        </w:tc>
        <w:tc>
          <w:tcPr>
            <w:tcW w:w="1743" w:type="dxa"/>
            <w:tcBorders>
              <w:top w:val="single" w:sz="6" w:space="0" w:color="auto"/>
              <w:left w:val="single" w:sz="6" w:space="0" w:color="auto"/>
              <w:bottom w:val="single" w:sz="6" w:space="0" w:color="auto"/>
              <w:right w:val="single" w:sz="6" w:space="0" w:color="auto"/>
            </w:tcBorders>
          </w:tcPr>
          <w:p w14:paraId="578D7DDB" w14:textId="2EE7671F" w:rsidR="00A35925" w:rsidRPr="00AD5155" w:rsidRDefault="001C43B7"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6,549,220,396</w:t>
            </w:r>
          </w:p>
        </w:tc>
      </w:tr>
    </w:tbl>
    <w:p w14:paraId="3BFC0D1F" w14:textId="77777777" w:rsidR="00A35925" w:rsidRDefault="00A35925" w:rsidP="00A35925">
      <w:pPr>
        <w:spacing w:after="0"/>
        <w:jc w:val="center"/>
        <w:rPr>
          <w:rFonts w:ascii="Arial" w:hAnsi="Arial" w:cs="Arial"/>
          <w:sz w:val="18"/>
          <w:szCs w:val="18"/>
        </w:rPr>
      </w:pPr>
    </w:p>
    <w:p w14:paraId="4F9038ED" w14:textId="77777777" w:rsidR="00A35925" w:rsidRDefault="00A35925" w:rsidP="00A35925">
      <w:pPr>
        <w:spacing w:after="0"/>
        <w:jc w:val="center"/>
        <w:rPr>
          <w:rFonts w:ascii="Arial" w:hAnsi="Arial" w:cs="Arial"/>
          <w:sz w:val="18"/>
          <w:szCs w:val="18"/>
        </w:rPr>
      </w:pPr>
    </w:p>
    <w:p w14:paraId="43CFA52B" w14:textId="77777777" w:rsidR="004955E8" w:rsidRDefault="004955E8" w:rsidP="008C10B0">
      <w:pPr>
        <w:pStyle w:val="Texto"/>
        <w:tabs>
          <w:tab w:val="left" w:pos="284"/>
        </w:tabs>
        <w:spacing w:after="0" w:line="276" w:lineRule="auto"/>
        <w:ind w:left="284" w:firstLine="0"/>
        <w:jc w:val="center"/>
        <w:rPr>
          <w:b/>
          <w:szCs w:val="18"/>
          <w:lang w:val="es-MX"/>
        </w:rPr>
      </w:pPr>
    </w:p>
    <w:sectPr w:rsidR="004955E8" w:rsidSect="000209E1">
      <w:headerReference w:type="even" r:id="rId22"/>
      <w:headerReference w:type="default" r:id="rId23"/>
      <w:footerReference w:type="even" r:id="rId24"/>
      <w:footerReference w:type="default" r:id="rId25"/>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83293" w14:textId="77777777" w:rsidR="00886ABB" w:rsidRDefault="00886ABB" w:rsidP="00EA5418">
      <w:pPr>
        <w:spacing w:after="0" w:line="240" w:lineRule="auto"/>
      </w:pPr>
      <w:r>
        <w:separator/>
      </w:r>
    </w:p>
  </w:endnote>
  <w:endnote w:type="continuationSeparator" w:id="0">
    <w:p w14:paraId="375A17FB" w14:textId="77777777" w:rsidR="00886ABB" w:rsidRDefault="00886ABB"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DE62F" w14:textId="6A54ED55" w:rsidR="008736CF" w:rsidRPr="004E3EA4" w:rsidRDefault="008736CF"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37C911D3" wp14:editId="37BD90F6">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59E933"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F33647" w:rsidRPr="00F33647">
          <w:rPr>
            <w:rFonts w:ascii="Arial" w:hAnsi="Arial" w:cs="Arial"/>
            <w:noProof/>
            <w:sz w:val="20"/>
            <w:lang w:val="es-ES"/>
          </w:rPr>
          <w:t>42</w:t>
        </w:r>
        <w:r w:rsidRPr="004E3EA4">
          <w:rPr>
            <w:rFonts w:ascii="Arial" w:hAnsi="Arial" w:cs="Arial"/>
            <w:sz w:val="20"/>
          </w:rPr>
          <w:fldChar w:fldCharType="end"/>
        </w:r>
      </w:sdtContent>
    </w:sdt>
  </w:p>
  <w:p w14:paraId="62447935" w14:textId="77777777" w:rsidR="008736CF" w:rsidRDefault="008736C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A476C" w14:textId="6CA8CB72" w:rsidR="008736CF" w:rsidRPr="003527CD" w:rsidRDefault="008736CF"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14:anchorId="7E6F07E1" wp14:editId="048E2CC4">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85C0A1"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F33647" w:rsidRPr="00F33647">
          <w:rPr>
            <w:rFonts w:ascii="Arial" w:hAnsi="Arial" w:cs="Arial"/>
            <w:noProof/>
            <w:lang w:val="es-ES"/>
          </w:rPr>
          <w:t>43</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982A2" w14:textId="77777777" w:rsidR="00886ABB" w:rsidRDefault="00886ABB" w:rsidP="00EA5418">
      <w:pPr>
        <w:spacing w:after="0" w:line="240" w:lineRule="auto"/>
      </w:pPr>
      <w:r>
        <w:separator/>
      </w:r>
    </w:p>
  </w:footnote>
  <w:footnote w:type="continuationSeparator" w:id="0">
    <w:p w14:paraId="776BC6B8" w14:textId="77777777" w:rsidR="00886ABB" w:rsidRDefault="00886ABB"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078E5" w14:textId="77777777" w:rsidR="008736CF" w:rsidRDefault="008736CF"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FFE8DAB" wp14:editId="738DBE45">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AC06" w14:textId="77777777" w:rsidR="008736CF" w:rsidRDefault="008736C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8736CF" w:rsidRDefault="008736C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35C92" w14:textId="6E402CD3" w:rsidR="008736CF" w:rsidRPr="00DE4269" w:rsidRDefault="008736CF"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204466">
                              <w:rPr>
                                <w:rFonts w:ascii="Soberana Titular" w:hAnsi="Soberana Titular" w:cs="Arial"/>
                                <w:color w:val="808080" w:themeColor="background1" w:themeShade="80"/>
                                <w:sz w:val="42"/>
                                <w:szCs w:val="42"/>
                              </w:rPr>
                              <w:t>6</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FE8DA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o7q5W0t3kb7qAsceg5rgf2Yf2mfDf7W3wf07xx4TGof2HqkkscH2&#10;2HyZsxuUbK5OPmU96nmV+XqZSrU1UVJv3mm0urStd/K6+89Coooqj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39sbyyliVtpkQrk9sjFeL/APBPT9kq6/Yl/Zb0P4d3&#10;2tW/iC40ea5lN7Dbm3STzZmkxsLMRjdjrXt1FHmd1PMsRTwdTARf7upKEpKy1lBTUXfdWU5aLR31&#10;2QUUUUHC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fixvb+9R&#10;vb+9SY9qMe1Bm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B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714AC06" w14:textId="77777777" w:rsidR="008736CF" w:rsidRDefault="008736C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8736CF" w:rsidRDefault="008736C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635C92" w14:textId="6E402CD3" w:rsidR="008736CF" w:rsidRPr="00DE4269" w:rsidRDefault="008736CF"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204466">
                        <w:rPr>
                          <w:rFonts w:ascii="Soberana Titular" w:hAnsi="Soberana Titular" w:cs="Arial"/>
                          <w:color w:val="808080" w:themeColor="background1" w:themeShade="80"/>
                          <w:sz w:val="42"/>
                          <w:szCs w:val="42"/>
                        </w:rPr>
                        <w:t>6</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1FC96583" wp14:editId="0C482397">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48242A"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71BBA" w14:textId="77777777" w:rsidR="008736CF" w:rsidRPr="003527CD" w:rsidRDefault="008736CF"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468A18E5" wp14:editId="3AE9D625">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C2BF727"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40B7A"/>
    <w:multiLevelType w:val="hybridMultilevel"/>
    <w:tmpl w:val="C15C92AA"/>
    <w:lvl w:ilvl="0" w:tplc="D03410B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486F73"/>
    <w:multiLevelType w:val="hybridMultilevel"/>
    <w:tmpl w:val="9ECA56B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 w15:restartNumberingAfterBreak="0">
    <w:nsid w:val="1D481B71"/>
    <w:multiLevelType w:val="singleLevel"/>
    <w:tmpl w:val="C6D685E8"/>
    <w:lvl w:ilvl="0">
      <w:start w:val="1"/>
      <w:numFmt w:val="bullet"/>
      <w:pStyle w:val="bullet"/>
      <w:lvlText w:val=""/>
      <w:lvlJc w:val="left"/>
      <w:pPr>
        <w:tabs>
          <w:tab w:val="num" w:pos="360"/>
        </w:tabs>
        <w:ind w:left="360" w:hanging="360"/>
      </w:pPr>
      <w:rPr>
        <w:rFonts w:ascii="Symbol" w:hAnsi="Symbol" w:hint="default"/>
      </w:rPr>
    </w:lvl>
  </w:abstractNum>
  <w:abstractNum w:abstractNumId="3" w15:restartNumberingAfterBreak="0">
    <w:nsid w:val="1ED63995"/>
    <w:multiLevelType w:val="hybridMultilevel"/>
    <w:tmpl w:val="A0628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EB177B"/>
    <w:multiLevelType w:val="hybridMultilevel"/>
    <w:tmpl w:val="E716BD6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23104E84"/>
    <w:multiLevelType w:val="hybridMultilevel"/>
    <w:tmpl w:val="26BA2848"/>
    <w:lvl w:ilvl="0" w:tplc="FA344E96">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4461C3"/>
    <w:multiLevelType w:val="hybridMultilevel"/>
    <w:tmpl w:val="4C46A19E"/>
    <w:lvl w:ilvl="0" w:tplc="9984C976">
      <w:start w:val="1"/>
      <w:numFmt w:val="low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72E3181"/>
    <w:multiLevelType w:val="hybridMultilevel"/>
    <w:tmpl w:val="CD2A64F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67F73CFA"/>
    <w:multiLevelType w:val="hybridMultilevel"/>
    <w:tmpl w:val="7776821C"/>
    <w:lvl w:ilvl="0" w:tplc="4CBADEDE">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 w15:restartNumberingAfterBreak="0">
    <w:nsid w:val="6F461939"/>
    <w:multiLevelType w:val="hybridMultilevel"/>
    <w:tmpl w:val="46E07CB6"/>
    <w:lvl w:ilvl="0" w:tplc="C96A7B30">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711B6A8A"/>
    <w:multiLevelType w:val="hybridMultilevel"/>
    <w:tmpl w:val="21806CEE"/>
    <w:lvl w:ilvl="0" w:tplc="E2C42D0A">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 w15:restartNumberingAfterBreak="0">
    <w:nsid w:val="7BE0120A"/>
    <w:multiLevelType w:val="hybridMultilevel"/>
    <w:tmpl w:val="116E003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F8C6E12"/>
    <w:multiLevelType w:val="hybridMultilevel"/>
    <w:tmpl w:val="6D82A80A"/>
    <w:lvl w:ilvl="0" w:tplc="6EAE94C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1486619">
    <w:abstractNumId w:val="13"/>
  </w:num>
  <w:num w:numId="2" w16cid:durableId="1710297815">
    <w:abstractNumId w:val="2"/>
  </w:num>
  <w:num w:numId="3" w16cid:durableId="1173034807">
    <w:abstractNumId w:val="6"/>
  </w:num>
  <w:num w:numId="4" w16cid:durableId="13338028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46423500">
    <w:abstractNumId w:val="9"/>
  </w:num>
  <w:num w:numId="6" w16cid:durableId="1815832550">
    <w:abstractNumId w:val="5"/>
  </w:num>
  <w:num w:numId="7" w16cid:durableId="45301386">
    <w:abstractNumId w:val="12"/>
  </w:num>
  <w:num w:numId="8" w16cid:durableId="6012584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96153295">
    <w:abstractNumId w:val="11"/>
  </w:num>
  <w:num w:numId="10" w16cid:durableId="164176641">
    <w:abstractNumId w:val="3"/>
  </w:num>
  <w:num w:numId="11" w16cid:durableId="1293288286">
    <w:abstractNumId w:val="0"/>
  </w:num>
  <w:num w:numId="12" w16cid:durableId="1529295193">
    <w:abstractNumId w:val="14"/>
  </w:num>
  <w:num w:numId="13" w16cid:durableId="1607078597">
    <w:abstractNumId w:val="4"/>
  </w:num>
  <w:num w:numId="14" w16cid:durableId="176576630">
    <w:abstractNumId w:val="1"/>
  </w:num>
  <w:num w:numId="15" w16cid:durableId="2140419225">
    <w:abstractNumId w:val="8"/>
  </w:num>
  <w:num w:numId="16" w16cid:durableId="1121076654">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evenAndOddHeaders/>
  <w:characterSpacingControl w:val="doNotCompress"/>
  <w:hdrShapeDefaults>
    <o:shapedefaults v:ext="edit" spidmax="210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5FA8"/>
    <w:rsid w:val="00006217"/>
    <w:rsid w:val="00006EEE"/>
    <w:rsid w:val="0000712A"/>
    <w:rsid w:val="0001342E"/>
    <w:rsid w:val="00013AA1"/>
    <w:rsid w:val="000155BC"/>
    <w:rsid w:val="000164D8"/>
    <w:rsid w:val="000202A5"/>
    <w:rsid w:val="000209E1"/>
    <w:rsid w:val="00021787"/>
    <w:rsid w:val="000243C9"/>
    <w:rsid w:val="00025D5F"/>
    <w:rsid w:val="00026C0E"/>
    <w:rsid w:val="00026DF6"/>
    <w:rsid w:val="000271C8"/>
    <w:rsid w:val="00031160"/>
    <w:rsid w:val="00031DC4"/>
    <w:rsid w:val="00032921"/>
    <w:rsid w:val="00034632"/>
    <w:rsid w:val="00037045"/>
    <w:rsid w:val="00037A4C"/>
    <w:rsid w:val="00037E57"/>
    <w:rsid w:val="000401B4"/>
    <w:rsid w:val="00040466"/>
    <w:rsid w:val="00041356"/>
    <w:rsid w:val="0004135F"/>
    <w:rsid w:val="000417DA"/>
    <w:rsid w:val="000438F0"/>
    <w:rsid w:val="00043D1E"/>
    <w:rsid w:val="00043F64"/>
    <w:rsid w:val="0004567A"/>
    <w:rsid w:val="00045A10"/>
    <w:rsid w:val="0004641E"/>
    <w:rsid w:val="0004695D"/>
    <w:rsid w:val="00046A62"/>
    <w:rsid w:val="00046F70"/>
    <w:rsid w:val="000534C6"/>
    <w:rsid w:val="00053994"/>
    <w:rsid w:val="00054B07"/>
    <w:rsid w:val="00054C4D"/>
    <w:rsid w:val="00056BD6"/>
    <w:rsid w:val="00056EDF"/>
    <w:rsid w:val="000574E6"/>
    <w:rsid w:val="00057C1C"/>
    <w:rsid w:val="0006024D"/>
    <w:rsid w:val="00062509"/>
    <w:rsid w:val="00063159"/>
    <w:rsid w:val="000655E4"/>
    <w:rsid w:val="0006610A"/>
    <w:rsid w:val="0006650D"/>
    <w:rsid w:val="0006668A"/>
    <w:rsid w:val="000674ED"/>
    <w:rsid w:val="0006755E"/>
    <w:rsid w:val="00071309"/>
    <w:rsid w:val="00072BA1"/>
    <w:rsid w:val="00072C3F"/>
    <w:rsid w:val="00074247"/>
    <w:rsid w:val="00074536"/>
    <w:rsid w:val="0007519E"/>
    <w:rsid w:val="00075588"/>
    <w:rsid w:val="00076375"/>
    <w:rsid w:val="00076E1D"/>
    <w:rsid w:val="0007703D"/>
    <w:rsid w:val="00077A1F"/>
    <w:rsid w:val="0008099F"/>
    <w:rsid w:val="00080D6B"/>
    <w:rsid w:val="00083D85"/>
    <w:rsid w:val="00084D46"/>
    <w:rsid w:val="000872D9"/>
    <w:rsid w:val="00090FD9"/>
    <w:rsid w:val="00091435"/>
    <w:rsid w:val="000932FE"/>
    <w:rsid w:val="0009604B"/>
    <w:rsid w:val="00097255"/>
    <w:rsid w:val="000A00F8"/>
    <w:rsid w:val="000A0ACD"/>
    <w:rsid w:val="000A1DD4"/>
    <w:rsid w:val="000A30D1"/>
    <w:rsid w:val="000A4867"/>
    <w:rsid w:val="000A56CB"/>
    <w:rsid w:val="000A5776"/>
    <w:rsid w:val="000A58AB"/>
    <w:rsid w:val="000A7734"/>
    <w:rsid w:val="000A7AB8"/>
    <w:rsid w:val="000B0542"/>
    <w:rsid w:val="000B0742"/>
    <w:rsid w:val="000B3A2D"/>
    <w:rsid w:val="000B4C82"/>
    <w:rsid w:val="000B54AD"/>
    <w:rsid w:val="000B552D"/>
    <w:rsid w:val="000B5932"/>
    <w:rsid w:val="000B62E8"/>
    <w:rsid w:val="000B6DEA"/>
    <w:rsid w:val="000B6E5A"/>
    <w:rsid w:val="000C024C"/>
    <w:rsid w:val="000C11AF"/>
    <w:rsid w:val="000C3AF6"/>
    <w:rsid w:val="000C6BA6"/>
    <w:rsid w:val="000C6E95"/>
    <w:rsid w:val="000C7FBB"/>
    <w:rsid w:val="000D01E9"/>
    <w:rsid w:val="000D0EE3"/>
    <w:rsid w:val="000D2A43"/>
    <w:rsid w:val="000D2C1A"/>
    <w:rsid w:val="000D4AC1"/>
    <w:rsid w:val="000D4D45"/>
    <w:rsid w:val="000D553D"/>
    <w:rsid w:val="000D76D8"/>
    <w:rsid w:val="000E029D"/>
    <w:rsid w:val="000E0A96"/>
    <w:rsid w:val="000E10A7"/>
    <w:rsid w:val="000E4072"/>
    <w:rsid w:val="000E5C7A"/>
    <w:rsid w:val="000E5D7B"/>
    <w:rsid w:val="000E6692"/>
    <w:rsid w:val="000F0386"/>
    <w:rsid w:val="000F0E08"/>
    <w:rsid w:val="000F1B18"/>
    <w:rsid w:val="000F29BF"/>
    <w:rsid w:val="000F3BF5"/>
    <w:rsid w:val="000F5D5C"/>
    <w:rsid w:val="000F7AB4"/>
    <w:rsid w:val="001004E4"/>
    <w:rsid w:val="00100FD7"/>
    <w:rsid w:val="0010182C"/>
    <w:rsid w:val="001022A3"/>
    <w:rsid w:val="001049BA"/>
    <w:rsid w:val="00105410"/>
    <w:rsid w:val="001054F7"/>
    <w:rsid w:val="00111884"/>
    <w:rsid w:val="00112770"/>
    <w:rsid w:val="001130E9"/>
    <w:rsid w:val="001144E5"/>
    <w:rsid w:val="001146DF"/>
    <w:rsid w:val="00114FC2"/>
    <w:rsid w:val="001156F5"/>
    <w:rsid w:val="00115921"/>
    <w:rsid w:val="00115CB7"/>
    <w:rsid w:val="00115E5C"/>
    <w:rsid w:val="00115FAF"/>
    <w:rsid w:val="00117011"/>
    <w:rsid w:val="001177F7"/>
    <w:rsid w:val="00117F03"/>
    <w:rsid w:val="001203B5"/>
    <w:rsid w:val="00120A86"/>
    <w:rsid w:val="00120F4C"/>
    <w:rsid w:val="001210DD"/>
    <w:rsid w:val="00121842"/>
    <w:rsid w:val="00121982"/>
    <w:rsid w:val="00122C6A"/>
    <w:rsid w:val="00123461"/>
    <w:rsid w:val="001234D1"/>
    <w:rsid w:val="00125004"/>
    <w:rsid w:val="00125083"/>
    <w:rsid w:val="0013011C"/>
    <w:rsid w:val="00132D7B"/>
    <w:rsid w:val="001330F9"/>
    <w:rsid w:val="001340E0"/>
    <w:rsid w:val="00134F21"/>
    <w:rsid w:val="00136E7D"/>
    <w:rsid w:val="0013717A"/>
    <w:rsid w:val="00140F6D"/>
    <w:rsid w:val="001412D7"/>
    <w:rsid w:val="001418E7"/>
    <w:rsid w:val="00142035"/>
    <w:rsid w:val="001435CE"/>
    <w:rsid w:val="0014373E"/>
    <w:rsid w:val="0014374F"/>
    <w:rsid w:val="001443EA"/>
    <w:rsid w:val="00144576"/>
    <w:rsid w:val="00144A5D"/>
    <w:rsid w:val="0014540D"/>
    <w:rsid w:val="00146A7B"/>
    <w:rsid w:val="00147A3D"/>
    <w:rsid w:val="00151ACE"/>
    <w:rsid w:val="001528B7"/>
    <w:rsid w:val="00152AC4"/>
    <w:rsid w:val="001547B6"/>
    <w:rsid w:val="00155BEA"/>
    <w:rsid w:val="00155DFE"/>
    <w:rsid w:val="001562E4"/>
    <w:rsid w:val="001566C8"/>
    <w:rsid w:val="00160E16"/>
    <w:rsid w:val="00161865"/>
    <w:rsid w:val="0016242F"/>
    <w:rsid w:val="001635E1"/>
    <w:rsid w:val="00165BB4"/>
    <w:rsid w:val="00165E86"/>
    <w:rsid w:val="001660FE"/>
    <w:rsid w:val="00166BCE"/>
    <w:rsid w:val="00167E33"/>
    <w:rsid w:val="00171788"/>
    <w:rsid w:val="00172B7D"/>
    <w:rsid w:val="00174EA9"/>
    <w:rsid w:val="00174F47"/>
    <w:rsid w:val="001769D8"/>
    <w:rsid w:val="001778B1"/>
    <w:rsid w:val="0018009C"/>
    <w:rsid w:val="0018055B"/>
    <w:rsid w:val="001837A5"/>
    <w:rsid w:val="00184520"/>
    <w:rsid w:val="001854C3"/>
    <w:rsid w:val="00185609"/>
    <w:rsid w:val="0018603D"/>
    <w:rsid w:val="0018652F"/>
    <w:rsid w:val="001872A3"/>
    <w:rsid w:val="00191085"/>
    <w:rsid w:val="00191FC5"/>
    <w:rsid w:val="00192770"/>
    <w:rsid w:val="00192B86"/>
    <w:rsid w:val="00193B2D"/>
    <w:rsid w:val="0019433D"/>
    <w:rsid w:val="001946F1"/>
    <w:rsid w:val="001951AF"/>
    <w:rsid w:val="00196F22"/>
    <w:rsid w:val="001A26CD"/>
    <w:rsid w:val="001A3F6A"/>
    <w:rsid w:val="001A4DF9"/>
    <w:rsid w:val="001A4FD0"/>
    <w:rsid w:val="001A575F"/>
    <w:rsid w:val="001A6F4D"/>
    <w:rsid w:val="001A78A4"/>
    <w:rsid w:val="001B011B"/>
    <w:rsid w:val="001B0197"/>
    <w:rsid w:val="001B0C81"/>
    <w:rsid w:val="001B13BF"/>
    <w:rsid w:val="001B1478"/>
    <w:rsid w:val="001B1579"/>
    <w:rsid w:val="001B1B72"/>
    <w:rsid w:val="001B1BBF"/>
    <w:rsid w:val="001B2632"/>
    <w:rsid w:val="001B267D"/>
    <w:rsid w:val="001B378A"/>
    <w:rsid w:val="001B4EE5"/>
    <w:rsid w:val="001B51F1"/>
    <w:rsid w:val="001B6F95"/>
    <w:rsid w:val="001B7DDA"/>
    <w:rsid w:val="001C219E"/>
    <w:rsid w:val="001C2435"/>
    <w:rsid w:val="001C37DA"/>
    <w:rsid w:val="001C43B7"/>
    <w:rsid w:val="001C47EF"/>
    <w:rsid w:val="001C4842"/>
    <w:rsid w:val="001C48E8"/>
    <w:rsid w:val="001C4CB9"/>
    <w:rsid w:val="001C584E"/>
    <w:rsid w:val="001C654F"/>
    <w:rsid w:val="001C66C1"/>
    <w:rsid w:val="001C6C21"/>
    <w:rsid w:val="001C6FD8"/>
    <w:rsid w:val="001D0747"/>
    <w:rsid w:val="001D1569"/>
    <w:rsid w:val="001D163C"/>
    <w:rsid w:val="001D3572"/>
    <w:rsid w:val="001E2A65"/>
    <w:rsid w:val="001E3216"/>
    <w:rsid w:val="001E327A"/>
    <w:rsid w:val="001E32B6"/>
    <w:rsid w:val="001E46CF"/>
    <w:rsid w:val="001E62F4"/>
    <w:rsid w:val="001E6E42"/>
    <w:rsid w:val="001E7072"/>
    <w:rsid w:val="001F0A5E"/>
    <w:rsid w:val="001F0C04"/>
    <w:rsid w:val="001F18C1"/>
    <w:rsid w:val="001F2E68"/>
    <w:rsid w:val="001F3D67"/>
    <w:rsid w:val="001F4B7F"/>
    <w:rsid w:val="00200469"/>
    <w:rsid w:val="00201919"/>
    <w:rsid w:val="002023F6"/>
    <w:rsid w:val="002029FE"/>
    <w:rsid w:val="00202B11"/>
    <w:rsid w:val="00202C27"/>
    <w:rsid w:val="00203AC0"/>
    <w:rsid w:val="00203F37"/>
    <w:rsid w:val="00204466"/>
    <w:rsid w:val="00204C86"/>
    <w:rsid w:val="00204F06"/>
    <w:rsid w:val="0020657A"/>
    <w:rsid w:val="00206E09"/>
    <w:rsid w:val="00212203"/>
    <w:rsid w:val="00214F74"/>
    <w:rsid w:val="00215B92"/>
    <w:rsid w:val="0021687B"/>
    <w:rsid w:val="00221C53"/>
    <w:rsid w:val="00221DB1"/>
    <w:rsid w:val="0022227A"/>
    <w:rsid w:val="00222D09"/>
    <w:rsid w:val="00223CE1"/>
    <w:rsid w:val="0022440F"/>
    <w:rsid w:val="002253A0"/>
    <w:rsid w:val="00227B93"/>
    <w:rsid w:val="00230B71"/>
    <w:rsid w:val="00236748"/>
    <w:rsid w:val="002372CE"/>
    <w:rsid w:val="00241A60"/>
    <w:rsid w:val="00241DE4"/>
    <w:rsid w:val="002431DD"/>
    <w:rsid w:val="00243D91"/>
    <w:rsid w:val="002440E9"/>
    <w:rsid w:val="00244989"/>
    <w:rsid w:val="00244D40"/>
    <w:rsid w:val="00245E54"/>
    <w:rsid w:val="00247A5F"/>
    <w:rsid w:val="00247AD7"/>
    <w:rsid w:val="00250AC2"/>
    <w:rsid w:val="00251F0D"/>
    <w:rsid w:val="00254ED2"/>
    <w:rsid w:val="00255476"/>
    <w:rsid w:val="0025548F"/>
    <w:rsid w:val="0025735F"/>
    <w:rsid w:val="002615F9"/>
    <w:rsid w:val="00261B45"/>
    <w:rsid w:val="0026333F"/>
    <w:rsid w:val="002640DB"/>
    <w:rsid w:val="00264426"/>
    <w:rsid w:val="002705C0"/>
    <w:rsid w:val="00270EC8"/>
    <w:rsid w:val="002714C7"/>
    <w:rsid w:val="00272E20"/>
    <w:rsid w:val="00274353"/>
    <w:rsid w:val="002748C9"/>
    <w:rsid w:val="0027627B"/>
    <w:rsid w:val="002762F9"/>
    <w:rsid w:val="00276EE2"/>
    <w:rsid w:val="00280CD3"/>
    <w:rsid w:val="00280CDA"/>
    <w:rsid w:val="00282A5A"/>
    <w:rsid w:val="002858C7"/>
    <w:rsid w:val="00287C7B"/>
    <w:rsid w:val="00287D90"/>
    <w:rsid w:val="00290A24"/>
    <w:rsid w:val="00295D09"/>
    <w:rsid w:val="00295FCC"/>
    <w:rsid w:val="00297031"/>
    <w:rsid w:val="00297D52"/>
    <w:rsid w:val="002A15A9"/>
    <w:rsid w:val="002A1E5B"/>
    <w:rsid w:val="002A2013"/>
    <w:rsid w:val="002A379D"/>
    <w:rsid w:val="002A62AF"/>
    <w:rsid w:val="002A659C"/>
    <w:rsid w:val="002A70B3"/>
    <w:rsid w:val="002A728F"/>
    <w:rsid w:val="002A7396"/>
    <w:rsid w:val="002A7C42"/>
    <w:rsid w:val="002B0770"/>
    <w:rsid w:val="002B3186"/>
    <w:rsid w:val="002B32BF"/>
    <w:rsid w:val="002B44E6"/>
    <w:rsid w:val="002B4828"/>
    <w:rsid w:val="002B4C11"/>
    <w:rsid w:val="002B547F"/>
    <w:rsid w:val="002B7C62"/>
    <w:rsid w:val="002C060D"/>
    <w:rsid w:val="002C0A9F"/>
    <w:rsid w:val="002C0CB2"/>
    <w:rsid w:val="002C416F"/>
    <w:rsid w:val="002C479E"/>
    <w:rsid w:val="002C4A76"/>
    <w:rsid w:val="002C4C3C"/>
    <w:rsid w:val="002C4E19"/>
    <w:rsid w:val="002C55F6"/>
    <w:rsid w:val="002C5ACA"/>
    <w:rsid w:val="002D0278"/>
    <w:rsid w:val="002D22E8"/>
    <w:rsid w:val="002D2813"/>
    <w:rsid w:val="002D2BEE"/>
    <w:rsid w:val="002D3E68"/>
    <w:rsid w:val="002D48B0"/>
    <w:rsid w:val="002E1B6E"/>
    <w:rsid w:val="002E1F2D"/>
    <w:rsid w:val="002E3C2E"/>
    <w:rsid w:val="002E4A3B"/>
    <w:rsid w:val="002E52F9"/>
    <w:rsid w:val="002F3005"/>
    <w:rsid w:val="002F502D"/>
    <w:rsid w:val="002F546C"/>
    <w:rsid w:val="002F769E"/>
    <w:rsid w:val="002F7A06"/>
    <w:rsid w:val="002F7A48"/>
    <w:rsid w:val="00300EF3"/>
    <w:rsid w:val="00300F57"/>
    <w:rsid w:val="0030292A"/>
    <w:rsid w:val="00302E39"/>
    <w:rsid w:val="00303EA9"/>
    <w:rsid w:val="00304672"/>
    <w:rsid w:val="00310A44"/>
    <w:rsid w:val="00311228"/>
    <w:rsid w:val="00311255"/>
    <w:rsid w:val="00312040"/>
    <w:rsid w:val="003121C3"/>
    <w:rsid w:val="003147DC"/>
    <w:rsid w:val="003156F1"/>
    <w:rsid w:val="003162B8"/>
    <w:rsid w:val="003171B4"/>
    <w:rsid w:val="0032152C"/>
    <w:rsid w:val="0032384C"/>
    <w:rsid w:val="00323D16"/>
    <w:rsid w:val="00324311"/>
    <w:rsid w:val="00327048"/>
    <w:rsid w:val="00327701"/>
    <w:rsid w:val="00327740"/>
    <w:rsid w:val="00331185"/>
    <w:rsid w:val="00332091"/>
    <w:rsid w:val="0033398C"/>
    <w:rsid w:val="00333EF7"/>
    <w:rsid w:val="00334098"/>
    <w:rsid w:val="00336B8F"/>
    <w:rsid w:val="0033784D"/>
    <w:rsid w:val="00337CFD"/>
    <w:rsid w:val="00341678"/>
    <w:rsid w:val="00346328"/>
    <w:rsid w:val="003478FA"/>
    <w:rsid w:val="00347BC6"/>
    <w:rsid w:val="00351921"/>
    <w:rsid w:val="003527CD"/>
    <w:rsid w:val="003530FB"/>
    <w:rsid w:val="00354047"/>
    <w:rsid w:val="0035405F"/>
    <w:rsid w:val="0035468F"/>
    <w:rsid w:val="00355DA8"/>
    <w:rsid w:val="00355E3E"/>
    <w:rsid w:val="00356170"/>
    <w:rsid w:val="00357A70"/>
    <w:rsid w:val="003612CA"/>
    <w:rsid w:val="003613F5"/>
    <w:rsid w:val="00361477"/>
    <w:rsid w:val="00363494"/>
    <w:rsid w:val="003643BD"/>
    <w:rsid w:val="00365BA0"/>
    <w:rsid w:val="00370A73"/>
    <w:rsid w:val="00370FF6"/>
    <w:rsid w:val="00371E98"/>
    <w:rsid w:val="00372F40"/>
    <w:rsid w:val="00374952"/>
    <w:rsid w:val="00374E36"/>
    <w:rsid w:val="00375F89"/>
    <w:rsid w:val="00380E8C"/>
    <w:rsid w:val="00380EE2"/>
    <w:rsid w:val="003811EC"/>
    <w:rsid w:val="0038163E"/>
    <w:rsid w:val="00382E8F"/>
    <w:rsid w:val="00383BCB"/>
    <w:rsid w:val="0038423D"/>
    <w:rsid w:val="0038695F"/>
    <w:rsid w:val="00386D06"/>
    <w:rsid w:val="00386D2B"/>
    <w:rsid w:val="00386DD7"/>
    <w:rsid w:val="00386E53"/>
    <w:rsid w:val="003900E3"/>
    <w:rsid w:val="00390936"/>
    <w:rsid w:val="00390A9A"/>
    <w:rsid w:val="003926A7"/>
    <w:rsid w:val="00392742"/>
    <w:rsid w:val="00393281"/>
    <w:rsid w:val="00393659"/>
    <w:rsid w:val="00393A48"/>
    <w:rsid w:val="00394541"/>
    <w:rsid w:val="003951A0"/>
    <w:rsid w:val="00396C2B"/>
    <w:rsid w:val="00397076"/>
    <w:rsid w:val="003A0303"/>
    <w:rsid w:val="003A0641"/>
    <w:rsid w:val="003A072B"/>
    <w:rsid w:val="003A3004"/>
    <w:rsid w:val="003A3013"/>
    <w:rsid w:val="003A36B8"/>
    <w:rsid w:val="003A4518"/>
    <w:rsid w:val="003A614F"/>
    <w:rsid w:val="003A698E"/>
    <w:rsid w:val="003A6C39"/>
    <w:rsid w:val="003A731F"/>
    <w:rsid w:val="003A7ADE"/>
    <w:rsid w:val="003B1B0C"/>
    <w:rsid w:val="003B55DA"/>
    <w:rsid w:val="003B710A"/>
    <w:rsid w:val="003C0B34"/>
    <w:rsid w:val="003C1FC7"/>
    <w:rsid w:val="003C2589"/>
    <w:rsid w:val="003C35FE"/>
    <w:rsid w:val="003C3A42"/>
    <w:rsid w:val="003C3AC9"/>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4C9D"/>
    <w:rsid w:val="003E4FE7"/>
    <w:rsid w:val="003E63CA"/>
    <w:rsid w:val="003E667E"/>
    <w:rsid w:val="003E6BD8"/>
    <w:rsid w:val="003E7FD0"/>
    <w:rsid w:val="003F0340"/>
    <w:rsid w:val="003F0EA4"/>
    <w:rsid w:val="003F16E6"/>
    <w:rsid w:val="003F2A03"/>
    <w:rsid w:val="003F3486"/>
    <w:rsid w:val="003F4574"/>
    <w:rsid w:val="003F5C80"/>
    <w:rsid w:val="003F6942"/>
    <w:rsid w:val="003F6B56"/>
    <w:rsid w:val="003F7393"/>
    <w:rsid w:val="0040161A"/>
    <w:rsid w:val="00401774"/>
    <w:rsid w:val="00401A74"/>
    <w:rsid w:val="0040250D"/>
    <w:rsid w:val="0040301B"/>
    <w:rsid w:val="00403B4B"/>
    <w:rsid w:val="00404CB0"/>
    <w:rsid w:val="00405D09"/>
    <w:rsid w:val="0040746E"/>
    <w:rsid w:val="004076AC"/>
    <w:rsid w:val="0041065F"/>
    <w:rsid w:val="00411B83"/>
    <w:rsid w:val="004123CA"/>
    <w:rsid w:val="00412CB0"/>
    <w:rsid w:val="00412D28"/>
    <w:rsid w:val="00415099"/>
    <w:rsid w:val="00417051"/>
    <w:rsid w:val="00420208"/>
    <w:rsid w:val="00420656"/>
    <w:rsid w:val="004213BC"/>
    <w:rsid w:val="00423F99"/>
    <w:rsid w:val="00424251"/>
    <w:rsid w:val="0042486A"/>
    <w:rsid w:val="004306DA"/>
    <w:rsid w:val="004311BE"/>
    <w:rsid w:val="00432066"/>
    <w:rsid w:val="00435556"/>
    <w:rsid w:val="00435A64"/>
    <w:rsid w:val="004373B9"/>
    <w:rsid w:val="00437809"/>
    <w:rsid w:val="00441829"/>
    <w:rsid w:val="00441E7C"/>
    <w:rsid w:val="0044253C"/>
    <w:rsid w:val="00443925"/>
    <w:rsid w:val="004466A7"/>
    <w:rsid w:val="00447FD2"/>
    <w:rsid w:val="00451963"/>
    <w:rsid w:val="00451C8F"/>
    <w:rsid w:val="00452ECD"/>
    <w:rsid w:val="00454129"/>
    <w:rsid w:val="00454250"/>
    <w:rsid w:val="00454AE1"/>
    <w:rsid w:val="0046161E"/>
    <w:rsid w:val="00461C30"/>
    <w:rsid w:val="00462592"/>
    <w:rsid w:val="00463B0D"/>
    <w:rsid w:val="0046425D"/>
    <w:rsid w:val="00464409"/>
    <w:rsid w:val="004644D4"/>
    <w:rsid w:val="004649FD"/>
    <w:rsid w:val="00466C1E"/>
    <w:rsid w:val="0047083F"/>
    <w:rsid w:val="00470953"/>
    <w:rsid w:val="004709E4"/>
    <w:rsid w:val="004712F6"/>
    <w:rsid w:val="004714CF"/>
    <w:rsid w:val="00471984"/>
    <w:rsid w:val="004730F8"/>
    <w:rsid w:val="00474420"/>
    <w:rsid w:val="00480484"/>
    <w:rsid w:val="00480F7F"/>
    <w:rsid w:val="00482065"/>
    <w:rsid w:val="00482D09"/>
    <w:rsid w:val="00482E20"/>
    <w:rsid w:val="004833FD"/>
    <w:rsid w:val="0048365A"/>
    <w:rsid w:val="004842C3"/>
    <w:rsid w:val="00484C0D"/>
    <w:rsid w:val="00484E35"/>
    <w:rsid w:val="00487AC2"/>
    <w:rsid w:val="0049279C"/>
    <w:rsid w:val="00493E27"/>
    <w:rsid w:val="00494605"/>
    <w:rsid w:val="004955E8"/>
    <w:rsid w:val="00496633"/>
    <w:rsid w:val="00497566"/>
    <w:rsid w:val="00497D8B"/>
    <w:rsid w:val="004A07A5"/>
    <w:rsid w:val="004A47F5"/>
    <w:rsid w:val="004A56B0"/>
    <w:rsid w:val="004A5D92"/>
    <w:rsid w:val="004A67F1"/>
    <w:rsid w:val="004A6987"/>
    <w:rsid w:val="004A7484"/>
    <w:rsid w:val="004B04CF"/>
    <w:rsid w:val="004B1994"/>
    <w:rsid w:val="004B1F00"/>
    <w:rsid w:val="004B2344"/>
    <w:rsid w:val="004B263B"/>
    <w:rsid w:val="004B2861"/>
    <w:rsid w:val="004B35C6"/>
    <w:rsid w:val="004B5686"/>
    <w:rsid w:val="004C041A"/>
    <w:rsid w:val="004C0ECA"/>
    <w:rsid w:val="004C1616"/>
    <w:rsid w:val="004C187E"/>
    <w:rsid w:val="004C293C"/>
    <w:rsid w:val="004C3E6F"/>
    <w:rsid w:val="004C3F0D"/>
    <w:rsid w:val="004C4F16"/>
    <w:rsid w:val="004C5223"/>
    <w:rsid w:val="004C5E7B"/>
    <w:rsid w:val="004D0562"/>
    <w:rsid w:val="004D30E1"/>
    <w:rsid w:val="004D3E91"/>
    <w:rsid w:val="004D41B8"/>
    <w:rsid w:val="004D47D0"/>
    <w:rsid w:val="004D5BEA"/>
    <w:rsid w:val="004D6FA0"/>
    <w:rsid w:val="004E0191"/>
    <w:rsid w:val="004E1598"/>
    <w:rsid w:val="004E283B"/>
    <w:rsid w:val="004E2DD2"/>
    <w:rsid w:val="004E3EA4"/>
    <w:rsid w:val="004E4A13"/>
    <w:rsid w:val="004E6076"/>
    <w:rsid w:val="004F2C17"/>
    <w:rsid w:val="004F4FB2"/>
    <w:rsid w:val="004F53E3"/>
    <w:rsid w:val="004F542A"/>
    <w:rsid w:val="004F5641"/>
    <w:rsid w:val="004F5A19"/>
    <w:rsid w:val="004F5AA8"/>
    <w:rsid w:val="004F6EBD"/>
    <w:rsid w:val="005008D3"/>
    <w:rsid w:val="005012BF"/>
    <w:rsid w:val="0050183B"/>
    <w:rsid w:val="00502DDD"/>
    <w:rsid w:val="00503454"/>
    <w:rsid w:val="00505EE8"/>
    <w:rsid w:val="0051033F"/>
    <w:rsid w:val="00510B62"/>
    <w:rsid w:val="005111D4"/>
    <w:rsid w:val="00513054"/>
    <w:rsid w:val="00513508"/>
    <w:rsid w:val="00513E7E"/>
    <w:rsid w:val="00514E3F"/>
    <w:rsid w:val="00514F2B"/>
    <w:rsid w:val="00516599"/>
    <w:rsid w:val="00516B8D"/>
    <w:rsid w:val="0052034A"/>
    <w:rsid w:val="00520EA4"/>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3788F"/>
    <w:rsid w:val="00540418"/>
    <w:rsid w:val="00541FC2"/>
    <w:rsid w:val="0054218C"/>
    <w:rsid w:val="00543F6D"/>
    <w:rsid w:val="00543F97"/>
    <w:rsid w:val="00545527"/>
    <w:rsid w:val="00545F75"/>
    <w:rsid w:val="00545F9F"/>
    <w:rsid w:val="00546DBA"/>
    <w:rsid w:val="00550363"/>
    <w:rsid w:val="00551999"/>
    <w:rsid w:val="0055233A"/>
    <w:rsid w:val="005536C2"/>
    <w:rsid w:val="00553CB3"/>
    <w:rsid w:val="0055463A"/>
    <w:rsid w:val="00556D2F"/>
    <w:rsid w:val="00556DC7"/>
    <w:rsid w:val="0056081A"/>
    <w:rsid w:val="005620D4"/>
    <w:rsid w:val="005626DE"/>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26C"/>
    <w:rsid w:val="005774CE"/>
    <w:rsid w:val="00577617"/>
    <w:rsid w:val="0058098D"/>
    <w:rsid w:val="0058137B"/>
    <w:rsid w:val="00582B71"/>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A61A8"/>
    <w:rsid w:val="005B048C"/>
    <w:rsid w:val="005B0F75"/>
    <w:rsid w:val="005B1C69"/>
    <w:rsid w:val="005B1C97"/>
    <w:rsid w:val="005B33F8"/>
    <w:rsid w:val="005B3728"/>
    <w:rsid w:val="005B3AB4"/>
    <w:rsid w:val="005C02A4"/>
    <w:rsid w:val="005C0524"/>
    <w:rsid w:val="005C0DBF"/>
    <w:rsid w:val="005C0F25"/>
    <w:rsid w:val="005C1613"/>
    <w:rsid w:val="005C1E73"/>
    <w:rsid w:val="005C2562"/>
    <w:rsid w:val="005C36E3"/>
    <w:rsid w:val="005C4BC3"/>
    <w:rsid w:val="005C58B3"/>
    <w:rsid w:val="005D0D10"/>
    <w:rsid w:val="005D1457"/>
    <w:rsid w:val="005D296A"/>
    <w:rsid w:val="005D2D11"/>
    <w:rsid w:val="005D316B"/>
    <w:rsid w:val="005D3D25"/>
    <w:rsid w:val="005D413E"/>
    <w:rsid w:val="005D5223"/>
    <w:rsid w:val="005D568E"/>
    <w:rsid w:val="005D67E1"/>
    <w:rsid w:val="005E07B4"/>
    <w:rsid w:val="005E162B"/>
    <w:rsid w:val="005E39FD"/>
    <w:rsid w:val="005E68A5"/>
    <w:rsid w:val="005E7914"/>
    <w:rsid w:val="005E7AE6"/>
    <w:rsid w:val="005F004B"/>
    <w:rsid w:val="005F0A69"/>
    <w:rsid w:val="005F253A"/>
    <w:rsid w:val="005F3B9E"/>
    <w:rsid w:val="005F4F77"/>
    <w:rsid w:val="005F52B3"/>
    <w:rsid w:val="005F5707"/>
    <w:rsid w:val="005F59E4"/>
    <w:rsid w:val="005F7D1B"/>
    <w:rsid w:val="00600110"/>
    <w:rsid w:val="00600878"/>
    <w:rsid w:val="00601D73"/>
    <w:rsid w:val="006026CF"/>
    <w:rsid w:val="00602CD5"/>
    <w:rsid w:val="00602E51"/>
    <w:rsid w:val="00603BFE"/>
    <w:rsid w:val="006049C8"/>
    <w:rsid w:val="00604DCC"/>
    <w:rsid w:val="00604EB6"/>
    <w:rsid w:val="00605027"/>
    <w:rsid w:val="0060512E"/>
    <w:rsid w:val="0060657D"/>
    <w:rsid w:val="006071BA"/>
    <w:rsid w:val="00611119"/>
    <w:rsid w:val="00611984"/>
    <w:rsid w:val="00612203"/>
    <w:rsid w:val="00612216"/>
    <w:rsid w:val="006132FB"/>
    <w:rsid w:val="006141F9"/>
    <w:rsid w:val="006145BC"/>
    <w:rsid w:val="0061493C"/>
    <w:rsid w:val="00617C78"/>
    <w:rsid w:val="00622823"/>
    <w:rsid w:val="00623ACB"/>
    <w:rsid w:val="006247D5"/>
    <w:rsid w:val="006253D1"/>
    <w:rsid w:val="006258DA"/>
    <w:rsid w:val="0063046D"/>
    <w:rsid w:val="00631AAA"/>
    <w:rsid w:val="00632109"/>
    <w:rsid w:val="00632BBE"/>
    <w:rsid w:val="00632C87"/>
    <w:rsid w:val="00632C8F"/>
    <w:rsid w:val="006331B3"/>
    <w:rsid w:val="0063488B"/>
    <w:rsid w:val="006356AA"/>
    <w:rsid w:val="00637A48"/>
    <w:rsid w:val="00637C9C"/>
    <w:rsid w:val="0064044A"/>
    <w:rsid w:val="006429DB"/>
    <w:rsid w:val="0064409F"/>
    <w:rsid w:val="006441E4"/>
    <w:rsid w:val="006443DF"/>
    <w:rsid w:val="00645997"/>
    <w:rsid w:val="00646603"/>
    <w:rsid w:val="00650760"/>
    <w:rsid w:val="006519BC"/>
    <w:rsid w:val="00651FB7"/>
    <w:rsid w:val="006537A5"/>
    <w:rsid w:val="00653A66"/>
    <w:rsid w:val="0065446E"/>
    <w:rsid w:val="00654B92"/>
    <w:rsid w:val="0065525F"/>
    <w:rsid w:val="00655EB2"/>
    <w:rsid w:val="0065683D"/>
    <w:rsid w:val="00660015"/>
    <w:rsid w:val="00661352"/>
    <w:rsid w:val="006619E0"/>
    <w:rsid w:val="00661A17"/>
    <w:rsid w:val="0066322D"/>
    <w:rsid w:val="00663540"/>
    <w:rsid w:val="006653EB"/>
    <w:rsid w:val="00667535"/>
    <w:rsid w:val="00672D27"/>
    <w:rsid w:val="00673C62"/>
    <w:rsid w:val="0067443A"/>
    <w:rsid w:val="0067489E"/>
    <w:rsid w:val="00675B86"/>
    <w:rsid w:val="00676142"/>
    <w:rsid w:val="00677384"/>
    <w:rsid w:val="006774BF"/>
    <w:rsid w:val="00677FBF"/>
    <w:rsid w:val="006822AA"/>
    <w:rsid w:val="006900AA"/>
    <w:rsid w:val="0069052B"/>
    <w:rsid w:val="00693B49"/>
    <w:rsid w:val="006942ED"/>
    <w:rsid w:val="006944EF"/>
    <w:rsid w:val="00694E36"/>
    <w:rsid w:val="006952D9"/>
    <w:rsid w:val="006966D2"/>
    <w:rsid w:val="00696722"/>
    <w:rsid w:val="00696AA9"/>
    <w:rsid w:val="006A04E9"/>
    <w:rsid w:val="006A27AB"/>
    <w:rsid w:val="006A289F"/>
    <w:rsid w:val="006A291D"/>
    <w:rsid w:val="006A33FB"/>
    <w:rsid w:val="006A5819"/>
    <w:rsid w:val="006A7D6D"/>
    <w:rsid w:val="006B0321"/>
    <w:rsid w:val="006B1FE7"/>
    <w:rsid w:val="006B4558"/>
    <w:rsid w:val="006B4727"/>
    <w:rsid w:val="006B48DC"/>
    <w:rsid w:val="006B72E6"/>
    <w:rsid w:val="006C1B54"/>
    <w:rsid w:val="006C2C92"/>
    <w:rsid w:val="006C3CF4"/>
    <w:rsid w:val="006C4213"/>
    <w:rsid w:val="006C54B8"/>
    <w:rsid w:val="006C5BA2"/>
    <w:rsid w:val="006C7E6F"/>
    <w:rsid w:val="006D1933"/>
    <w:rsid w:val="006D1AE9"/>
    <w:rsid w:val="006D2166"/>
    <w:rsid w:val="006D3DF1"/>
    <w:rsid w:val="006D5097"/>
    <w:rsid w:val="006D5AC5"/>
    <w:rsid w:val="006D7739"/>
    <w:rsid w:val="006E02F0"/>
    <w:rsid w:val="006E1BD2"/>
    <w:rsid w:val="006E2D9E"/>
    <w:rsid w:val="006E6103"/>
    <w:rsid w:val="006E77DD"/>
    <w:rsid w:val="006E78A6"/>
    <w:rsid w:val="006E7F02"/>
    <w:rsid w:val="006F0A08"/>
    <w:rsid w:val="006F0CCF"/>
    <w:rsid w:val="006F2058"/>
    <w:rsid w:val="006F23B1"/>
    <w:rsid w:val="006F276A"/>
    <w:rsid w:val="006F288E"/>
    <w:rsid w:val="006F2F5C"/>
    <w:rsid w:val="006F4379"/>
    <w:rsid w:val="006F4C3C"/>
    <w:rsid w:val="006F5412"/>
    <w:rsid w:val="006F6AC2"/>
    <w:rsid w:val="006F74DC"/>
    <w:rsid w:val="006F7D8A"/>
    <w:rsid w:val="007004C7"/>
    <w:rsid w:val="0070074D"/>
    <w:rsid w:val="00702079"/>
    <w:rsid w:val="007025F4"/>
    <w:rsid w:val="00702A1A"/>
    <w:rsid w:val="00703446"/>
    <w:rsid w:val="0070431B"/>
    <w:rsid w:val="007058F3"/>
    <w:rsid w:val="007065F4"/>
    <w:rsid w:val="00707693"/>
    <w:rsid w:val="007103D4"/>
    <w:rsid w:val="0071190A"/>
    <w:rsid w:val="007149DA"/>
    <w:rsid w:val="007156AF"/>
    <w:rsid w:val="0071637A"/>
    <w:rsid w:val="00720256"/>
    <w:rsid w:val="00721EA3"/>
    <w:rsid w:val="0072758C"/>
    <w:rsid w:val="00727769"/>
    <w:rsid w:val="007277F5"/>
    <w:rsid w:val="0073056A"/>
    <w:rsid w:val="00730FA6"/>
    <w:rsid w:val="00731442"/>
    <w:rsid w:val="00731487"/>
    <w:rsid w:val="007314A9"/>
    <w:rsid w:val="00731CA2"/>
    <w:rsid w:val="00732B8A"/>
    <w:rsid w:val="00732D19"/>
    <w:rsid w:val="00734272"/>
    <w:rsid w:val="0073556E"/>
    <w:rsid w:val="0073581C"/>
    <w:rsid w:val="00736F40"/>
    <w:rsid w:val="007375D6"/>
    <w:rsid w:val="007420CD"/>
    <w:rsid w:val="00742C34"/>
    <w:rsid w:val="007439D3"/>
    <w:rsid w:val="00743BF7"/>
    <w:rsid w:val="0074488D"/>
    <w:rsid w:val="0075037E"/>
    <w:rsid w:val="00750AF2"/>
    <w:rsid w:val="00751158"/>
    <w:rsid w:val="00752AC8"/>
    <w:rsid w:val="00753BE8"/>
    <w:rsid w:val="00754388"/>
    <w:rsid w:val="00755CE2"/>
    <w:rsid w:val="00757C3E"/>
    <w:rsid w:val="00757C47"/>
    <w:rsid w:val="007615D9"/>
    <w:rsid w:val="00762268"/>
    <w:rsid w:val="00762F48"/>
    <w:rsid w:val="00764D64"/>
    <w:rsid w:val="007655CF"/>
    <w:rsid w:val="00770054"/>
    <w:rsid w:val="007723AF"/>
    <w:rsid w:val="00773003"/>
    <w:rsid w:val="00773067"/>
    <w:rsid w:val="007737F2"/>
    <w:rsid w:val="00773936"/>
    <w:rsid w:val="00773A43"/>
    <w:rsid w:val="00773EBC"/>
    <w:rsid w:val="00774FD3"/>
    <w:rsid w:val="007769DF"/>
    <w:rsid w:val="00776BBF"/>
    <w:rsid w:val="00777069"/>
    <w:rsid w:val="00777439"/>
    <w:rsid w:val="00777526"/>
    <w:rsid w:val="0078137F"/>
    <w:rsid w:val="007818C3"/>
    <w:rsid w:val="007822B4"/>
    <w:rsid w:val="00782722"/>
    <w:rsid w:val="00782910"/>
    <w:rsid w:val="00786193"/>
    <w:rsid w:val="007909DA"/>
    <w:rsid w:val="00790B78"/>
    <w:rsid w:val="0079158C"/>
    <w:rsid w:val="00794967"/>
    <w:rsid w:val="0079582C"/>
    <w:rsid w:val="00796CB0"/>
    <w:rsid w:val="007972C6"/>
    <w:rsid w:val="00797ABB"/>
    <w:rsid w:val="007A1F12"/>
    <w:rsid w:val="007A327C"/>
    <w:rsid w:val="007A3544"/>
    <w:rsid w:val="007A40B0"/>
    <w:rsid w:val="007A799B"/>
    <w:rsid w:val="007B0AA3"/>
    <w:rsid w:val="007B2FE4"/>
    <w:rsid w:val="007B36E3"/>
    <w:rsid w:val="007B3742"/>
    <w:rsid w:val="007B3E3B"/>
    <w:rsid w:val="007B4793"/>
    <w:rsid w:val="007B62F9"/>
    <w:rsid w:val="007B6BF7"/>
    <w:rsid w:val="007B72F6"/>
    <w:rsid w:val="007B7847"/>
    <w:rsid w:val="007C12A7"/>
    <w:rsid w:val="007C1CF4"/>
    <w:rsid w:val="007C2F93"/>
    <w:rsid w:val="007C3EA6"/>
    <w:rsid w:val="007C50FB"/>
    <w:rsid w:val="007C5177"/>
    <w:rsid w:val="007C5324"/>
    <w:rsid w:val="007C590E"/>
    <w:rsid w:val="007C7BD7"/>
    <w:rsid w:val="007D1332"/>
    <w:rsid w:val="007D1805"/>
    <w:rsid w:val="007D3166"/>
    <w:rsid w:val="007D4702"/>
    <w:rsid w:val="007D59DE"/>
    <w:rsid w:val="007D6C18"/>
    <w:rsid w:val="007D6E9A"/>
    <w:rsid w:val="007D78B3"/>
    <w:rsid w:val="007D7D18"/>
    <w:rsid w:val="007E4229"/>
    <w:rsid w:val="007E5962"/>
    <w:rsid w:val="007E6739"/>
    <w:rsid w:val="007E7450"/>
    <w:rsid w:val="007E7A7E"/>
    <w:rsid w:val="007F00B0"/>
    <w:rsid w:val="007F4F8F"/>
    <w:rsid w:val="007F538E"/>
    <w:rsid w:val="007F5F1B"/>
    <w:rsid w:val="007F6AFD"/>
    <w:rsid w:val="007F79BD"/>
    <w:rsid w:val="00800925"/>
    <w:rsid w:val="00800EC0"/>
    <w:rsid w:val="00802736"/>
    <w:rsid w:val="00802877"/>
    <w:rsid w:val="00802B2A"/>
    <w:rsid w:val="008051AC"/>
    <w:rsid w:val="00805D8D"/>
    <w:rsid w:val="00807FF7"/>
    <w:rsid w:val="0081033E"/>
    <w:rsid w:val="00810D49"/>
    <w:rsid w:val="008113C8"/>
    <w:rsid w:val="00811DAC"/>
    <w:rsid w:val="008135D2"/>
    <w:rsid w:val="00815563"/>
    <w:rsid w:val="00815BB8"/>
    <w:rsid w:val="0081668A"/>
    <w:rsid w:val="008167D5"/>
    <w:rsid w:val="008168EE"/>
    <w:rsid w:val="00817DFF"/>
    <w:rsid w:val="00820352"/>
    <w:rsid w:val="00820794"/>
    <w:rsid w:val="00820C71"/>
    <w:rsid w:val="00820DB7"/>
    <w:rsid w:val="00822CD5"/>
    <w:rsid w:val="00823256"/>
    <w:rsid w:val="00823500"/>
    <w:rsid w:val="0082393E"/>
    <w:rsid w:val="00823C0C"/>
    <w:rsid w:val="008263C1"/>
    <w:rsid w:val="00826474"/>
    <w:rsid w:val="008276B2"/>
    <w:rsid w:val="00830523"/>
    <w:rsid w:val="0083068E"/>
    <w:rsid w:val="0083223B"/>
    <w:rsid w:val="00832955"/>
    <w:rsid w:val="00832F7A"/>
    <w:rsid w:val="0083335C"/>
    <w:rsid w:val="00833657"/>
    <w:rsid w:val="008357E8"/>
    <w:rsid w:val="00840ED5"/>
    <w:rsid w:val="00842716"/>
    <w:rsid w:val="00842AD5"/>
    <w:rsid w:val="00844CF2"/>
    <w:rsid w:val="00845952"/>
    <w:rsid w:val="008459E1"/>
    <w:rsid w:val="00845EF6"/>
    <w:rsid w:val="00846C3D"/>
    <w:rsid w:val="008470C4"/>
    <w:rsid w:val="0084770A"/>
    <w:rsid w:val="008478AC"/>
    <w:rsid w:val="00850642"/>
    <w:rsid w:val="008516F3"/>
    <w:rsid w:val="008539DF"/>
    <w:rsid w:val="00856CDA"/>
    <w:rsid w:val="008573E2"/>
    <w:rsid w:val="00861456"/>
    <w:rsid w:val="008620F6"/>
    <w:rsid w:val="008624D8"/>
    <w:rsid w:val="008630BA"/>
    <w:rsid w:val="0086433A"/>
    <w:rsid w:val="008643A9"/>
    <w:rsid w:val="00864C50"/>
    <w:rsid w:val="00864FE6"/>
    <w:rsid w:val="008655F4"/>
    <w:rsid w:val="008659FD"/>
    <w:rsid w:val="00866F4E"/>
    <w:rsid w:val="00870F4E"/>
    <w:rsid w:val="00872C30"/>
    <w:rsid w:val="008736CF"/>
    <w:rsid w:val="00873BBE"/>
    <w:rsid w:val="008742BD"/>
    <w:rsid w:val="00874341"/>
    <w:rsid w:val="0087478F"/>
    <w:rsid w:val="00875144"/>
    <w:rsid w:val="00876082"/>
    <w:rsid w:val="0087691B"/>
    <w:rsid w:val="00877F8A"/>
    <w:rsid w:val="008805C8"/>
    <w:rsid w:val="00881BEF"/>
    <w:rsid w:val="008838EF"/>
    <w:rsid w:val="00883D58"/>
    <w:rsid w:val="00885671"/>
    <w:rsid w:val="00885AD1"/>
    <w:rsid w:val="00886319"/>
    <w:rsid w:val="00886ABB"/>
    <w:rsid w:val="0089054E"/>
    <w:rsid w:val="0089088D"/>
    <w:rsid w:val="00891820"/>
    <w:rsid w:val="00892C87"/>
    <w:rsid w:val="00894C50"/>
    <w:rsid w:val="00894DC8"/>
    <w:rsid w:val="00895784"/>
    <w:rsid w:val="00895EF7"/>
    <w:rsid w:val="008963AC"/>
    <w:rsid w:val="008966AD"/>
    <w:rsid w:val="008969D8"/>
    <w:rsid w:val="00897AB8"/>
    <w:rsid w:val="00897BFB"/>
    <w:rsid w:val="008A1478"/>
    <w:rsid w:val="008A15AF"/>
    <w:rsid w:val="008A16E6"/>
    <w:rsid w:val="008A1B6F"/>
    <w:rsid w:val="008A338A"/>
    <w:rsid w:val="008A4453"/>
    <w:rsid w:val="008A44D6"/>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B653C"/>
    <w:rsid w:val="008B69A1"/>
    <w:rsid w:val="008C0B84"/>
    <w:rsid w:val="008C10B0"/>
    <w:rsid w:val="008C1333"/>
    <w:rsid w:val="008C155F"/>
    <w:rsid w:val="008C2121"/>
    <w:rsid w:val="008C467A"/>
    <w:rsid w:val="008C568D"/>
    <w:rsid w:val="008C59B6"/>
    <w:rsid w:val="008D0B37"/>
    <w:rsid w:val="008D2788"/>
    <w:rsid w:val="008D29F8"/>
    <w:rsid w:val="008D64D4"/>
    <w:rsid w:val="008D7129"/>
    <w:rsid w:val="008D7680"/>
    <w:rsid w:val="008E12FF"/>
    <w:rsid w:val="008E3652"/>
    <w:rsid w:val="008E3672"/>
    <w:rsid w:val="008E49AB"/>
    <w:rsid w:val="008E5316"/>
    <w:rsid w:val="008F056B"/>
    <w:rsid w:val="008F0CF5"/>
    <w:rsid w:val="008F164F"/>
    <w:rsid w:val="008F235D"/>
    <w:rsid w:val="008F45AC"/>
    <w:rsid w:val="008F4733"/>
    <w:rsid w:val="008F4E5A"/>
    <w:rsid w:val="008F4EF3"/>
    <w:rsid w:val="008F5430"/>
    <w:rsid w:val="008F5933"/>
    <w:rsid w:val="008F5C9C"/>
    <w:rsid w:val="008F6D58"/>
    <w:rsid w:val="008F6EFE"/>
    <w:rsid w:val="008F708E"/>
    <w:rsid w:val="0090039A"/>
    <w:rsid w:val="00902118"/>
    <w:rsid w:val="00903CC7"/>
    <w:rsid w:val="00905BF0"/>
    <w:rsid w:val="00905E8B"/>
    <w:rsid w:val="00906016"/>
    <w:rsid w:val="00907C20"/>
    <w:rsid w:val="00910949"/>
    <w:rsid w:val="0091195E"/>
    <w:rsid w:val="00913164"/>
    <w:rsid w:val="0091394B"/>
    <w:rsid w:val="0091566D"/>
    <w:rsid w:val="009159E2"/>
    <w:rsid w:val="0091612C"/>
    <w:rsid w:val="00916652"/>
    <w:rsid w:val="00917A1B"/>
    <w:rsid w:val="00917AC1"/>
    <w:rsid w:val="00917FE3"/>
    <w:rsid w:val="00920870"/>
    <w:rsid w:val="00921AE0"/>
    <w:rsid w:val="00922515"/>
    <w:rsid w:val="00923251"/>
    <w:rsid w:val="00923D9A"/>
    <w:rsid w:val="009244C1"/>
    <w:rsid w:val="0092487E"/>
    <w:rsid w:val="0092553A"/>
    <w:rsid w:val="00925A1C"/>
    <w:rsid w:val="00927BA4"/>
    <w:rsid w:val="009301F2"/>
    <w:rsid w:val="00932300"/>
    <w:rsid w:val="0093492C"/>
    <w:rsid w:val="009353C2"/>
    <w:rsid w:val="00935E3B"/>
    <w:rsid w:val="009364B7"/>
    <w:rsid w:val="009404AE"/>
    <w:rsid w:val="00940901"/>
    <w:rsid w:val="0094113D"/>
    <w:rsid w:val="009418D0"/>
    <w:rsid w:val="00941FB8"/>
    <w:rsid w:val="0094203F"/>
    <w:rsid w:val="009437BD"/>
    <w:rsid w:val="009458FF"/>
    <w:rsid w:val="00945D86"/>
    <w:rsid w:val="009463C4"/>
    <w:rsid w:val="00946FF7"/>
    <w:rsid w:val="009477E1"/>
    <w:rsid w:val="0095031E"/>
    <w:rsid w:val="00950872"/>
    <w:rsid w:val="0095251E"/>
    <w:rsid w:val="00952714"/>
    <w:rsid w:val="00953127"/>
    <w:rsid w:val="00954137"/>
    <w:rsid w:val="00954BB8"/>
    <w:rsid w:val="00955BF1"/>
    <w:rsid w:val="00957043"/>
    <w:rsid w:val="00957060"/>
    <w:rsid w:val="00957510"/>
    <w:rsid w:val="00960EC6"/>
    <w:rsid w:val="0096238F"/>
    <w:rsid w:val="009625B6"/>
    <w:rsid w:val="00963062"/>
    <w:rsid w:val="009632A0"/>
    <w:rsid w:val="00964A60"/>
    <w:rsid w:val="00964DCC"/>
    <w:rsid w:val="009650A6"/>
    <w:rsid w:val="009657FF"/>
    <w:rsid w:val="0096610B"/>
    <w:rsid w:val="00966C57"/>
    <w:rsid w:val="00970543"/>
    <w:rsid w:val="0097113C"/>
    <w:rsid w:val="009729F0"/>
    <w:rsid w:val="009743B6"/>
    <w:rsid w:val="009749E4"/>
    <w:rsid w:val="00974D23"/>
    <w:rsid w:val="00975CBF"/>
    <w:rsid w:val="00975FE5"/>
    <w:rsid w:val="009768AE"/>
    <w:rsid w:val="00980D38"/>
    <w:rsid w:val="0098230B"/>
    <w:rsid w:val="00982AAB"/>
    <w:rsid w:val="00983B0C"/>
    <w:rsid w:val="0098545B"/>
    <w:rsid w:val="00986365"/>
    <w:rsid w:val="009869E9"/>
    <w:rsid w:val="00986BC3"/>
    <w:rsid w:val="00987EEE"/>
    <w:rsid w:val="00991656"/>
    <w:rsid w:val="00996671"/>
    <w:rsid w:val="009A00D4"/>
    <w:rsid w:val="009A1077"/>
    <w:rsid w:val="009A191D"/>
    <w:rsid w:val="009A407A"/>
    <w:rsid w:val="009A6CA9"/>
    <w:rsid w:val="009A76C0"/>
    <w:rsid w:val="009B0197"/>
    <w:rsid w:val="009B0DC1"/>
    <w:rsid w:val="009B0E24"/>
    <w:rsid w:val="009B11E3"/>
    <w:rsid w:val="009B20EA"/>
    <w:rsid w:val="009B2C65"/>
    <w:rsid w:val="009B49CD"/>
    <w:rsid w:val="009B515F"/>
    <w:rsid w:val="009B5552"/>
    <w:rsid w:val="009B64AA"/>
    <w:rsid w:val="009B66AA"/>
    <w:rsid w:val="009B68CB"/>
    <w:rsid w:val="009B7AB2"/>
    <w:rsid w:val="009B7F85"/>
    <w:rsid w:val="009C1642"/>
    <w:rsid w:val="009C26AF"/>
    <w:rsid w:val="009C379E"/>
    <w:rsid w:val="009C4575"/>
    <w:rsid w:val="009C4A84"/>
    <w:rsid w:val="009C5253"/>
    <w:rsid w:val="009C5E39"/>
    <w:rsid w:val="009C6E8E"/>
    <w:rsid w:val="009C74FB"/>
    <w:rsid w:val="009D09ED"/>
    <w:rsid w:val="009D20E7"/>
    <w:rsid w:val="009D5D4C"/>
    <w:rsid w:val="009E13DF"/>
    <w:rsid w:val="009E13F9"/>
    <w:rsid w:val="009E2520"/>
    <w:rsid w:val="009E51F8"/>
    <w:rsid w:val="009E71C0"/>
    <w:rsid w:val="009F2103"/>
    <w:rsid w:val="009F239C"/>
    <w:rsid w:val="009F23C4"/>
    <w:rsid w:val="009F270C"/>
    <w:rsid w:val="009F564C"/>
    <w:rsid w:val="009F5E29"/>
    <w:rsid w:val="009F6EB8"/>
    <w:rsid w:val="00A002D1"/>
    <w:rsid w:val="00A018A3"/>
    <w:rsid w:val="00A01B1B"/>
    <w:rsid w:val="00A02E76"/>
    <w:rsid w:val="00A031F9"/>
    <w:rsid w:val="00A045DD"/>
    <w:rsid w:val="00A06D66"/>
    <w:rsid w:val="00A073BF"/>
    <w:rsid w:val="00A07E0D"/>
    <w:rsid w:val="00A1075C"/>
    <w:rsid w:val="00A10B76"/>
    <w:rsid w:val="00A11793"/>
    <w:rsid w:val="00A144D5"/>
    <w:rsid w:val="00A14DCC"/>
    <w:rsid w:val="00A16DA6"/>
    <w:rsid w:val="00A178F1"/>
    <w:rsid w:val="00A20EB5"/>
    <w:rsid w:val="00A222A5"/>
    <w:rsid w:val="00A22834"/>
    <w:rsid w:val="00A23134"/>
    <w:rsid w:val="00A235BA"/>
    <w:rsid w:val="00A23892"/>
    <w:rsid w:val="00A23B93"/>
    <w:rsid w:val="00A30DFA"/>
    <w:rsid w:val="00A3225F"/>
    <w:rsid w:val="00A33146"/>
    <w:rsid w:val="00A33194"/>
    <w:rsid w:val="00A344CA"/>
    <w:rsid w:val="00A35925"/>
    <w:rsid w:val="00A35A05"/>
    <w:rsid w:val="00A363B6"/>
    <w:rsid w:val="00A371F2"/>
    <w:rsid w:val="00A37637"/>
    <w:rsid w:val="00A404C5"/>
    <w:rsid w:val="00A421CE"/>
    <w:rsid w:val="00A425D2"/>
    <w:rsid w:val="00A44CF1"/>
    <w:rsid w:val="00A450C9"/>
    <w:rsid w:val="00A45D7D"/>
    <w:rsid w:val="00A46101"/>
    <w:rsid w:val="00A46BF5"/>
    <w:rsid w:val="00A47E82"/>
    <w:rsid w:val="00A47F7A"/>
    <w:rsid w:val="00A501B6"/>
    <w:rsid w:val="00A52E61"/>
    <w:rsid w:val="00A54D75"/>
    <w:rsid w:val="00A55A0E"/>
    <w:rsid w:val="00A56327"/>
    <w:rsid w:val="00A56749"/>
    <w:rsid w:val="00A6063E"/>
    <w:rsid w:val="00A632C0"/>
    <w:rsid w:val="00A634CF"/>
    <w:rsid w:val="00A64BF1"/>
    <w:rsid w:val="00A65407"/>
    <w:rsid w:val="00A70107"/>
    <w:rsid w:val="00A70968"/>
    <w:rsid w:val="00A70B74"/>
    <w:rsid w:val="00A74179"/>
    <w:rsid w:val="00A74CAF"/>
    <w:rsid w:val="00A764EF"/>
    <w:rsid w:val="00A804EE"/>
    <w:rsid w:val="00A8050B"/>
    <w:rsid w:val="00A8077E"/>
    <w:rsid w:val="00A8166B"/>
    <w:rsid w:val="00A82B03"/>
    <w:rsid w:val="00A83676"/>
    <w:rsid w:val="00A83921"/>
    <w:rsid w:val="00A852D6"/>
    <w:rsid w:val="00A85620"/>
    <w:rsid w:val="00A85EE5"/>
    <w:rsid w:val="00A86A0C"/>
    <w:rsid w:val="00A8751B"/>
    <w:rsid w:val="00A90730"/>
    <w:rsid w:val="00A90E13"/>
    <w:rsid w:val="00A9143E"/>
    <w:rsid w:val="00A928FB"/>
    <w:rsid w:val="00A92A29"/>
    <w:rsid w:val="00A94BD0"/>
    <w:rsid w:val="00A94FC9"/>
    <w:rsid w:val="00A95577"/>
    <w:rsid w:val="00A95AE5"/>
    <w:rsid w:val="00A9624B"/>
    <w:rsid w:val="00A96270"/>
    <w:rsid w:val="00A96C1F"/>
    <w:rsid w:val="00A972A3"/>
    <w:rsid w:val="00A97A68"/>
    <w:rsid w:val="00A97D6F"/>
    <w:rsid w:val="00A97E66"/>
    <w:rsid w:val="00AA16F7"/>
    <w:rsid w:val="00AA1AB3"/>
    <w:rsid w:val="00AA3279"/>
    <w:rsid w:val="00AA35F1"/>
    <w:rsid w:val="00AA526E"/>
    <w:rsid w:val="00AA6498"/>
    <w:rsid w:val="00AA6892"/>
    <w:rsid w:val="00AA7AE3"/>
    <w:rsid w:val="00AA7E67"/>
    <w:rsid w:val="00AB0983"/>
    <w:rsid w:val="00AB2062"/>
    <w:rsid w:val="00AB31F3"/>
    <w:rsid w:val="00AB3613"/>
    <w:rsid w:val="00AB5524"/>
    <w:rsid w:val="00AB5D6A"/>
    <w:rsid w:val="00AB7FCC"/>
    <w:rsid w:val="00AC2CB6"/>
    <w:rsid w:val="00AC4184"/>
    <w:rsid w:val="00AC4CD6"/>
    <w:rsid w:val="00AD1464"/>
    <w:rsid w:val="00AD27C1"/>
    <w:rsid w:val="00AD344C"/>
    <w:rsid w:val="00AD46DD"/>
    <w:rsid w:val="00AD4F95"/>
    <w:rsid w:val="00AD5E8D"/>
    <w:rsid w:val="00AE0E84"/>
    <w:rsid w:val="00AE2CC1"/>
    <w:rsid w:val="00AE30F7"/>
    <w:rsid w:val="00AE32DD"/>
    <w:rsid w:val="00AE54A8"/>
    <w:rsid w:val="00AF18C2"/>
    <w:rsid w:val="00AF2E6E"/>
    <w:rsid w:val="00AF357E"/>
    <w:rsid w:val="00AF4311"/>
    <w:rsid w:val="00AF4C0F"/>
    <w:rsid w:val="00AF4DBC"/>
    <w:rsid w:val="00AF5C24"/>
    <w:rsid w:val="00AF68D1"/>
    <w:rsid w:val="00B006FD"/>
    <w:rsid w:val="00B01589"/>
    <w:rsid w:val="00B02718"/>
    <w:rsid w:val="00B0402E"/>
    <w:rsid w:val="00B04DFA"/>
    <w:rsid w:val="00B052B4"/>
    <w:rsid w:val="00B06D4E"/>
    <w:rsid w:val="00B073ED"/>
    <w:rsid w:val="00B10AE5"/>
    <w:rsid w:val="00B10DA4"/>
    <w:rsid w:val="00B11CB7"/>
    <w:rsid w:val="00B134D1"/>
    <w:rsid w:val="00B143E2"/>
    <w:rsid w:val="00B146E2"/>
    <w:rsid w:val="00B14AB7"/>
    <w:rsid w:val="00B15C1F"/>
    <w:rsid w:val="00B207BD"/>
    <w:rsid w:val="00B22704"/>
    <w:rsid w:val="00B22AC4"/>
    <w:rsid w:val="00B2337A"/>
    <w:rsid w:val="00B23F18"/>
    <w:rsid w:val="00B25752"/>
    <w:rsid w:val="00B263F6"/>
    <w:rsid w:val="00B27A40"/>
    <w:rsid w:val="00B27AB3"/>
    <w:rsid w:val="00B32FA6"/>
    <w:rsid w:val="00B33522"/>
    <w:rsid w:val="00B35B7E"/>
    <w:rsid w:val="00B3680C"/>
    <w:rsid w:val="00B36DB2"/>
    <w:rsid w:val="00B37C20"/>
    <w:rsid w:val="00B41E9F"/>
    <w:rsid w:val="00B42449"/>
    <w:rsid w:val="00B50783"/>
    <w:rsid w:val="00B51469"/>
    <w:rsid w:val="00B5253D"/>
    <w:rsid w:val="00B54550"/>
    <w:rsid w:val="00B556D9"/>
    <w:rsid w:val="00B558BB"/>
    <w:rsid w:val="00B6039D"/>
    <w:rsid w:val="00B60A59"/>
    <w:rsid w:val="00B60D93"/>
    <w:rsid w:val="00B611B8"/>
    <w:rsid w:val="00B61C6A"/>
    <w:rsid w:val="00B628F8"/>
    <w:rsid w:val="00B62B88"/>
    <w:rsid w:val="00B6605D"/>
    <w:rsid w:val="00B67BC6"/>
    <w:rsid w:val="00B70194"/>
    <w:rsid w:val="00B709C8"/>
    <w:rsid w:val="00B71C7F"/>
    <w:rsid w:val="00B7276C"/>
    <w:rsid w:val="00B73EB9"/>
    <w:rsid w:val="00B808C4"/>
    <w:rsid w:val="00B818B2"/>
    <w:rsid w:val="00B81C74"/>
    <w:rsid w:val="00B82BF9"/>
    <w:rsid w:val="00B83805"/>
    <w:rsid w:val="00B83E59"/>
    <w:rsid w:val="00B849EE"/>
    <w:rsid w:val="00B84D02"/>
    <w:rsid w:val="00B850E5"/>
    <w:rsid w:val="00B85A60"/>
    <w:rsid w:val="00B86673"/>
    <w:rsid w:val="00B870E0"/>
    <w:rsid w:val="00B87589"/>
    <w:rsid w:val="00B90AB5"/>
    <w:rsid w:val="00B95032"/>
    <w:rsid w:val="00B95727"/>
    <w:rsid w:val="00B96B6F"/>
    <w:rsid w:val="00B97444"/>
    <w:rsid w:val="00BA0084"/>
    <w:rsid w:val="00BA0268"/>
    <w:rsid w:val="00BA1195"/>
    <w:rsid w:val="00BA1AD8"/>
    <w:rsid w:val="00BA1ADB"/>
    <w:rsid w:val="00BA26B4"/>
    <w:rsid w:val="00BA2940"/>
    <w:rsid w:val="00BA32D0"/>
    <w:rsid w:val="00BA36BE"/>
    <w:rsid w:val="00BA3B1D"/>
    <w:rsid w:val="00BA58E7"/>
    <w:rsid w:val="00BA6A54"/>
    <w:rsid w:val="00BA6E67"/>
    <w:rsid w:val="00BA7B26"/>
    <w:rsid w:val="00BB02D0"/>
    <w:rsid w:val="00BB1526"/>
    <w:rsid w:val="00BB327F"/>
    <w:rsid w:val="00BB3832"/>
    <w:rsid w:val="00BB7DA9"/>
    <w:rsid w:val="00BC3E0C"/>
    <w:rsid w:val="00BC4AD5"/>
    <w:rsid w:val="00BC6745"/>
    <w:rsid w:val="00BD1AAF"/>
    <w:rsid w:val="00BD248B"/>
    <w:rsid w:val="00BD2A8B"/>
    <w:rsid w:val="00BD3E4E"/>
    <w:rsid w:val="00BD5837"/>
    <w:rsid w:val="00BD74AE"/>
    <w:rsid w:val="00BD7646"/>
    <w:rsid w:val="00BD77D2"/>
    <w:rsid w:val="00BD7BBB"/>
    <w:rsid w:val="00BE0824"/>
    <w:rsid w:val="00BE0F51"/>
    <w:rsid w:val="00BE40CA"/>
    <w:rsid w:val="00BE43B1"/>
    <w:rsid w:val="00BE47DE"/>
    <w:rsid w:val="00BE5B13"/>
    <w:rsid w:val="00BE5D56"/>
    <w:rsid w:val="00BE7A98"/>
    <w:rsid w:val="00BF11E1"/>
    <w:rsid w:val="00BF2F3A"/>
    <w:rsid w:val="00BF654C"/>
    <w:rsid w:val="00C00590"/>
    <w:rsid w:val="00C013A1"/>
    <w:rsid w:val="00C01580"/>
    <w:rsid w:val="00C01E9E"/>
    <w:rsid w:val="00C020A8"/>
    <w:rsid w:val="00C03317"/>
    <w:rsid w:val="00C0654D"/>
    <w:rsid w:val="00C06709"/>
    <w:rsid w:val="00C06ABE"/>
    <w:rsid w:val="00C1028E"/>
    <w:rsid w:val="00C105A6"/>
    <w:rsid w:val="00C10C63"/>
    <w:rsid w:val="00C1279C"/>
    <w:rsid w:val="00C13A31"/>
    <w:rsid w:val="00C14867"/>
    <w:rsid w:val="00C16822"/>
    <w:rsid w:val="00C16A14"/>
    <w:rsid w:val="00C16E53"/>
    <w:rsid w:val="00C17841"/>
    <w:rsid w:val="00C22F0D"/>
    <w:rsid w:val="00C23773"/>
    <w:rsid w:val="00C255BB"/>
    <w:rsid w:val="00C26CE0"/>
    <w:rsid w:val="00C27323"/>
    <w:rsid w:val="00C30B88"/>
    <w:rsid w:val="00C3266B"/>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1C9"/>
    <w:rsid w:val="00C53587"/>
    <w:rsid w:val="00C5373A"/>
    <w:rsid w:val="00C53B18"/>
    <w:rsid w:val="00C53C29"/>
    <w:rsid w:val="00C55BBF"/>
    <w:rsid w:val="00C55F01"/>
    <w:rsid w:val="00C564FC"/>
    <w:rsid w:val="00C56E3B"/>
    <w:rsid w:val="00C60544"/>
    <w:rsid w:val="00C6076C"/>
    <w:rsid w:val="00C60DEB"/>
    <w:rsid w:val="00C617E6"/>
    <w:rsid w:val="00C629E1"/>
    <w:rsid w:val="00C63175"/>
    <w:rsid w:val="00C63CF1"/>
    <w:rsid w:val="00C64634"/>
    <w:rsid w:val="00C64BB7"/>
    <w:rsid w:val="00C66322"/>
    <w:rsid w:val="00C6715B"/>
    <w:rsid w:val="00C704C3"/>
    <w:rsid w:val="00C706E0"/>
    <w:rsid w:val="00C71D1F"/>
    <w:rsid w:val="00C735F9"/>
    <w:rsid w:val="00C74C79"/>
    <w:rsid w:val="00C75890"/>
    <w:rsid w:val="00C7680C"/>
    <w:rsid w:val="00C77A1D"/>
    <w:rsid w:val="00C81A32"/>
    <w:rsid w:val="00C81B7E"/>
    <w:rsid w:val="00C8289F"/>
    <w:rsid w:val="00C83A20"/>
    <w:rsid w:val="00C84D4D"/>
    <w:rsid w:val="00C862B1"/>
    <w:rsid w:val="00C86C59"/>
    <w:rsid w:val="00C86C80"/>
    <w:rsid w:val="00C87443"/>
    <w:rsid w:val="00C904BE"/>
    <w:rsid w:val="00C90A40"/>
    <w:rsid w:val="00C91C5A"/>
    <w:rsid w:val="00C92668"/>
    <w:rsid w:val="00C95974"/>
    <w:rsid w:val="00C9626A"/>
    <w:rsid w:val="00C97083"/>
    <w:rsid w:val="00C971A6"/>
    <w:rsid w:val="00C97412"/>
    <w:rsid w:val="00C97850"/>
    <w:rsid w:val="00CA24BE"/>
    <w:rsid w:val="00CA2A37"/>
    <w:rsid w:val="00CA37AE"/>
    <w:rsid w:val="00CA5CDF"/>
    <w:rsid w:val="00CA631E"/>
    <w:rsid w:val="00CA735D"/>
    <w:rsid w:val="00CA7A99"/>
    <w:rsid w:val="00CB03F7"/>
    <w:rsid w:val="00CB1480"/>
    <w:rsid w:val="00CB1A6E"/>
    <w:rsid w:val="00CB1D42"/>
    <w:rsid w:val="00CB45AD"/>
    <w:rsid w:val="00CB72A9"/>
    <w:rsid w:val="00CB7869"/>
    <w:rsid w:val="00CB7B1B"/>
    <w:rsid w:val="00CC30F9"/>
    <w:rsid w:val="00CC378C"/>
    <w:rsid w:val="00CC3E10"/>
    <w:rsid w:val="00CC4BA1"/>
    <w:rsid w:val="00CC58DC"/>
    <w:rsid w:val="00CC60A4"/>
    <w:rsid w:val="00CC60E1"/>
    <w:rsid w:val="00CC663E"/>
    <w:rsid w:val="00CC6ACD"/>
    <w:rsid w:val="00CD0525"/>
    <w:rsid w:val="00CD299E"/>
    <w:rsid w:val="00CD49C0"/>
    <w:rsid w:val="00CD4E92"/>
    <w:rsid w:val="00CD656B"/>
    <w:rsid w:val="00CD6D9A"/>
    <w:rsid w:val="00CD7521"/>
    <w:rsid w:val="00CD7F3F"/>
    <w:rsid w:val="00CE038F"/>
    <w:rsid w:val="00CE04CE"/>
    <w:rsid w:val="00CE45FC"/>
    <w:rsid w:val="00CE5C1A"/>
    <w:rsid w:val="00CF289F"/>
    <w:rsid w:val="00CF2D36"/>
    <w:rsid w:val="00CF3420"/>
    <w:rsid w:val="00CF342E"/>
    <w:rsid w:val="00CF3770"/>
    <w:rsid w:val="00CF6F11"/>
    <w:rsid w:val="00CF76DB"/>
    <w:rsid w:val="00D00E92"/>
    <w:rsid w:val="00D01486"/>
    <w:rsid w:val="00D039B3"/>
    <w:rsid w:val="00D055EC"/>
    <w:rsid w:val="00D05645"/>
    <w:rsid w:val="00D06B08"/>
    <w:rsid w:val="00D06FE8"/>
    <w:rsid w:val="00D10F96"/>
    <w:rsid w:val="00D11F33"/>
    <w:rsid w:val="00D12198"/>
    <w:rsid w:val="00D12816"/>
    <w:rsid w:val="00D13E7D"/>
    <w:rsid w:val="00D14208"/>
    <w:rsid w:val="00D1757C"/>
    <w:rsid w:val="00D17C5D"/>
    <w:rsid w:val="00D234B6"/>
    <w:rsid w:val="00D254F0"/>
    <w:rsid w:val="00D27B9B"/>
    <w:rsid w:val="00D3018F"/>
    <w:rsid w:val="00D31807"/>
    <w:rsid w:val="00D32316"/>
    <w:rsid w:val="00D32544"/>
    <w:rsid w:val="00D339CC"/>
    <w:rsid w:val="00D34D30"/>
    <w:rsid w:val="00D34D7A"/>
    <w:rsid w:val="00D351EE"/>
    <w:rsid w:val="00D35411"/>
    <w:rsid w:val="00D3669D"/>
    <w:rsid w:val="00D37294"/>
    <w:rsid w:val="00D37312"/>
    <w:rsid w:val="00D378C5"/>
    <w:rsid w:val="00D37DC9"/>
    <w:rsid w:val="00D423EF"/>
    <w:rsid w:val="00D43342"/>
    <w:rsid w:val="00D4394E"/>
    <w:rsid w:val="00D44728"/>
    <w:rsid w:val="00D45237"/>
    <w:rsid w:val="00D455AB"/>
    <w:rsid w:val="00D507DB"/>
    <w:rsid w:val="00D511CD"/>
    <w:rsid w:val="00D52FF5"/>
    <w:rsid w:val="00D550A7"/>
    <w:rsid w:val="00D55E41"/>
    <w:rsid w:val="00D55F5B"/>
    <w:rsid w:val="00D56088"/>
    <w:rsid w:val="00D562FF"/>
    <w:rsid w:val="00D60DC7"/>
    <w:rsid w:val="00D62468"/>
    <w:rsid w:val="00D628F8"/>
    <w:rsid w:val="00D62DF9"/>
    <w:rsid w:val="00D63571"/>
    <w:rsid w:val="00D66910"/>
    <w:rsid w:val="00D6706B"/>
    <w:rsid w:val="00D67F92"/>
    <w:rsid w:val="00D700D5"/>
    <w:rsid w:val="00D71A33"/>
    <w:rsid w:val="00D73392"/>
    <w:rsid w:val="00D73B4D"/>
    <w:rsid w:val="00D7657E"/>
    <w:rsid w:val="00D7755A"/>
    <w:rsid w:val="00D80D5B"/>
    <w:rsid w:val="00D8146A"/>
    <w:rsid w:val="00D83A14"/>
    <w:rsid w:val="00D844B8"/>
    <w:rsid w:val="00D854E6"/>
    <w:rsid w:val="00D8596D"/>
    <w:rsid w:val="00D86C30"/>
    <w:rsid w:val="00D905ED"/>
    <w:rsid w:val="00D91205"/>
    <w:rsid w:val="00D92473"/>
    <w:rsid w:val="00D92C2A"/>
    <w:rsid w:val="00DA1B01"/>
    <w:rsid w:val="00DA4A42"/>
    <w:rsid w:val="00DA5237"/>
    <w:rsid w:val="00DA68FB"/>
    <w:rsid w:val="00DA6BE0"/>
    <w:rsid w:val="00DB3AF6"/>
    <w:rsid w:val="00DB4C18"/>
    <w:rsid w:val="00DB53FB"/>
    <w:rsid w:val="00DB5530"/>
    <w:rsid w:val="00DC16A9"/>
    <w:rsid w:val="00DC1915"/>
    <w:rsid w:val="00DC4EE2"/>
    <w:rsid w:val="00DC5B5D"/>
    <w:rsid w:val="00DC6D3A"/>
    <w:rsid w:val="00DD136E"/>
    <w:rsid w:val="00DD22DD"/>
    <w:rsid w:val="00DD2474"/>
    <w:rsid w:val="00DD2AA9"/>
    <w:rsid w:val="00DD43EF"/>
    <w:rsid w:val="00DD4F48"/>
    <w:rsid w:val="00DD6C54"/>
    <w:rsid w:val="00DD6DC0"/>
    <w:rsid w:val="00DD6F87"/>
    <w:rsid w:val="00DD6FB4"/>
    <w:rsid w:val="00DE2F50"/>
    <w:rsid w:val="00DE4269"/>
    <w:rsid w:val="00DE5274"/>
    <w:rsid w:val="00DE621F"/>
    <w:rsid w:val="00DE62C0"/>
    <w:rsid w:val="00DE62C8"/>
    <w:rsid w:val="00DE6B8B"/>
    <w:rsid w:val="00DF0216"/>
    <w:rsid w:val="00DF2160"/>
    <w:rsid w:val="00DF325D"/>
    <w:rsid w:val="00DF386E"/>
    <w:rsid w:val="00DF4CBD"/>
    <w:rsid w:val="00DF56C9"/>
    <w:rsid w:val="00DF62F6"/>
    <w:rsid w:val="00DF6AC4"/>
    <w:rsid w:val="00E004F0"/>
    <w:rsid w:val="00E007EC"/>
    <w:rsid w:val="00E01158"/>
    <w:rsid w:val="00E03CED"/>
    <w:rsid w:val="00E0449B"/>
    <w:rsid w:val="00E04E64"/>
    <w:rsid w:val="00E06027"/>
    <w:rsid w:val="00E07E93"/>
    <w:rsid w:val="00E1077F"/>
    <w:rsid w:val="00E119AC"/>
    <w:rsid w:val="00E12342"/>
    <w:rsid w:val="00E16F17"/>
    <w:rsid w:val="00E17516"/>
    <w:rsid w:val="00E21DE3"/>
    <w:rsid w:val="00E22047"/>
    <w:rsid w:val="00E22788"/>
    <w:rsid w:val="00E23867"/>
    <w:rsid w:val="00E23A75"/>
    <w:rsid w:val="00E2421E"/>
    <w:rsid w:val="00E25A1C"/>
    <w:rsid w:val="00E26E6E"/>
    <w:rsid w:val="00E30318"/>
    <w:rsid w:val="00E31BFA"/>
    <w:rsid w:val="00E32708"/>
    <w:rsid w:val="00E328A2"/>
    <w:rsid w:val="00E32B77"/>
    <w:rsid w:val="00E33BBD"/>
    <w:rsid w:val="00E37034"/>
    <w:rsid w:val="00E376CE"/>
    <w:rsid w:val="00E37782"/>
    <w:rsid w:val="00E40F44"/>
    <w:rsid w:val="00E43BB5"/>
    <w:rsid w:val="00E44022"/>
    <w:rsid w:val="00E442EC"/>
    <w:rsid w:val="00E449D6"/>
    <w:rsid w:val="00E45112"/>
    <w:rsid w:val="00E45664"/>
    <w:rsid w:val="00E45B21"/>
    <w:rsid w:val="00E47250"/>
    <w:rsid w:val="00E505EF"/>
    <w:rsid w:val="00E514F6"/>
    <w:rsid w:val="00E545B2"/>
    <w:rsid w:val="00E549EA"/>
    <w:rsid w:val="00E57C06"/>
    <w:rsid w:val="00E60C8C"/>
    <w:rsid w:val="00E651B5"/>
    <w:rsid w:val="00E65B2D"/>
    <w:rsid w:val="00E70E56"/>
    <w:rsid w:val="00E72137"/>
    <w:rsid w:val="00E725D0"/>
    <w:rsid w:val="00E755A9"/>
    <w:rsid w:val="00E75CE5"/>
    <w:rsid w:val="00E768E8"/>
    <w:rsid w:val="00E775B6"/>
    <w:rsid w:val="00E8055E"/>
    <w:rsid w:val="00E81279"/>
    <w:rsid w:val="00E82195"/>
    <w:rsid w:val="00E828CB"/>
    <w:rsid w:val="00E82F7C"/>
    <w:rsid w:val="00E83362"/>
    <w:rsid w:val="00E849B4"/>
    <w:rsid w:val="00E87385"/>
    <w:rsid w:val="00E87962"/>
    <w:rsid w:val="00E90A09"/>
    <w:rsid w:val="00E90D36"/>
    <w:rsid w:val="00E913D9"/>
    <w:rsid w:val="00E91553"/>
    <w:rsid w:val="00E94AAC"/>
    <w:rsid w:val="00E96135"/>
    <w:rsid w:val="00E9721C"/>
    <w:rsid w:val="00EA0D94"/>
    <w:rsid w:val="00EA12F7"/>
    <w:rsid w:val="00EA186A"/>
    <w:rsid w:val="00EA19C2"/>
    <w:rsid w:val="00EA1D09"/>
    <w:rsid w:val="00EA2065"/>
    <w:rsid w:val="00EA2C6F"/>
    <w:rsid w:val="00EA405B"/>
    <w:rsid w:val="00EA5418"/>
    <w:rsid w:val="00EA5AD0"/>
    <w:rsid w:val="00EA6927"/>
    <w:rsid w:val="00EA6BE9"/>
    <w:rsid w:val="00EB074B"/>
    <w:rsid w:val="00EB2A4A"/>
    <w:rsid w:val="00EB3D8F"/>
    <w:rsid w:val="00EC084F"/>
    <w:rsid w:val="00EC0BE3"/>
    <w:rsid w:val="00EC1988"/>
    <w:rsid w:val="00EC1EBD"/>
    <w:rsid w:val="00EC2DFD"/>
    <w:rsid w:val="00EC3B88"/>
    <w:rsid w:val="00EC505D"/>
    <w:rsid w:val="00EC56A4"/>
    <w:rsid w:val="00EC5C3D"/>
    <w:rsid w:val="00EC5C97"/>
    <w:rsid w:val="00EC61A6"/>
    <w:rsid w:val="00EC7901"/>
    <w:rsid w:val="00ED0858"/>
    <w:rsid w:val="00ED2125"/>
    <w:rsid w:val="00ED319C"/>
    <w:rsid w:val="00ED518E"/>
    <w:rsid w:val="00ED5680"/>
    <w:rsid w:val="00ED6126"/>
    <w:rsid w:val="00ED6894"/>
    <w:rsid w:val="00ED6B12"/>
    <w:rsid w:val="00ED79E2"/>
    <w:rsid w:val="00EE04FF"/>
    <w:rsid w:val="00EE0F4C"/>
    <w:rsid w:val="00EE1D7E"/>
    <w:rsid w:val="00EE2F63"/>
    <w:rsid w:val="00EE3D4E"/>
    <w:rsid w:val="00EE46FB"/>
    <w:rsid w:val="00EF0914"/>
    <w:rsid w:val="00EF2991"/>
    <w:rsid w:val="00EF36C9"/>
    <w:rsid w:val="00EF59BD"/>
    <w:rsid w:val="00EF5CC7"/>
    <w:rsid w:val="00EF62F8"/>
    <w:rsid w:val="00EF7710"/>
    <w:rsid w:val="00F011BD"/>
    <w:rsid w:val="00F016BA"/>
    <w:rsid w:val="00F01B31"/>
    <w:rsid w:val="00F03A3A"/>
    <w:rsid w:val="00F03AE7"/>
    <w:rsid w:val="00F03C78"/>
    <w:rsid w:val="00F057DB"/>
    <w:rsid w:val="00F07D53"/>
    <w:rsid w:val="00F11C4A"/>
    <w:rsid w:val="00F16808"/>
    <w:rsid w:val="00F16A95"/>
    <w:rsid w:val="00F177C0"/>
    <w:rsid w:val="00F17C0D"/>
    <w:rsid w:val="00F20F31"/>
    <w:rsid w:val="00F21F02"/>
    <w:rsid w:val="00F233E1"/>
    <w:rsid w:val="00F253AB"/>
    <w:rsid w:val="00F2612E"/>
    <w:rsid w:val="00F302C1"/>
    <w:rsid w:val="00F304B3"/>
    <w:rsid w:val="00F30A85"/>
    <w:rsid w:val="00F3142D"/>
    <w:rsid w:val="00F31DD1"/>
    <w:rsid w:val="00F32EC8"/>
    <w:rsid w:val="00F33647"/>
    <w:rsid w:val="00F34C98"/>
    <w:rsid w:val="00F364E9"/>
    <w:rsid w:val="00F36FF1"/>
    <w:rsid w:val="00F378E3"/>
    <w:rsid w:val="00F40A48"/>
    <w:rsid w:val="00F40A84"/>
    <w:rsid w:val="00F424B7"/>
    <w:rsid w:val="00F436CD"/>
    <w:rsid w:val="00F43ADE"/>
    <w:rsid w:val="00F4519D"/>
    <w:rsid w:val="00F46140"/>
    <w:rsid w:val="00F46965"/>
    <w:rsid w:val="00F50835"/>
    <w:rsid w:val="00F50C0A"/>
    <w:rsid w:val="00F50FC7"/>
    <w:rsid w:val="00F518C4"/>
    <w:rsid w:val="00F52C6D"/>
    <w:rsid w:val="00F53A3B"/>
    <w:rsid w:val="00F54856"/>
    <w:rsid w:val="00F54920"/>
    <w:rsid w:val="00F564AA"/>
    <w:rsid w:val="00F56F0F"/>
    <w:rsid w:val="00F5748D"/>
    <w:rsid w:val="00F600C9"/>
    <w:rsid w:val="00F619D6"/>
    <w:rsid w:val="00F622F4"/>
    <w:rsid w:val="00F6319C"/>
    <w:rsid w:val="00F6438A"/>
    <w:rsid w:val="00F64AC7"/>
    <w:rsid w:val="00F6724C"/>
    <w:rsid w:val="00F70304"/>
    <w:rsid w:val="00F7273B"/>
    <w:rsid w:val="00F72C8C"/>
    <w:rsid w:val="00F72CE6"/>
    <w:rsid w:val="00F755D0"/>
    <w:rsid w:val="00F77058"/>
    <w:rsid w:val="00F775B3"/>
    <w:rsid w:val="00F8125E"/>
    <w:rsid w:val="00F8171F"/>
    <w:rsid w:val="00F830DA"/>
    <w:rsid w:val="00F86F78"/>
    <w:rsid w:val="00F8797F"/>
    <w:rsid w:val="00F9019F"/>
    <w:rsid w:val="00F90A31"/>
    <w:rsid w:val="00F94878"/>
    <w:rsid w:val="00F94F3B"/>
    <w:rsid w:val="00F95FC8"/>
    <w:rsid w:val="00F978F6"/>
    <w:rsid w:val="00FA0D0F"/>
    <w:rsid w:val="00FA4CD5"/>
    <w:rsid w:val="00FA7A93"/>
    <w:rsid w:val="00FB1010"/>
    <w:rsid w:val="00FB1547"/>
    <w:rsid w:val="00FB1A7D"/>
    <w:rsid w:val="00FB1D4B"/>
    <w:rsid w:val="00FB21CE"/>
    <w:rsid w:val="00FB2284"/>
    <w:rsid w:val="00FB2B78"/>
    <w:rsid w:val="00FB34ED"/>
    <w:rsid w:val="00FB4723"/>
    <w:rsid w:val="00FB4A59"/>
    <w:rsid w:val="00FB6E0E"/>
    <w:rsid w:val="00FC07F4"/>
    <w:rsid w:val="00FC23D9"/>
    <w:rsid w:val="00FC2997"/>
    <w:rsid w:val="00FC3802"/>
    <w:rsid w:val="00FC4A0F"/>
    <w:rsid w:val="00FC4B1B"/>
    <w:rsid w:val="00FC60C5"/>
    <w:rsid w:val="00FC6EA4"/>
    <w:rsid w:val="00FD16BF"/>
    <w:rsid w:val="00FD45EC"/>
    <w:rsid w:val="00FD5A63"/>
    <w:rsid w:val="00FD7E25"/>
    <w:rsid w:val="00FE00AA"/>
    <w:rsid w:val="00FE027E"/>
    <w:rsid w:val="00FE0968"/>
    <w:rsid w:val="00FE1848"/>
    <w:rsid w:val="00FE3B85"/>
    <w:rsid w:val="00FE3EED"/>
    <w:rsid w:val="00FE4134"/>
    <w:rsid w:val="00FE4810"/>
    <w:rsid w:val="00FE59F7"/>
    <w:rsid w:val="00FE6B37"/>
    <w:rsid w:val="00FE75AC"/>
    <w:rsid w:val="00FE7EF5"/>
    <w:rsid w:val="00FF1FEF"/>
    <w:rsid w:val="00FF227C"/>
    <w:rsid w:val="00FF39BB"/>
    <w:rsid w:val="00FF4355"/>
    <w:rsid w:val="00FF4E18"/>
    <w:rsid w:val="00FF574E"/>
    <w:rsid w:val="00FF5A7D"/>
    <w:rsid w:val="00FF608A"/>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07"/>
    <o:shapelayout v:ext="edit">
      <o:idmap v:ext="edit" data="2"/>
    </o:shapelayout>
  </w:shapeDefaults>
  <w:decimalSymbol w:val="."/>
  <w:listSeparator w:val=","/>
  <w14:docId w14:val="6C9BE57D"/>
  <w15:docId w15:val="{0E61B535-C358-454C-B2D2-8257291E8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qFormat/>
    <w:rsid w:val="002615F9"/>
    <w:pPr>
      <w:keepNext/>
      <w:spacing w:before="240" w:after="60" w:line="280" w:lineRule="exact"/>
      <w:jc w:val="both"/>
      <w:outlineLvl w:val="0"/>
    </w:pPr>
    <w:rPr>
      <w:rFonts w:ascii="Arial" w:eastAsia="Times New Roman" w:hAnsi="Arial" w:cs="Arial"/>
      <w:b/>
      <w:bCs/>
      <w:kern w:val="32"/>
      <w:sz w:val="32"/>
      <w:szCs w:val="32"/>
      <w:lang w:eastAsia="es-MX"/>
    </w:rPr>
  </w:style>
  <w:style w:type="paragraph" w:styleId="Ttulo2">
    <w:name w:val="heading 2"/>
    <w:basedOn w:val="Normal"/>
    <w:next w:val="Normal"/>
    <w:link w:val="Ttulo2Car"/>
    <w:qFormat/>
    <w:rsid w:val="002615F9"/>
    <w:pPr>
      <w:keepNext/>
      <w:spacing w:after="0" w:line="240" w:lineRule="exact"/>
      <w:jc w:val="center"/>
      <w:outlineLvl w:val="1"/>
    </w:pPr>
    <w:rPr>
      <w:rFonts w:ascii="Arial" w:eastAsia="Times New Roman" w:hAnsi="Arial" w:cs="Arial"/>
      <w:b/>
      <w:bCs/>
      <w:sz w:val="20"/>
      <w:szCs w:val="24"/>
      <w:lang w:val="es-ES" w:eastAsia="es-ES"/>
    </w:rPr>
  </w:style>
  <w:style w:type="paragraph" w:styleId="Ttulo3">
    <w:name w:val="heading 3"/>
    <w:basedOn w:val="Normal"/>
    <w:next w:val="Normal"/>
    <w:link w:val="Ttulo3Car"/>
    <w:qFormat/>
    <w:rsid w:val="002615F9"/>
    <w:pPr>
      <w:keepNext/>
      <w:spacing w:before="240" w:after="60" w:line="280" w:lineRule="exact"/>
      <w:jc w:val="both"/>
      <w:outlineLvl w:val="2"/>
    </w:pPr>
    <w:rPr>
      <w:rFonts w:ascii="Arial" w:eastAsia="Times New Roman" w:hAnsi="Arial" w:cs="Arial"/>
      <w:b/>
      <w:bCs/>
      <w:sz w:val="26"/>
      <w:szCs w:val="26"/>
      <w:lang w:eastAsia="es-MX"/>
    </w:rPr>
  </w:style>
  <w:style w:type="paragraph" w:styleId="Ttulo4">
    <w:name w:val="heading 4"/>
    <w:basedOn w:val="Normal"/>
    <w:next w:val="Normal"/>
    <w:link w:val="Ttulo4Car"/>
    <w:qFormat/>
    <w:rsid w:val="002615F9"/>
    <w:pPr>
      <w:keepNext/>
      <w:spacing w:after="0" w:line="240" w:lineRule="exact"/>
      <w:outlineLvl w:val="3"/>
    </w:pPr>
    <w:rPr>
      <w:rFonts w:ascii="Arial" w:eastAsia="Times New Roman" w:hAnsi="Arial" w:cs="Arial"/>
      <w:b/>
      <w:bCs/>
      <w:sz w:val="20"/>
      <w:szCs w:val="24"/>
      <w:lang w:val="es-ES_tradnl" w:eastAsia="es-ES"/>
    </w:rPr>
  </w:style>
  <w:style w:type="paragraph" w:styleId="Ttulo5">
    <w:name w:val="heading 5"/>
    <w:basedOn w:val="Normal"/>
    <w:next w:val="Normal"/>
    <w:link w:val="Ttulo5Car"/>
    <w:qFormat/>
    <w:rsid w:val="002615F9"/>
    <w:pPr>
      <w:keepNext/>
      <w:autoSpaceDE w:val="0"/>
      <w:autoSpaceDN w:val="0"/>
      <w:adjustRightInd w:val="0"/>
      <w:spacing w:after="0" w:line="240" w:lineRule="auto"/>
      <w:jc w:val="center"/>
      <w:outlineLvl w:val="4"/>
    </w:pPr>
    <w:rPr>
      <w:rFonts w:ascii="Arial" w:eastAsia="Times New Roman" w:hAnsi="Arial" w:cs="Arial"/>
      <w:b/>
      <w:bCs/>
      <w:color w:val="000000"/>
      <w:sz w:val="16"/>
      <w:szCs w:val="24"/>
      <w:lang w:val="es-ES_tradnl" w:eastAsia="es-ES"/>
    </w:rPr>
  </w:style>
  <w:style w:type="paragraph" w:styleId="Ttulo6">
    <w:name w:val="heading 6"/>
    <w:basedOn w:val="Normal"/>
    <w:next w:val="Normal"/>
    <w:link w:val="Ttulo6Car"/>
    <w:qFormat/>
    <w:rsid w:val="002615F9"/>
    <w:pPr>
      <w:keepNext/>
      <w:autoSpaceDE w:val="0"/>
      <w:autoSpaceDN w:val="0"/>
      <w:adjustRightInd w:val="0"/>
      <w:spacing w:after="0" w:line="240" w:lineRule="auto"/>
      <w:jc w:val="center"/>
      <w:outlineLvl w:val="5"/>
    </w:pPr>
    <w:rPr>
      <w:rFonts w:ascii="Arial Narrow" w:eastAsia="Times New Roman" w:hAnsi="Arial Narrow" w:cs="Arial"/>
      <w:b/>
      <w:bCs/>
      <w:color w:val="000000"/>
      <w:sz w:val="16"/>
      <w:szCs w:val="24"/>
      <w:lang w:val="es-ES" w:eastAsia="es-ES"/>
    </w:rPr>
  </w:style>
  <w:style w:type="paragraph" w:styleId="Ttulo7">
    <w:name w:val="heading 7"/>
    <w:basedOn w:val="Normal"/>
    <w:next w:val="Normal"/>
    <w:link w:val="Ttulo7Car"/>
    <w:qFormat/>
    <w:rsid w:val="002615F9"/>
    <w:pPr>
      <w:keepNext/>
      <w:spacing w:after="0" w:line="240" w:lineRule="auto"/>
      <w:ind w:left="1418"/>
      <w:jc w:val="both"/>
      <w:outlineLvl w:val="6"/>
    </w:pPr>
    <w:rPr>
      <w:rFonts w:ascii="Arial Narrow" w:eastAsia="Times New Roman" w:hAnsi="Arial Narrow" w:cs="Arial"/>
      <w:b/>
      <w:bCs/>
      <w:sz w:val="16"/>
      <w:szCs w:val="24"/>
      <w:lang w:val="es-ES" w:eastAsia="es-ES"/>
    </w:rPr>
  </w:style>
  <w:style w:type="paragraph" w:styleId="Ttulo8">
    <w:name w:val="heading 8"/>
    <w:basedOn w:val="Normal"/>
    <w:next w:val="Normal"/>
    <w:link w:val="Ttulo8Car"/>
    <w:qFormat/>
    <w:rsid w:val="002615F9"/>
    <w:pPr>
      <w:keepNext/>
      <w:spacing w:before="60" w:after="60" w:line="240" w:lineRule="auto"/>
      <w:ind w:left="312" w:hanging="255"/>
      <w:jc w:val="center"/>
      <w:outlineLvl w:val="7"/>
    </w:pPr>
    <w:rPr>
      <w:rFonts w:ascii="Arial" w:eastAsia="Times New Roman" w:hAnsi="Arial" w:cs="Arial"/>
      <w:b/>
      <w:bCs/>
      <w:sz w:val="16"/>
      <w:szCs w:val="24"/>
      <w:lang w:val="es-ES" w:eastAsia="es-ES"/>
    </w:rPr>
  </w:style>
  <w:style w:type="paragraph" w:styleId="Ttulo9">
    <w:name w:val="heading 9"/>
    <w:basedOn w:val="Normal"/>
    <w:next w:val="Normal"/>
    <w:link w:val="Ttulo9Car"/>
    <w:qFormat/>
    <w:rsid w:val="002615F9"/>
    <w:pPr>
      <w:keepNext/>
      <w:framePr w:hSpace="340" w:vSpace="113" w:wrap="around" w:vAnchor="text" w:hAnchor="margin" w:xAlign="right" w:y="71"/>
      <w:autoSpaceDE w:val="0"/>
      <w:autoSpaceDN w:val="0"/>
      <w:adjustRightInd w:val="0"/>
      <w:spacing w:before="60" w:after="0" w:line="240" w:lineRule="auto"/>
      <w:suppressOverlap/>
      <w:jc w:val="center"/>
      <w:outlineLvl w:val="8"/>
    </w:pPr>
    <w:rPr>
      <w:rFonts w:ascii="Arial Narrow" w:eastAsia="Times New Roman" w:hAnsi="Arial Narrow" w:cs="Times New Roman"/>
      <w:b/>
      <w:bCs/>
      <w:color w:val="000000"/>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nota,pie,Letrero,margen,Pie,de,página,margen Car Car"/>
    <w:basedOn w:val="Normal"/>
    <w:link w:val="TextonotapieCar"/>
    <w:uiPriority w:val="99"/>
    <w:unhideWhenUsed/>
    <w:rsid w:val="00EA5418"/>
    <w:pPr>
      <w:spacing w:after="0" w:line="240" w:lineRule="auto"/>
    </w:pPr>
    <w:rPr>
      <w:sz w:val="20"/>
      <w:szCs w:val="20"/>
    </w:rPr>
  </w:style>
  <w:style w:type="character" w:customStyle="1" w:styleId="TextonotapieCar">
    <w:name w:val="Texto nota pie Car"/>
    <w:aliases w:val="nota Car,pie Car,Letrero Car,margen Car,Pie Car,de Car,página Car,margen Car Car Car"/>
    <w:basedOn w:val="Fuentedeprrafopredeter"/>
    <w:link w:val="Textonotapie"/>
    <w:uiPriority w:val="99"/>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aliases w:val="independiente"/>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6E77DD"/>
    <w:rPr>
      <w:rFonts w:ascii="Tahoma" w:hAnsi="Tahoma" w:cs="Tahoma"/>
      <w:sz w:val="16"/>
      <w:szCs w:val="16"/>
    </w:rPr>
  </w:style>
  <w:style w:type="paragraph" w:styleId="Prrafodelista">
    <w:name w:val="List Paragraph"/>
    <w:basedOn w:val="Normal"/>
    <w:uiPriority w:val="1"/>
    <w:qFormat/>
    <w:rsid w:val="0079582C"/>
    <w:pPr>
      <w:ind w:left="720"/>
      <w:contextualSpacing/>
    </w:pPr>
  </w:style>
  <w:style w:type="table" w:styleId="Tablaconcuadrcula">
    <w:name w:val="Table Grid"/>
    <w:basedOn w:val="Tablanormal"/>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rsid w:val="002615F9"/>
    <w:rPr>
      <w:rFonts w:ascii="Arial" w:eastAsia="Times New Roman" w:hAnsi="Arial" w:cs="Arial"/>
      <w:b/>
      <w:bCs/>
      <w:kern w:val="32"/>
      <w:sz w:val="32"/>
      <w:szCs w:val="32"/>
      <w:lang w:eastAsia="es-MX"/>
    </w:rPr>
  </w:style>
  <w:style w:type="character" w:customStyle="1" w:styleId="Ttulo2Car">
    <w:name w:val="Título 2 Car"/>
    <w:basedOn w:val="Fuentedeprrafopredeter"/>
    <w:link w:val="Ttulo2"/>
    <w:rsid w:val="002615F9"/>
    <w:rPr>
      <w:rFonts w:ascii="Arial" w:eastAsia="Times New Roman" w:hAnsi="Arial" w:cs="Arial"/>
      <w:b/>
      <w:bCs/>
      <w:sz w:val="20"/>
      <w:szCs w:val="24"/>
      <w:lang w:val="es-ES" w:eastAsia="es-ES"/>
    </w:rPr>
  </w:style>
  <w:style w:type="character" w:customStyle="1" w:styleId="Ttulo3Car">
    <w:name w:val="Título 3 Car"/>
    <w:basedOn w:val="Fuentedeprrafopredeter"/>
    <w:link w:val="Ttulo3"/>
    <w:rsid w:val="002615F9"/>
    <w:rPr>
      <w:rFonts w:ascii="Arial" w:eastAsia="Times New Roman" w:hAnsi="Arial" w:cs="Arial"/>
      <w:b/>
      <w:bCs/>
      <w:sz w:val="26"/>
      <w:szCs w:val="26"/>
      <w:lang w:eastAsia="es-MX"/>
    </w:rPr>
  </w:style>
  <w:style w:type="character" w:customStyle="1" w:styleId="Ttulo4Car">
    <w:name w:val="Título 4 Car"/>
    <w:basedOn w:val="Fuentedeprrafopredeter"/>
    <w:link w:val="Ttulo4"/>
    <w:rsid w:val="002615F9"/>
    <w:rPr>
      <w:rFonts w:ascii="Arial" w:eastAsia="Times New Roman" w:hAnsi="Arial" w:cs="Arial"/>
      <w:b/>
      <w:bCs/>
      <w:sz w:val="20"/>
      <w:szCs w:val="24"/>
      <w:lang w:val="es-ES_tradnl" w:eastAsia="es-ES"/>
    </w:rPr>
  </w:style>
  <w:style w:type="character" w:customStyle="1" w:styleId="Ttulo5Car">
    <w:name w:val="Título 5 Car"/>
    <w:basedOn w:val="Fuentedeprrafopredeter"/>
    <w:link w:val="Ttulo5"/>
    <w:rsid w:val="002615F9"/>
    <w:rPr>
      <w:rFonts w:ascii="Arial" w:eastAsia="Times New Roman" w:hAnsi="Arial" w:cs="Arial"/>
      <w:b/>
      <w:bCs/>
      <w:color w:val="000000"/>
      <w:sz w:val="16"/>
      <w:szCs w:val="24"/>
      <w:lang w:val="es-ES_tradnl" w:eastAsia="es-ES"/>
    </w:rPr>
  </w:style>
  <w:style w:type="character" w:customStyle="1" w:styleId="Ttulo6Car">
    <w:name w:val="Título 6 Car"/>
    <w:basedOn w:val="Fuentedeprrafopredeter"/>
    <w:link w:val="Ttulo6"/>
    <w:rsid w:val="002615F9"/>
    <w:rPr>
      <w:rFonts w:ascii="Arial Narrow" w:eastAsia="Times New Roman" w:hAnsi="Arial Narrow" w:cs="Arial"/>
      <w:b/>
      <w:bCs/>
      <w:color w:val="000000"/>
      <w:sz w:val="16"/>
      <w:szCs w:val="24"/>
      <w:lang w:val="es-ES" w:eastAsia="es-ES"/>
    </w:rPr>
  </w:style>
  <w:style w:type="character" w:customStyle="1" w:styleId="Ttulo7Car">
    <w:name w:val="Título 7 Car"/>
    <w:basedOn w:val="Fuentedeprrafopredeter"/>
    <w:link w:val="Ttulo7"/>
    <w:rsid w:val="002615F9"/>
    <w:rPr>
      <w:rFonts w:ascii="Arial Narrow" w:eastAsia="Times New Roman" w:hAnsi="Arial Narrow" w:cs="Arial"/>
      <w:b/>
      <w:bCs/>
      <w:sz w:val="16"/>
      <w:szCs w:val="24"/>
      <w:lang w:val="es-ES" w:eastAsia="es-ES"/>
    </w:rPr>
  </w:style>
  <w:style w:type="character" w:customStyle="1" w:styleId="Ttulo8Car">
    <w:name w:val="Título 8 Car"/>
    <w:basedOn w:val="Fuentedeprrafopredeter"/>
    <w:link w:val="Ttulo8"/>
    <w:rsid w:val="002615F9"/>
    <w:rPr>
      <w:rFonts w:ascii="Arial" w:eastAsia="Times New Roman" w:hAnsi="Arial" w:cs="Arial"/>
      <w:b/>
      <w:bCs/>
      <w:sz w:val="16"/>
      <w:szCs w:val="24"/>
      <w:lang w:val="es-ES" w:eastAsia="es-ES"/>
    </w:rPr>
  </w:style>
  <w:style w:type="character" w:customStyle="1" w:styleId="Ttulo9Car">
    <w:name w:val="Título 9 Car"/>
    <w:basedOn w:val="Fuentedeprrafopredeter"/>
    <w:link w:val="Ttulo9"/>
    <w:rsid w:val="002615F9"/>
    <w:rPr>
      <w:rFonts w:ascii="Arial Narrow" w:eastAsia="Times New Roman" w:hAnsi="Arial Narrow" w:cs="Times New Roman"/>
      <w:b/>
      <w:bCs/>
      <w:color w:val="000000"/>
      <w:sz w:val="16"/>
      <w:szCs w:val="24"/>
      <w:lang w:val="es-ES" w:eastAsia="es-ES"/>
    </w:rPr>
  </w:style>
  <w:style w:type="paragraph" w:customStyle="1" w:styleId="CharCar">
    <w:name w:val="Char Car"/>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Nmerodepgina">
    <w:name w:val="page number"/>
    <w:basedOn w:val="Fuentedeprrafopredeter"/>
    <w:rsid w:val="002615F9"/>
  </w:style>
  <w:style w:type="paragraph" w:customStyle="1" w:styleId="PRIMERPARRAFO">
    <w:name w:val="PRIMER PARRAFO"/>
    <w:rsid w:val="002615F9"/>
    <w:pPr>
      <w:spacing w:after="240" w:line="240" w:lineRule="exact"/>
      <w:jc w:val="both"/>
    </w:pPr>
    <w:rPr>
      <w:rFonts w:ascii="Times New Roman" w:eastAsia="Times New Roman" w:hAnsi="Times New Roman" w:cs="Times New Roman"/>
      <w:sz w:val="20"/>
      <w:szCs w:val="20"/>
      <w:lang w:val="es-ES_tradnl" w:eastAsia="es-ES"/>
    </w:rPr>
  </w:style>
  <w:style w:type="paragraph" w:customStyle="1" w:styleId="Cabeza">
    <w:name w:val="Cabeza"/>
    <w:rsid w:val="002615F9"/>
    <w:pPr>
      <w:spacing w:after="0" w:line="240" w:lineRule="auto"/>
    </w:pPr>
    <w:rPr>
      <w:rFonts w:ascii="Arial" w:eastAsia="Times New Roman" w:hAnsi="Arial" w:cs="Times New Roman"/>
      <w:color w:val="000000"/>
      <w:sz w:val="20"/>
      <w:szCs w:val="20"/>
      <w:lang w:eastAsia="es-ES"/>
    </w:rPr>
  </w:style>
  <w:style w:type="paragraph" w:customStyle="1" w:styleId="VIETACar">
    <w:name w:val="_VIÑETA Car"/>
    <w:aliases w:val="NEGRA Car"/>
    <w:basedOn w:val="Normal"/>
    <w:rsid w:val="002615F9"/>
    <w:pPr>
      <w:tabs>
        <w:tab w:val="num" w:pos="340"/>
      </w:tabs>
      <w:spacing w:before="110" w:after="110" w:line="260" w:lineRule="exact"/>
      <w:ind w:left="340" w:hanging="340"/>
      <w:jc w:val="both"/>
    </w:pPr>
    <w:rPr>
      <w:rFonts w:ascii="Arial Narrow" w:eastAsia="Times New Roman" w:hAnsi="Arial Narrow" w:cs="Times New Roman"/>
      <w:sz w:val="21"/>
      <w:szCs w:val="24"/>
      <w:lang w:val="es-ES" w:eastAsia="es-ES"/>
    </w:rPr>
  </w:style>
  <w:style w:type="paragraph" w:styleId="Textoindependiente">
    <w:name w:val="Body Text"/>
    <w:aliases w:val="Letrero margen"/>
    <w:basedOn w:val="Normal"/>
    <w:link w:val="TextoindependienteCar"/>
    <w:rsid w:val="002615F9"/>
    <w:pPr>
      <w:autoSpaceDE w:val="0"/>
      <w:autoSpaceDN w:val="0"/>
      <w:adjustRightInd w:val="0"/>
      <w:spacing w:after="0" w:line="240" w:lineRule="auto"/>
      <w:jc w:val="center"/>
    </w:pPr>
    <w:rPr>
      <w:rFonts w:ascii="Arial" w:eastAsia="Times New Roman" w:hAnsi="Arial" w:cs="Arial"/>
      <w:color w:val="000000"/>
      <w:sz w:val="14"/>
      <w:szCs w:val="14"/>
      <w:lang w:val="es-ES_tradnl" w:eastAsia="es-ES"/>
    </w:rPr>
  </w:style>
  <w:style w:type="character" w:customStyle="1" w:styleId="TextoindependienteCar">
    <w:name w:val="Texto independiente Car"/>
    <w:aliases w:val="Letrero margen Car"/>
    <w:basedOn w:val="Fuentedeprrafopredeter"/>
    <w:link w:val="Textoindependiente"/>
    <w:rsid w:val="002615F9"/>
    <w:rPr>
      <w:rFonts w:ascii="Arial" w:eastAsia="Times New Roman" w:hAnsi="Arial" w:cs="Arial"/>
      <w:color w:val="000000"/>
      <w:sz w:val="14"/>
      <w:szCs w:val="14"/>
      <w:lang w:val="es-ES_tradnl" w:eastAsia="es-ES"/>
    </w:rPr>
  </w:style>
  <w:style w:type="paragraph" w:customStyle="1" w:styleId="xl23">
    <w:name w:val="xl23"/>
    <w:basedOn w:val="Normal"/>
    <w:rsid w:val="002615F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xl22">
    <w:name w:val="xl22"/>
    <w:basedOn w:val="Normal"/>
    <w:rsid w:val="002615F9"/>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Estilo1">
    <w:name w:val="Estilo1"/>
    <w:basedOn w:val="Normal"/>
    <w:autoRedefine/>
    <w:rsid w:val="002615F9"/>
    <w:pPr>
      <w:spacing w:before="60" w:after="0" w:line="240" w:lineRule="auto"/>
      <w:jc w:val="both"/>
    </w:pPr>
    <w:rPr>
      <w:rFonts w:ascii="Arial Narrow" w:eastAsia="Times New Roman" w:hAnsi="Arial Narrow" w:cs="Arial"/>
      <w:sz w:val="16"/>
      <w:szCs w:val="24"/>
      <w:lang w:val="es-ES_tradnl" w:eastAsia="es-ES"/>
    </w:rPr>
  </w:style>
  <w:style w:type="character" w:customStyle="1" w:styleId="Negritas">
    <w:name w:val="Negritas"/>
    <w:aliases w:val="Parrafo"/>
    <w:rsid w:val="002615F9"/>
    <w:rPr>
      <w:b/>
      <w:sz w:val="20"/>
    </w:rPr>
  </w:style>
  <w:style w:type="paragraph" w:styleId="Textoindependiente3">
    <w:name w:val="Body Text 3"/>
    <w:basedOn w:val="Normal"/>
    <w:link w:val="Textoindependiente3Car"/>
    <w:rsid w:val="002615F9"/>
    <w:pPr>
      <w:autoSpaceDE w:val="0"/>
      <w:autoSpaceDN w:val="0"/>
      <w:adjustRightInd w:val="0"/>
      <w:spacing w:after="60" w:line="240" w:lineRule="auto"/>
      <w:jc w:val="both"/>
    </w:pPr>
    <w:rPr>
      <w:rFonts w:ascii="Arial" w:eastAsia="Times New Roman" w:hAnsi="Arial" w:cs="Arial"/>
      <w:b/>
      <w:bCs/>
      <w:color w:val="000000"/>
      <w:sz w:val="18"/>
      <w:szCs w:val="14"/>
      <w:lang w:val="es-ES_tradnl" w:eastAsia="es-ES"/>
    </w:rPr>
  </w:style>
  <w:style w:type="character" w:customStyle="1" w:styleId="Textoindependiente3Car">
    <w:name w:val="Texto independiente 3 Car"/>
    <w:basedOn w:val="Fuentedeprrafopredeter"/>
    <w:link w:val="Textoindependiente3"/>
    <w:rsid w:val="002615F9"/>
    <w:rPr>
      <w:rFonts w:ascii="Arial" w:eastAsia="Times New Roman" w:hAnsi="Arial" w:cs="Arial"/>
      <w:b/>
      <w:bCs/>
      <w:color w:val="000000"/>
      <w:sz w:val="18"/>
      <w:szCs w:val="14"/>
      <w:lang w:val="es-ES_tradnl" w:eastAsia="es-ES"/>
    </w:rPr>
  </w:style>
  <w:style w:type="paragraph" w:styleId="Textoindependiente2">
    <w:name w:val="Body Text 2"/>
    <w:basedOn w:val="Normal"/>
    <w:link w:val="Textoindependiente2Car"/>
    <w:rsid w:val="002615F9"/>
    <w:pPr>
      <w:autoSpaceDE w:val="0"/>
      <w:autoSpaceDN w:val="0"/>
      <w:adjustRightInd w:val="0"/>
      <w:spacing w:after="60" w:line="240" w:lineRule="auto"/>
      <w:jc w:val="both"/>
    </w:pPr>
    <w:rPr>
      <w:rFonts w:ascii="Arial" w:eastAsia="Times New Roman" w:hAnsi="Arial" w:cs="Arial"/>
      <w:color w:val="000000"/>
      <w:sz w:val="16"/>
      <w:szCs w:val="14"/>
      <w:lang w:val="es-ES_tradnl" w:eastAsia="es-ES"/>
    </w:rPr>
  </w:style>
  <w:style w:type="character" w:customStyle="1" w:styleId="Textoindependiente2Car">
    <w:name w:val="Texto independiente 2 Car"/>
    <w:basedOn w:val="Fuentedeprrafopredeter"/>
    <w:link w:val="Textoindependiente2"/>
    <w:rsid w:val="002615F9"/>
    <w:rPr>
      <w:rFonts w:ascii="Arial" w:eastAsia="Times New Roman" w:hAnsi="Arial" w:cs="Arial"/>
      <w:color w:val="000000"/>
      <w:sz w:val="16"/>
      <w:szCs w:val="14"/>
      <w:lang w:val="es-ES_tradnl" w:eastAsia="es-ES"/>
    </w:rPr>
  </w:style>
  <w:style w:type="paragraph" w:styleId="Ttulo">
    <w:name w:val="Title"/>
    <w:basedOn w:val="Normal"/>
    <w:link w:val="TtuloCar"/>
    <w:qFormat/>
    <w:rsid w:val="002615F9"/>
    <w:pPr>
      <w:spacing w:after="0" w:line="240" w:lineRule="exact"/>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rsid w:val="002615F9"/>
    <w:rPr>
      <w:rFonts w:ascii="Arial" w:eastAsia="Times New Roman" w:hAnsi="Arial" w:cs="Arial"/>
      <w:b/>
      <w:bCs/>
      <w:sz w:val="20"/>
      <w:szCs w:val="24"/>
      <w:lang w:val="es-ES" w:eastAsia="es-ES"/>
    </w:rPr>
  </w:style>
  <w:style w:type="paragraph" w:styleId="Textocomentario">
    <w:name w:val="annotation text"/>
    <w:basedOn w:val="Normal"/>
    <w:link w:val="TextocomentarioCar"/>
    <w:semiHidden/>
    <w:rsid w:val="002615F9"/>
    <w:pPr>
      <w:spacing w:after="0" w:line="240" w:lineRule="auto"/>
      <w:jc w:val="both"/>
    </w:pPr>
    <w:rPr>
      <w:rFonts w:ascii="Arial" w:eastAsia="Times New Roman" w:hAnsi="Arial" w:cs="Times New Roman"/>
      <w:sz w:val="20"/>
      <w:szCs w:val="20"/>
      <w:lang w:val="es-ES_tradnl" w:eastAsia="x-none"/>
    </w:rPr>
  </w:style>
  <w:style w:type="character" w:customStyle="1" w:styleId="TextocomentarioCar">
    <w:name w:val="Texto comentario Car"/>
    <w:basedOn w:val="Fuentedeprrafopredeter"/>
    <w:link w:val="Textocomentario"/>
    <w:semiHidden/>
    <w:rsid w:val="002615F9"/>
    <w:rPr>
      <w:rFonts w:ascii="Arial" w:eastAsia="Times New Roman" w:hAnsi="Arial" w:cs="Times New Roman"/>
      <w:sz w:val="20"/>
      <w:szCs w:val="20"/>
      <w:lang w:val="es-ES_tradnl" w:eastAsia="x-none"/>
    </w:rPr>
  </w:style>
  <w:style w:type="paragraph" w:customStyle="1" w:styleId="xl24">
    <w:name w:val="xl24"/>
    <w:basedOn w:val="Normal"/>
    <w:rsid w:val="002615F9"/>
    <w:pPr>
      <w:spacing w:before="100" w:beforeAutospacing="1" w:after="100" w:afterAutospacing="1" w:line="240" w:lineRule="auto"/>
    </w:pPr>
    <w:rPr>
      <w:rFonts w:ascii="Univers" w:eastAsia="Arial Unicode MS" w:hAnsi="Univers" w:cs="Arial Unicode MS"/>
      <w:sz w:val="14"/>
      <w:szCs w:val="14"/>
      <w:lang w:val="es-ES" w:eastAsia="es-ES"/>
    </w:rPr>
  </w:style>
  <w:style w:type="paragraph" w:customStyle="1" w:styleId="xl25">
    <w:name w:val="xl25"/>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6">
    <w:name w:val="xl26"/>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7">
    <w:name w:val="xl27"/>
    <w:basedOn w:val="Normal"/>
    <w:rsid w:val="002615F9"/>
    <w:pPr>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28">
    <w:name w:val="xl28"/>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9">
    <w:name w:val="xl29"/>
    <w:basedOn w:val="Normal"/>
    <w:rsid w:val="002615F9"/>
    <w:pPr>
      <w:pBdr>
        <w:top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0">
    <w:name w:val="xl30"/>
    <w:basedOn w:val="Normal"/>
    <w:rsid w:val="002615F9"/>
    <w:pPr>
      <w:pBdr>
        <w:top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1">
    <w:name w:val="xl31"/>
    <w:basedOn w:val="Normal"/>
    <w:rsid w:val="002615F9"/>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32">
    <w:name w:val="xl32"/>
    <w:basedOn w:val="Normal"/>
    <w:rsid w:val="002615F9"/>
    <w:pP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3">
    <w:name w:val="xl33"/>
    <w:basedOn w:val="Normal"/>
    <w:rsid w:val="002615F9"/>
    <w:pP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4">
    <w:name w:val="xl34"/>
    <w:basedOn w:val="Normal"/>
    <w:rsid w:val="002615F9"/>
    <w:pPr>
      <w:pBdr>
        <w:bottom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5">
    <w:name w:val="xl35"/>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6">
    <w:name w:val="xl36"/>
    <w:basedOn w:val="Normal"/>
    <w:rsid w:val="002615F9"/>
    <w:pPr>
      <w:pBdr>
        <w:top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7">
    <w:name w:val="xl3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8">
    <w:name w:val="xl38"/>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9">
    <w:name w:val="xl3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0">
    <w:name w:val="xl40"/>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1">
    <w:name w:val="xl41"/>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2">
    <w:name w:val="xl42"/>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3">
    <w:name w:val="xl43"/>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4">
    <w:name w:val="xl44"/>
    <w:basedOn w:val="Normal"/>
    <w:rsid w:val="002615F9"/>
    <w:pPr>
      <w:pBdr>
        <w:top w:val="single" w:sz="4" w:space="0" w:color="auto"/>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45">
    <w:name w:val="xl45"/>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6">
    <w:name w:val="xl46"/>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7">
    <w:name w:val="xl4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8">
    <w:name w:val="xl48"/>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9">
    <w:name w:val="xl4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0">
    <w:name w:val="xl50"/>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1">
    <w:name w:val="xl51"/>
    <w:basedOn w:val="Normal"/>
    <w:rsid w:val="002615F9"/>
    <w:pP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52">
    <w:name w:val="xl52"/>
    <w:basedOn w:val="Normal"/>
    <w:rsid w:val="002615F9"/>
    <w:pPr>
      <w:pBdr>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BodyText21">
    <w:name w:val="Body Text 21"/>
    <w:basedOn w:val="Normal"/>
    <w:rsid w:val="002615F9"/>
    <w:pPr>
      <w:spacing w:after="0" w:line="240" w:lineRule="auto"/>
      <w:jc w:val="both"/>
    </w:pPr>
    <w:rPr>
      <w:rFonts w:ascii="Arial" w:eastAsia="Times New Roman" w:hAnsi="Arial" w:cs="Times New Roman"/>
      <w:sz w:val="24"/>
      <w:szCs w:val="20"/>
      <w:lang w:val="es-ES_tradnl" w:eastAsia="es-ES"/>
    </w:rPr>
  </w:style>
  <w:style w:type="paragraph" w:customStyle="1" w:styleId="texto0">
    <w:name w:val="texto"/>
    <w:basedOn w:val="Normal"/>
    <w:rsid w:val="002615F9"/>
    <w:pPr>
      <w:spacing w:after="101" w:line="216" w:lineRule="atLeast"/>
      <w:ind w:firstLine="288"/>
      <w:jc w:val="both"/>
    </w:pPr>
    <w:rPr>
      <w:rFonts w:ascii="Arial" w:eastAsia="Times New Roman" w:hAnsi="Arial" w:cs="Arial"/>
      <w:sz w:val="18"/>
      <w:szCs w:val="20"/>
      <w:lang w:val="es-ES_tradnl" w:eastAsia="es-MX"/>
    </w:rPr>
  </w:style>
  <w:style w:type="paragraph" w:styleId="Sangra3detindependiente">
    <w:name w:val="Body Text Indent 3"/>
    <w:basedOn w:val="Normal"/>
    <w:link w:val="Sangra3detindependienteCar"/>
    <w:rsid w:val="002615F9"/>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615F9"/>
    <w:rPr>
      <w:rFonts w:ascii="Times New Roman" w:eastAsia="Times New Roman" w:hAnsi="Times New Roman" w:cs="Times New Roman"/>
      <w:sz w:val="16"/>
      <w:szCs w:val="16"/>
      <w:lang w:val="es-ES" w:eastAsia="es-ES"/>
    </w:rPr>
  </w:style>
  <w:style w:type="paragraph" w:customStyle="1" w:styleId="WW-Sangra3detindependiente">
    <w:name w:val="WW-Sangría 3 de t. independiente"/>
    <w:basedOn w:val="Normal"/>
    <w:rsid w:val="002615F9"/>
    <w:pPr>
      <w:suppressAutoHyphens/>
      <w:spacing w:after="0" w:line="240" w:lineRule="auto"/>
      <w:ind w:left="540" w:firstLine="1"/>
      <w:jc w:val="both"/>
    </w:pPr>
    <w:rPr>
      <w:rFonts w:ascii="Arial" w:eastAsia="Times New Roman" w:hAnsi="Arial" w:cs="Times New Roman"/>
      <w:color w:val="000000"/>
      <w:sz w:val="24"/>
      <w:szCs w:val="20"/>
      <w:lang w:val="es-ES" w:eastAsia="es-MX"/>
    </w:rPr>
  </w:style>
  <w:style w:type="paragraph" w:styleId="Textonotaalfinal">
    <w:name w:val="endnote text"/>
    <w:basedOn w:val="Normal"/>
    <w:link w:val="TextonotaalfinalCar"/>
    <w:rsid w:val="002615F9"/>
    <w:pPr>
      <w:spacing w:after="0" w:line="240" w:lineRule="auto"/>
      <w:jc w:val="both"/>
    </w:pPr>
    <w:rPr>
      <w:rFonts w:ascii="Arial" w:eastAsia="Times New Roman" w:hAnsi="Arial" w:cs="Times New Roman"/>
      <w:sz w:val="20"/>
      <w:szCs w:val="20"/>
      <w:lang w:val="x-none" w:eastAsia="es-ES"/>
    </w:rPr>
  </w:style>
  <w:style w:type="character" w:customStyle="1" w:styleId="TextonotaalfinalCar">
    <w:name w:val="Texto nota al final Car"/>
    <w:basedOn w:val="Fuentedeprrafopredeter"/>
    <w:link w:val="Textonotaalfinal"/>
    <w:rsid w:val="002615F9"/>
    <w:rPr>
      <w:rFonts w:ascii="Arial" w:eastAsia="Times New Roman" w:hAnsi="Arial" w:cs="Times New Roman"/>
      <w:sz w:val="20"/>
      <w:szCs w:val="20"/>
      <w:lang w:val="x-none" w:eastAsia="es-ES"/>
    </w:rPr>
  </w:style>
  <w:style w:type="character" w:styleId="Refdenotaalfinal">
    <w:name w:val="endnote reference"/>
    <w:rsid w:val="002615F9"/>
    <w:rPr>
      <w:vertAlign w:val="superscript"/>
    </w:rPr>
  </w:style>
  <w:style w:type="paragraph" w:customStyle="1" w:styleId="CharCar2">
    <w:name w:val="Char Car2"/>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Refdecomentario">
    <w:name w:val="annotation reference"/>
    <w:rsid w:val="002615F9"/>
    <w:rPr>
      <w:sz w:val="16"/>
      <w:szCs w:val="16"/>
    </w:rPr>
  </w:style>
  <w:style w:type="paragraph" w:styleId="Asuntodelcomentario">
    <w:name w:val="annotation subject"/>
    <w:basedOn w:val="Textocomentario"/>
    <w:next w:val="Textocomentario"/>
    <w:link w:val="AsuntodelcomentarioCar"/>
    <w:rsid w:val="002615F9"/>
    <w:pPr>
      <w:spacing w:after="240"/>
    </w:pPr>
    <w:rPr>
      <w:b/>
      <w:bCs/>
      <w:lang w:val="es-MX"/>
    </w:rPr>
  </w:style>
  <w:style w:type="character" w:customStyle="1" w:styleId="AsuntodelcomentarioCar">
    <w:name w:val="Asunto del comentario Car"/>
    <w:basedOn w:val="TextocomentarioCar"/>
    <w:link w:val="Asuntodelcomentario"/>
    <w:rsid w:val="002615F9"/>
    <w:rPr>
      <w:rFonts w:ascii="Arial" w:eastAsia="Times New Roman" w:hAnsi="Arial" w:cs="Times New Roman"/>
      <w:b/>
      <w:bCs/>
      <w:sz w:val="20"/>
      <w:szCs w:val="20"/>
      <w:lang w:val="es-ES_tradnl" w:eastAsia="x-none"/>
    </w:rPr>
  </w:style>
  <w:style w:type="character" w:styleId="nfasis">
    <w:name w:val="Emphasis"/>
    <w:qFormat/>
    <w:rsid w:val="002615F9"/>
    <w:rPr>
      <w:i/>
      <w:iCs/>
    </w:rPr>
  </w:style>
  <w:style w:type="paragraph" w:styleId="Subttulo">
    <w:name w:val="Subtitle"/>
    <w:basedOn w:val="Normal"/>
    <w:next w:val="Normal"/>
    <w:link w:val="SubttuloCar"/>
    <w:qFormat/>
    <w:rsid w:val="002615F9"/>
    <w:pPr>
      <w:spacing w:after="60" w:line="240" w:lineRule="auto"/>
      <w:jc w:val="center"/>
      <w:outlineLvl w:val="1"/>
    </w:pPr>
    <w:rPr>
      <w:rFonts w:ascii="Cambria" w:eastAsia="Times New Roman" w:hAnsi="Cambria" w:cs="Times New Roman"/>
      <w:sz w:val="24"/>
      <w:szCs w:val="24"/>
      <w:lang w:eastAsia="x-none"/>
    </w:rPr>
  </w:style>
  <w:style w:type="character" w:customStyle="1" w:styleId="SubttuloCar">
    <w:name w:val="Subtítulo Car"/>
    <w:basedOn w:val="Fuentedeprrafopredeter"/>
    <w:link w:val="Subttulo"/>
    <w:rsid w:val="002615F9"/>
    <w:rPr>
      <w:rFonts w:ascii="Cambria" w:eastAsia="Times New Roman" w:hAnsi="Cambria" w:cs="Times New Roman"/>
      <w:sz w:val="24"/>
      <w:szCs w:val="24"/>
      <w:lang w:eastAsia="x-none"/>
    </w:rPr>
  </w:style>
  <w:style w:type="paragraph" w:customStyle="1" w:styleId="CharCar1">
    <w:name w:val="Char Car1"/>
    <w:basedOn w:val="Normal"/>
    <w:rsid w:val="002615F9"/>
    <w:pPr>
      <w:autoSpaceDE w:val="0"/>
      <w:autoSpaceDN w:val="0"/>
      <w:spacing w:after="160" w:line="240" w:lineRule="exact"/>
    </w:pPr>
    <w:rPr>
      <w:rFonts w:ascii="Arial" w:eastAsia="Times New Roman" w:hAnsi="Arial" w:cs="Arial"/>
      <w:sz w:val="20"/>
      <w:szCs w:val="20"/>
      <w:lang w:val="en-US"/>
    </w:rPr>
  </w:style>
  <w:style w:type="paragraph" w:styleId="Revisin">
    <w:name w:val="Revision"/>
    <w:hidden/>
    <w:uiPriority w:val="99"/>
    <w:semiHidden/>
    <w:rsid w:val="002615F9"/>
    <w:pPr>
      <w:spacing w:after="0" w:line="240" w:lineRule="auto"/>
    </w:pPr>
    <w:rPr>
      <w:rFonts w:ascii="Arial" w:eastAsia="Times New Roman" w:hAnsi="Arial" w:cs="Times New Roman"/>
      <w:sz w:val="24"/>
      <w:szCs w:val="24"/>
      <w:lang w:eastAsia="es-ES"/>
    </w:rPr>
  </w:style>
  <w:style w:type="character" w:customStyle="1" w:styleId="apple-converted-space">
    <w:name w:val="apple-converted-space"/>
    <w:basedOn w:val="Fuentedeprrafopredeter"/>
    <w:rsid w:val="002615F9"/>
  </w:style>
  <w:style w:type="character" w:styleId="Hipervnculo">
    <w:name w:val="Hyperlink"/>
    <w:uiPriority w:val="99"/>
    <w:unhideWhenUsed/>
    <w:rsid w:val="002615F9"/>
    <w:rPr>
      <w:color w:val="0000FF"/>
      <w:u w:val="single"/>
    </w:rPr>
  </w:style>
  <w:style w:type="paragraph" w:customStyle="1" w:styleId="bullet">
    <w:name w:val="bullet"/>
    <w:basedOn w:val="Normal"/>
    <w:rsid w:val="002615F9"/>
    <w:pPr>
      <w:numPr>
        <w:numId w:val="2"/>
      </w:numPr>
      <w:tabs>
        <w:tab w:val="left" w:pos="7655"/>
      </w:tabs>
      <w:spacing w:before="360" w:after="0" w:line="240" w:lineRule="auto"/>
      <w:ind w:right="758"/>
      <w:jc w:val="both"/>
    </w:pPr>
    <w:rPr>
      <w:rFonts w:ascii="Arial" w:eastAsia="Times New Roman" w:hAnsi="Arial" w:cs="Times New Roman"/>
      <w:b/>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388498637">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18730095">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641232409">
      <w:bodyDiv w:val="1"/>
      <w:marLeft w:val="0"/>
      <w:marRight w:val="0"/>
      <w:marTop w:val="0"/>
      <w:marBottom w:val="0"/>
      <w:divBdr>
        <w:top w:val="none" w:sz="0" w:space="0" w:color="auto"/>
        <w:left w:val="none" w:sz="0" w:space="0" w:color="auto"/>
        <w:bottom w:val="none" w:sz="0" w:space="0" w:color="auto"/>
        <w:right w:val="none" w:sz="0" w:space="0" w:color="auto"/>
      </w:divBdr>
    </w:div>
    <w:div w:id="730931073">
      <w:bodyDiv w:val="1"/>
      <w:marLeft w:val="0"/>
      <w:marRight w:val="0"/>
      <w:marTop w:val="0"/>
      <w:marBottom w:val="0"/>
      <w:divBdr>
        <w:top w:val="none" w:sz="0" w:space="0" w:color="auto"/>
        <w:left w:val="none" w:sz="0" w:space="0" w:color="auto"/>
        <w:bottom w:val="none" w:sz="0" w:space="0" w:color="auto"/>
        <w:right w:val="none" w:sz="0" w:space="0" w:color="auto"/>
      </w:divBdr>
    </w:div>
    <w:div w:id="733358534">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24862124">
      <w:bodyDiv w:val="1"/>
      <w:marLeft w:val="0"/>
      <w:marRight w:val="0"/>
      <w:marTop w:val="0"/>
      <w:marBottom w:val="0"/>
      <w:divBdr>
        <w:top w:val="none" w:sz="0" w:space="0" w:color="auto"/>
        <w:left w:val="none" w:sz="0" w:space="0" w:color="auto"/>
        <w:bottom w:val="none" w:sz="0" w:space="0" w:color="auto"/>
        <w:right w:val="none" w:sz="0" w:space="0" w:color="auto"/>
      </w:divBdr>
    </w:div>
    <w:div w:id="8519946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73028251">
      <w:bodyDiv w:val="1"/>
      <w:marLeft w:val="0"/>
      <w:marRight w:val="0"/>
      <w:marTop w:val="0"/>
      <w:marBottom w:val="0"/>
      <w:divBdr>
        <w:top w:val="none" w:sz="0" w:space="0" w:color="auto"/>
        <w:left w:val="none" w:sz="0" w:space="0" w:color="auto"/>
        <w:bottom w:val="none" w:sz="0" w:space="0" w:color="auto"/>
        <w:right w:val="none" w:sz="0" w:space="0" w:color="auto"/>
      </w:divBdr>
    </w:div>
    <w:div w:id="991061283">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71350324">
      <w:bodyDiv w:val="1"/>
      <w:marLeft w:val="0"/>
      <w:marRight w:val="0"/>
      <w:marTop w:val="0"/>
      <w:marBottom w:val="0"/>
      <w:divBdr>
        <w:top w:val="none" w:sz="0" w:space="0" w:color="auto"/>
        <w:left w:val="none" w:sz="0" w:space="0" w:color="auto"/>
        <w:bottom w:val="none" w:sz="0" w:space="0" w:color="auto"/>
        <w:right w:val="none" w:sz="0" w:space="0" w:color="auto"/>
      </w:divBdr>
    </w:div>
    <w:div w:id="1297104432">
      <w:bodyDiv w:val="1"/>
      <w:marLeft w:val="0"/>
      <w:marRight w:val="0"/>
      <w:marTop w:val="0"/>
      <w:marBottom w:val="0"/>
      <w:divBdr>
        <w:top w:val="none" w:sz="0" w:space="0" w:color="auto"/>
        <w:left w:val="none" w:sz="0" w:space="0" w:color="auto"/>
        <w:bottom w:val="none" w:sz="0" w:space="0" w:color="auto"/>
        <w:right w:val="none" w:sz="0" w:space="0" w:color="auto"/>
      </w:divBdr>
    </w:div>
    <w:div w:id="1310162600">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368752087">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8933970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12607950">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00491868">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4064618">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Excel_Worksheet1.xlsx"/><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31182-0987-4AD7-B93D-39D45B15E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18519</Words>
  <Characters>101856</Characters>
  <Application>Microsoft Office Word</Application>
  <DocSecurity>0</DocSecurity>
  <Lines>848</Lines>
  <Paragraphs>240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Usuario</cp:lastModifiedBy>
  <cp:revision>2</cp:revision>
  <cp:lastPrinted>2026-04-17T17:03:00Z</cp:lastPrinted>
  <dcterms:created xsi:type="dcterms:W3CDTF">2026-04-30T00:52:00Z</dcterms:created>
  <dcterms:modified xsi:type="dcterms:W3CDTF">2026-04-30T00:52:00Z</dcterms:modified>
</cp:coreProperties>
</file>