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4616" w14:textId="77777777" w:rsidR="00FC2FC4" w:rsidRDefault="00FC2FC4" w:rsidP="00112C8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7460FB3" w14:textId="1310C3FC" w:rsidR="00337D64" w:rsidRPr="00337D64" w:rsidRDefault="00337D64" w:rsidP="00112C8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37D64">
        <w:rPr>
          <w:rFonts w:ascii="Arial" w:hAnsi="Arial" w:cs="Arial"/>
          <w:b/>
          <w:bCs/>
          <w:sz w:val="18"/>
          <w:szCs w:val="18"/>
        </w:rPr>
        <w:t>ARCHIVO GENERAL E HISTÓRICO DEL ESTADO DE TLAXCALA</w:t>
      </w:r>
    </w:p>
    <w:p w14:paraId="3C462E59" w14:textId="77777777" w:rsidR="00FC2FC4" w:rsidRDefault="00FC2FC4" w:rsidP="00112C82">
      <w:pPr>
        <w:jc w:val="center"/>
        <w:rPr>
          <w:rFonts w:ascii="Arial" w:hAnsi="Arial" w:cs="Arial"/>
          <w:sz w:val="18"/>
          <w:szCs w:val="18"/>
        </w:rPr>
      </w:pPr>
    </w:p>
    <w:p w14:paraId="6D3CB386" w14:textId="255B57DB" w:rsidR="00112C82" w:rsidRPr="00441A0E" w:rsidRDefault="00112C82" w:rsidP="00112C82">
      <w:pPr>
        <w:jc w:val="center"/>
        <w:rPr>
          <w:rFonts w:ascii="Arial" w:hAnsi="Arial" w:cs="Arial"/>
          <w:sz w:val="18"/>
          <w:szCs w:val="18"/>
        </w:rPr>
      </w:pPr>
      <w:r w:rsidRPr="00441A0E">
        <w:rPr>
          <w:rFonts w:ascii="Arial" w:hAnsi="Arial" w:cs="Arial"/>
          <w:sz w:val="18"/>
          <w:szCs w:val="18"/>
        </w:rPr>
        <w:t>Introducción</w:t>
      </w:r>
    </w:p>
    <w:p w14:paraId="27C880C0" w14:textId="77777777" w:rsidR="0010532C" w:rsidRDefault="0010532C" w:rsidP="00981DDB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  <w:lang w:val="es-ES_tradnl"/>
        </w:rPr>
      </w:pPr>
    </w:p>
    <w:p w14:paraId="69305C61" w14:textId="77777777" w:rsidR="0010532C" w:rsidRDefault="0010532C" w:rsidP="00981DDB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  <w:lang w:val="es-ES_tradnl"/>
        </w:rPr>
      </w:pPr>
    </w:p>
    <w:p w14:paraId="393E9B0E" w14:textId="270C11CC" w:rsidR="0010532C" w:rsidRDefault="0010532C" w:rsidP="001053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0532C">
        <w:rPr>
          <w:rFonts w:ascii="Arial" w:hAnsi="Arial" w:cs="Arial"/>
          <w:sz w:val="18"/>
          <w:szCs w:val="18"/>
        </w:rPr>
        <w:t xml:space="preserve">El 19 de junio del 2023, se publica el decreto 215 en el Periódico Oficial del Estado de Tlaxcala, mismo que reforma y adiciona diversas disposiciones de la Ley de Archivos del Estado de Tlaxcala (LAET). Gracias a esto, el 1ro de enero del 2024 entra en funciones el Archivo General e </w:t>
      </w:r>
      <w:r>
        <w:rPr>
          <w:rFonts w:ascii="Arial" w:hAnsi="Arial" w:cs="Arial"/>
          <w:sz w:val="18"/>
          <w:szCs w:val="18"/>
        </w:rPr>
        <w:t>H</w:t>
      </w:r>
      <w:r w:rsidRPr="0010532C">
        <w:rPr>
          <w:rFonts w:ascii="Arial" w:hAnsi="Arial" w:cs="Arial"/>
          <w:sz w:val="18"/>
          <w:szCs w:val="18"/>
        </w:rPr>
        <w:t xml:space="preserve">istórico del Estado de Tlaxcala (AGHET), en este nuevo </w:t>
      </w:r>
      <w:r>
        <w:rPr>
          <w:rFonts w:ascii="Arial" w:hAnsi="Arial" w:cs="Arial"/>
          <w:sz w:val="18"/>
          <w:szCs w:val="18"/>
        </w:rPr>
        <w:t>O</w:t>
      </w:r>
      <w:r w:rsidRPr="0010532C">
        <w:rPr>
          <w:rFonts w:ascii="Arial" w:hAnsi="Arial" w:cs="Arial"/>
          <w:sz w:val="18"/>
          <w:szCs w:val="18"/>
        </w:rPr>
        <w:t xml:space="preserve">rganismo </w:t>
      </w:r>
      <w:r>
        <w:rPr>
          <w:rFonts w:ascii="Arial" w:hAnsi="Arial" w:cs="Arial"/>
          <w:sz w:val="18"/>
          <w:szCs w:val="18"/>
        </w:rPr>
        <w:t>D</w:t>
      </w:r>
      <w:r w:rsidRPr="0010532C">
        <w:rPr>
          <w:rFonts w:ascii="Arial" w:hAnsi="Arial" w:cs="Arial"/>
          <w:sz w:val="18"/>
          <w:szCs w:val="18"/>
        </w:rPr>
        <w:t xml:space="preserve">esconcentrado convergen dos instituciones: El </w:t>
      </w:r>
      <w:r>
        <w:rPr>
          <w:rFonts w:ascii="Arial" w:hAnsi="Arial" w:cs="Arial"/>
          <w:sz w:val="18"/>
          <w:szCs w:val="18"/>
        </w:rPr>
        <w:t>A</w:t>
      </w:r>
      <w:r w:rsidRPr="0010532C">
        <w:rPr>
          <w:rFonts w:ascii="Arial" w:hAnsi="Arial" w:cs="Arial"/>
          <w:sz w:val="18"/>
          <w:szCs w:val="18"/>
        </w:rPr>
        <w:t xml:space="preserve">rchivo </w:t>
      </w:r>
      <w:r>
        <w:rPr>
          <w:rFonts w:ascii="Arial" w:hAnsi="Arial" w:cs="Arial"/>
          <w:sz w:val="18"/>
          <w:szCs w:val="18"/>
        </w:rPr>
        <w:t>H</w:t>
      </w:r>
      <w:r w:rsidRPr="0010532C">
        <w:rPr>
          <w:rFonts w:ascii="Arial" w:hAnsi="Arial" w:cs="Arial"/>
          <w:sz w:val="18"/>
          <w:szCs w:val="18"/>
        </w:rPr>
        <w:t xml:space="preserve">istórico, que anteriormente estaba adscrito a la Oficialía </w:t>
      </w:r>
      <w:r>
        <w:rPr>
          <w:rFonts w:ascii="Arial" w:hAnsi="Arial" w:cs="Arial"/>
          <w:sz w:val="18"/>
          <w:szCs w:val="18"/>
        </w:rPr>
        <w:t>M</w:t>
      </w:r>
      <w:r w:rsidRPr="0010532C">
        <w:rPr>
          <w:rFonts w:ascii="Arial" w:hAnsi="Arial" w:cs="Arial"/>
          <w:sz w:val="18"/>
          <w:szCs w:val="18"/>
        </w:rPr>
        <w:t>ayor de Gobierno y el Archivo General que anteriormente estaba bajo la administración de la Secretar</w:t>
      </w:r>
      <w:r>
        <w:rPr>
          <w:rFonts w:ascii="Arial" w:hAnsi="Arial" w:cs="Arial"/>
          <w:sz w:val="18"/>
          <w:szCs w:val="18"/>
        </w:rPr>
        <w:t>í</w:t>
      </w:r>
      <w:r w:rsidRPr="0010532C">
        <w:rPr>
          <w:rFonts w:ascii="Arial" w:hAnsi="Arial" w:cs="Arial"/>
          <w:sz w:val="18"/>
          <w:szCs w:val="18"/>
        </w:rPr>
        <w:t>a de la Función P</w:t>
      </w:r>
      <w:r>
        <w:rPr>
          <w:rFonts w:ascii="Arial" w:hAnsi="Arial" w:cs="Arial"/>
          <w:sz w:val="18"/>
          <w:szCs w:val="18"/>
        </w:rPr>
        <w:t>ú</w:t>
      </w:r>
      <w:r w:rsidRPr="0010532C">
        <w:rPr>
          <w:rFonts w:ascii="Arial" w:hAnsi="Arial" w:cs="Arial"/>
          <w:sz w:val="18"/>
          <w:szCs w:val="18"/>
        </w:rPr>
        <w:t>blica (antes Contraloría del Ejecutivo).</w:t>
      </w:r>
    </w:p>
    <w:p w14:paraId="5E727312" w14:textId="2E66CFCC" w:rsidR="0010532C" w:rsidRPr="0010532C" w:rsidRDefault="0010532C" w:rsidP="001053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0532C">
        <w:rPr>
          <w:rFonts w:ascii="Arial" w:hAnsi="Arial" w:cs="Arial"/>
          <w:sz w:val="18"/>
          <w:szCs w:val="18"/>
        </w:rPr>
        <w:t xml:space="preserve"> </w:t>
      </w:r>
    </w:p>
    <w:p w14:paraId="67B55A45" w14:textId="4FDC23D3" w:rsidR="0010532C" w:rsidRDefault="0010532C" w:rsidP="001053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0532C">
        <w:rPr>
          <w:rFonts w:ascii="Arial" w:hAnsi="Arial" w:cs="Arial"/>
          <w:sz w:val="18"/>
          <w:szCs w:val="18"/>
        </w:rPr>
        <w:t xml:space="preserve">Este nuevo organismo garante en materia de archivos para el </w:t>
      </w:r>
      <w:r>
        <w:rPr>
          <w:rFonts w:ascii="Arial" w:hAnsi="Arial" w:cs="Arial"/>
          <w:sz w:val="18"/>
          <w:szCs w:val="18"/>
        </w:rPr>
        <w:t>E</w:t>
      </w:r>
      <w:r w:rsidRPr="0010532C">
        <w:rPr>
          <w:rFonts w:ascii="Arial" w:hAnsi="Arial" w:cs="Arial"/>
          <w:sz w:val="18"/>
          <w:szCs w:val="18"/>
        </w:rPr>
        <w:t>stado de Tlaxcala, entre otras cosas, tiene por objeto fomentar el desarrollo archivístico del estado,</w:t>
      </w:r>
      <w:r w:rsidR="004F542F">
        <w:rPr>
          <w:rFonts w:ascii="Arial" w:hAnsi="Arial" w:cs="Arial"/>
          <w:sz w:val="18"/>
          <w:szCs w:val="18"/>
        </w:rPr>
        <w:t xml:space="preserve"> </w:t>
      </w:r>
      <w:r w:rsidR="004F542F" w:rsidRPr="004F542F">
        <w:rPr>
          <w:rFonts w:ascii="Arial" w:hAnsi="Arial" w:cs="Arial"/>
          <w:sz w:val="18"/>
          <w:szCs w:val="18"/>
        </w:rPr>
        <w:t>como se establece en el Art. 97 de la Ley de Archivos del Estado de Tlaxcala</w:t>
      </w:r>
      <w:r w:rsidR="004F542F">
        <w:rPr>
          <w:rFonts w:ascii="Arial" w:hAnsi="Arial" w:cs="Arial"/>
          <w:sz w:val="18"/>
          <w:szCs w:val="18"/>
        </w:rPr>
        <w:t>,</w:t>
      </w:r>
      <w:r w:rsidRPr="0010532C">
        <w:rPr>
          <w:rFonts w:ascii="Arial" w:hAnsi="Arial" w:cs="Arial"/>
          <w:sz w:val="18"/>
          <w:szCs w:val="18"/>
        </w:rPr>
        <w:t xml:space="preserve"> trabajando de la mano con los sujetos obligados que define la misma ley local en su artículo 4to.</w:t>
      </w:r>
    </w:p>
    <w:p w14:paraId="4EEEAB46" w14:textId="77777777" w:rsidR="005D6F1B" w:rsidRPr="00317BA3" w:rsidRDefault="005D6F1B" w:rsidP="0010532C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1D5C7654" w14:textId="1C19F65A" w:rsidR="001743ED" w:rsidRPr="001743ED" w:rsidRDefault="001743ED" w:rsidP="001743ED">
      <w:pPr>
        <w:spacing w:after="160" w:line="259" w:lineRule="auto"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  <w:r w:rsidRPr="001743ED">
        <w:rPr>
          <w:rFonts w:ascii="Arial" w:eastAsia="Calibri" w:hAnsi="Arial" w:cs="Arial"/>
          <w:bCs/>
          <w:sz w:val="18"/>
          <w:szCs w:val="18"/>
          <w:lang w:val="es-ES"/>
        </w:rPr>
        <w:t xml:space="preserve">Como parte de </w:t>
      </w:r>
      <w:r w:rsidRPr="00317BA3">
        <w:rPr>
          <w:rFonts w:ascii="Arial" w:eastAsia="Calibri" w:hAnsi="Arial" w:cs="Arial"/>
          <w:bCs/>
          <w:sz w:val="18"/>
          <w:szCs w:val="18"/>
          <w:lang w:val="es-ES"/>
        </w:rPr>
        <w:t>las</w:t>
      </w:r>
      <w:r w:rsidRPr="001743ED">
        <w:rPr>
          <w:rFonts w:ascii="Arial" w:eastAsia="Calibri" w:hAnsi="Arial" w:cs="Arial"/>
          <w:bCs/>
          <w:sz w:val="18"/>
          <w:szCs w:val="18"/>
          <w:lang w:val="es-ES"/>
        </w:rPr>
        <w:t xml:space="preserve"> actividades programadas el Departamento de Desarrollo Archivístico Estatal del AGHET, </w:t>
      </w:r>
      <w:r w:rsidRPr="00317BA3">
        <w:rPr>
          <w:rFonts w:ascii="Arial" w:eastAsia="Calibri" w:hAnsi="Arial" w:cs="Arial"/>
          <w:bCs/>
          <w:sz w:val="18"/>
          <w:szCs w:val="18"/>
          <w:lang w:val="es-ES"/>
        </w:rPr>
        <w:t>se realizaron las siguientes acciones:</w:t>
      </w:r>
    </w:p>
    <w:p w14:paraId="3B09F48C" w14:textId="7819CB6D" w:rsidR="00A72515" w:rsidRDefault="001743ED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  <w:r w:rsidRPr="001743ED">
        <w:rPr>
          <w:rFonts w:ascii="Arial" w:eastAsia="Calibri" w:hAnsi="Arial" w:cs="Arial"/>
          <w:bCs/>
          <w:sz w:val="18"/>
          <w:szCs w:val="18"/>
          <w:lang w:val="es-ES"/>
        </w:rPr>
        <w:t>Se actualizo el Programa Anual de Capacitación Archivística (PACA) 2025, documento rector en materia de capacitaciones para archivos de trámite y de concentración a impartirse a los 147 sujetos obligados en el estado de Tlaxcala. Ahí se establecen los temas, mecanismos de acceso y otros componentes necesarios para un óptimo cumplimiento de las obligaciones que tiene el AGHET en la ma</w:t>
      </w:r>
      <w:r w:rsidR="007D0214">
        <w:rPr>
          <w:rFonts w:ascii="Arial" w:eastAsia="Calibri" w:hAnsi="Arial" w:cs="Arial"/>
          <w:bCs/>
          <w:sz w:val="18"/>
          <w:szCs w:val="18"/>
          <w:lang w:val="es-ES"/>
        </w:rPr>
        <w:t xml:space="preserve">teria, </w:t>
      </w:r>
      <w:r w:rsidR="00D474CB">
        <w:rPr>
          <w:rFonts w:ascii="Arial" w:eastAsia="Calibri" w:hAnsi="Arial" w:cs="Arial"/>
          <w:bCs/>
          <w:sz w:val="18"/>
          <w:szCs w:val="18"/>
          <w:lang w:val="es-ES"/>
        </w:rPr>
        <w:t xml:space="preserve">en este </w:t>
      </w:r>
      <w:r w:rsidR="00B051FA" w:rsidRPr="004C2F5B">
        <w:rPr>
          <w:rFonts w:ascii="Arial" w:eastAsia="Calibri" w:hAnsi="Arial" w:cs="Arial"/>
          <w:bCs/>
          <w:sz w:val="18"/>
          <w:szCs w:val="18"/>
          <w:lang w:val="es-ES"/>
        </w:rPr>
        <w:t>primer</w:t>
      </w:r>
      <w:r w:rsidR="003D7E25" w:rsidRPr="004C2F5B">
        <w:rPr>
          <w:rFonts w:ascii="Arial" w:eastAsia="Calibri" w:hAnsi="Arial" w:cs="Arial"/>
          <w:bCs/>
          <w:sz w:val="18"/>
          <w:szCs w:val="18"/>
          <w:lang w:val="es-ES"/>
        </w:rPr>
        <w:t xml:space="preserve"> </w:t>
      </w:r>
      <w:r w:rsidR="00D474CB" w:rsidRPr="004C2F5B">
        <w:rPr>
          <w:rFonts w:ascii="Arial" w:eastAsia="Calibri" w:hAnsi="Arial" w:cs="Arial"/>
          <w:bCs/>
          <w:sz w:val="18"/>
          <w:szCs w:val="18"/>
          <w:lang w:val="es-ES"/>
        </w:rPr>
        <w:t>trimestre de 202</w:t>
      </w:r>
      <w:r w:rsidR="00B051FA" w:rsidRPr="004C2F5B">
        <w:rPr>
          <w:rFonts w:ascii="Arial" w:eastAsia="Calibri" w:hAnsi="Arial" w:cs="Arial"/>
          <w:bCs/>
          <w:sz w:val="18"/>
          <w:szCs w:val="18"/>
          <w:lang w:val="es-ES"/>
        </w:rPr>
        <w:t>6</w:t>
      </w:r>
      <w:r w:rsidR="00D474CB">
        <w:rPr>
          <w:rFonts w:ascii="Arial" w:eastAsia="Calibri" w:hAnsi="Arial" w:cs="Arial"/>
          <w:bCs/>
          <w:sz w:val="18"/>
          <w:szCs w:val="18"/>
          <w:lang w:val="es-ES"/>
        </w:rPr>
        <w:t xml:space="preserve"> se </w:t>
      </w:r>
      <w:r w:rsidR="007D0214">
        <w:rPr>
          <w:rFonts w:ascii="Arial" w:eastAsia="Calibri" w:hAnsi="Arial" w:cs="Arial"/>
          <w:bCs/>
          <w:sz w:val="18"/>
          <w:szCs w:val="18"/>
          <w:lang w:val="es-ES"/>
        </w:rPr>
        <w:t>consolid</w:t>
      </w:r>
      <w:r w:rsidR="00D474CB">
        <w:rPr>
          <w:rFonts w:ascii="Arial" w:eastAsia="Calibri" w:hAnsi="Arial" w:cs="Arial"/>
          <w:bCs/>
          <w:sz w:val="18"/>
          <w:szCs w:val="18"/>
          <w:lang w:val="es-ES"/>
        </w:rPr>
        <w:t>a</w:t>
      </w:r>
      <w:r w:rsidR="007D0214">
        <w:rPr>
          <w:rFonts w:ascii="Arial" w:eastAsia="Calibri" w:hAnsi="Arial" w:cs="Arial"/>
          <w:bCs/>
          <w:sz w:val="18"/>
          <w:szCs w:val="18"/>
          <w:lang w:val="es-ES"/>
        </w:rPr>
        <w:t>n importantes avances de capacitación, promoción y fortalecimiento de la cultura archivística en el estado de Tlaxcala</w:t>
      </w:r>
      <w:r w:rsidR="00D474CB">
        <w:rPr>
          <w:rFonts w:ascii="Arial" w:eastAsia="Calibri" w:hAnsi="Arial" w:cs="Arial"/>
          <w:bCs/>
          <w:sz w:val="18"/>
          <w:szCs w:val="18"/>
          <w:lang w:val="es-ES"/>
        </w:rPr>
        <w:t>.</w:t>
      </w:r>
    </w:p>
    <w:p w14:paraId="61B186B5" w14:textId="77777777" w:rsidR="00D474CB" w:rsidRPr="001743ED" w:rsidRDefault="00D474CB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</w:p>
    <w:p w14:paraId="1116F41E" w14:textId="218E4DBF" w:rsidR="001743ED" w:rsidRDefault="001743ED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  <w:r w:rsidRPr="001743ED">
        <w:rPr>
          <w:rFonts w:ascii="Arial" w:eastAsia="Calibri" w:hAnsi="Arial" w:cs="Arial"/>
          <w:bCs/>
          <w:sz w:val="18"/>
          <w:szCs w:val="18"/>
          <w:lang w:val="es-ES"/>
        </w:rPr>
        <w:t>Se impartieron 1</w:t>
      </w:r>
      <w:r w:rsidR="004C2F5B">
        <w:rPr>
          <w:rFonts w:ascii="Arial" w:eastAsia="Calibri" w:hAnsi="Arial" w:cs="Arial"/>
          <w:bCs/>
          <w:sz w:val="18"/>
          <w:szCs w:val="18"/>
          <w:lang w:val="es-ES"/>
        </w:rPr>
        <w:t>2</w:t>
      </w:r>
      <w:r w:rsidRPr="001743ED">
        <w:rPr>
          <w:rFonts w:ascii="Arial" w:eastAsia="Calibri" w:hAnsi="Arial" w:cs="Arial"/>
          <w:bCs/>
          <w:sz w:val="18"/>
          <w:szCs w:val="18"/>
          <w:lang w:val="es-ES"/>
        </w:rPr>
        <w:t xml:space="preserve"> capacitaciones</w:t>
      </w:r>
      <w:r w:rsidR="004C2F5B">
        <w:rPr>
          <w:rFonts w:ascii="Arial" w:eastAsia="Calibri" w:hAnsi="Arial" w:cs="Arial"/>
          <w:bCs/>
          <w:sz w:val="18"/>
          <w:szCs w:val="18"/>
          <w:lang w:val="es-ES"/>
        </w:rPr>
        <w:t>, estos espacios de información ofrecieron acompañamiento técnico en tema</w:t>
      </w:r>
      <w:r w:rsidR="00264A12">
        <w:rPr>
          <w:rFonts w:ascii="Arial" w:eastAsia="Calibri" w:hAnsi="Arial" w:cs="Arial"/>
          <w:bCs/>
          <w:sz w:val="18"/>
          <w:szCs w:val="18"/>
          <w:lang w:val="es-ES"/>
        </w:rPr>
        <w:t>s</w:t>
      </w:r>
      <w:r w:rsidR="004C2F5B">
        <w:rPr>
          <w:rFonts w:ascii="Arial" w:eastAsia="Calibri" w:hAnsi="Arial" w:cs="Arial"/>
          <w:bCs/>
          <w:sz w:val="18"/>
          <w:szCs w:val="18"/>
          <w:lang w:val="es-ES"/>
        </w:rPr>
        <w:t xml:space="preserve"> de organización</w:t>
      </w:r>
      <w:r w:rsidR="00264A12">
        <w:rPr>
          <w:rFonts w:ascii="Arial" w:eastAsia="Calibri" w:hAnsi="Arial" w:cs="Arial"/>
          <w:bCs/>
          <w:sz w:val="18"/>
          <w:szCs w:val="18"/>
          <w:lang w:val="es-ES"/>
        </w:rPr>
        <w:t>, conservación y gestión documental, en apego a la normativa vigente, contribuyente así al cumplimiento de las responsabilidades legales en materia de archivos.</w:t>
      </w:r>
    </w:p>
    <w:p w14:paraId="56A6D08E" w14:textId="77777777" w:rsidR="00907C29" w:rsidRPr="001743ED" w:rsidRDefault="00907C29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</w:p>
    <w:p w14:paraId="7903B9D2" w14:textId="6D91AB01" w:rsidR="00423208" w:rsidRDefault="001743ED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  <w:r w:rsidRPr="001743ED">
        <w:rPr>
          <w:rFonts w:ascii="Arial" w:eastAsia="Calibri" w:hAnsi="Arial" w:cs="Arial"/>
          <w:bCs/>
          <w:sz w:val="18"/>
          <w:szCs w:val="18"/>
          <w:lang w:val="es-ES"/>
        </w:rPr>
        <w:t xml:space="preserve">Se atendieron </w:t>
      </w:r>
      <w:r w:rsidR="00423208">
        <w:rPr>
          <w:rFonts w:ascii="Arial" w:eastAsia="Calibri" w:hAnsi="Arial" w:cs="Arial"/>
          <w:bCs/>
          <w:sz w:val="18"/>
          <w:szCs w:val="18"/>
          <w:lang w:val="es-ES"/>
        </w:rPr>
        <w:t>dos</w:t>
      </w:r>
      <w:r w:rsidRPr="001743ED">
        <w:rPr>
          <w:rFonts w:ascii="Arial" w:eastAsia="Calibri" w:hAnsi="Arial" w:cs="Arial"/>
          <w:bCs/>
          <w:sz w:val="18"/>
          <w:szCs w:val="18"/>
          <w:lang w:val="es-ES"/>
        </w:rPr>
        <w:t xml:space="preserve"> visitas guiadas al Archivo General del Estado</w:t>
      </w:r>
      <w:r w:rsidR="00264A12">
        <w:rPr>
          <w:rFonts w:ascii="Arial" w:eastAsia="Calibri" w:hAnsi="Arial" w:cs="Arial"/>
          <w:bCs/>
          <w:sz w:val="18"/>
          <w:szCs w:val="18"/>
          <w:lang w:val="es-ES"/>
        </w:rPr>
        <w:t xml:space="preserve"> de Tlaxcala</w:t>
      </w:r>
      <w:r w:rsidR="001F3EE5">
        <w:rPr>
          <w:rFonts w:ascii="Arial" w:eastAsia="Calibri" w:hAnsi="Arial" w:cs="Arial"/>
          <w:bCs/>
          <w:sz w:val="18"/>
          <w:szCs w:val="18"/>
          <w:lang w:val="es-ES"/>
        </w:rPr>
        <w:t xml:space="preserve">, ubicado en la ex Hacienda de Teometitla, en </w:t>
      </w:r>
      <w:r w:rsidR="00264A12">
        <w:rPr>
          <w:rFonts w:ascii="Arial" w:eastAsia="Calibri" w:hAnsi="Arial" w:cs="Arial"/>
          <w:bCs/>
          <w:sz w:val="18"/>
          <w:szCs w:val="18"/>
          <w:lang w:val="es-ES"/>
        </w:rPr>
        <w:t xml:space="preserve">el municipio de </w:t>
      </w:r>
      <w:r w:rsidR="001F3EE5">
        <w:rPr>
          <w:rFonts w:ascii="Arial" w:eastAsia="Calibri" w:hAnsi="Arial" w:cs="Arial"/>
          <w:bCs/>
          <w:sz w:val="18"/>
          <w:szCs w:val="18"/>
          <w:lang w:val="es-ES"/>
        </w:rPr>
        <w:t>Terrenate Tlaxcala,</w:t>
      </w:r>
      <w:r w:rsidR="00423208">
        <w:rPr>
          <w:rFonts w:ascii="Arial" w:eastAsia="Calibri" w:hAnsi="Arial" w:cs="Arial"/>
          <w:bCs/>
          <w:sz w:val="18"/>
          <w:szCs w:val="18"/>
          <w:lang w:val="es-ES"/>
        </w:rPr>
        <w:t xml:space="preserve"> e</w:t>
      </w:r>
      <w:r w:rsidR="00423208" w:rsidRPr="00423208">
        <w:rPr>
          <w:rFonts w:ascii="Arial" w:eastAsia="Calibri" w:hAnsi="Arial" w:cs="Arial"/>
          <w:bCs/>
          <w:sz w:val="18"/>
          <w:szCs w:val="18"/>
          <w:lang w:val="es-ES"/>
        </w:rPr>
        <w:t>stas actividades brindaron a los asistentes la oportunidad de conocer directamente los procesos de organización y preservación documental, así como de reconocer el valor de los archivos como instrumentos fundamentales para la memoria histórica, la transparencia y la rendición de cuentas.</w:t>
      </w:r>
    </w:p>
    <w:p w14:paraId="5D0BDE5E" w14:textId="77777777" w:rsidR="00423208" w:rsidRDefault="00423208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</w:p>
    <w:p w14:paraId="6816D56B" w14:textId="085A4665" w:rsidR="00423208" w:rsidRDefault="004A575D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  <w:r w:rsidRPr="004A575D">
        <w:rPr>
          <w:rFonts w:ascii="Arial" w:eastAsia="Calibri" w:hAnsi="Arial" w:cs="Arial"/>
          <w:bCs/>
          <w:sz w:val="18"/>
          <w:szCs w:val="18"/>
          <w:lang w:val="es-ES"/>
        </w:rPr>
        <w:t>Los avances logrados en este trimestre reafirman el compromiso del Departamento de Desarrollo Archivístico Estatal de impulsar acciones formativas y de vinculación interinstitucional que fortalezcan el desarrollo archivístico en la entidad</w:t>
      </w:r>
      <w:r w:rsidR="00264A12">
        <w:rPr>
          <w:rFonts w:ascii="Arial" w:eastAsia="Calibri" w:hAnsi="Arial" w:cs="Arial"/>
          <w:bCs/>
          <w:sz w:val="18"/>
          <w:szCs w:val="18"/>
          <w:lang w:val="es-ES"/>
        </w:rPr>
        <w:t>.</w:t>
      </w:r>
    </w:p>
    <w:p w14:paraId="40C4B33E" w14:textId="77777777" w:rsidR="00423208" w:rsidRDefault="00423208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</w:p>
    <w:p w14:paraId="01BD11D3" w14:textId="7657A03C" w:rsidR="00C54785" w:rsidRDefault="00C54785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71CF">
        <w:rPr>
          <w:rFonts w:ascii="Arial" w:hAnsi="Arial" w:cs="Arial"/>
          <w:sz w:val="18"/>
          <w:szCs w:val="18"/>
        </w:rPr>
        <w:t>Por lo que respecta al Departamento del Archivo Histórico, el Objetivo principal de este departamento  es asegurar la conservación del patrimonio documental del estado de Tlaxcala; difundir el asombroso pasado de los antiguos tlaxcaltecas; permitir el acceso a la sociedad en general a la información de carácter histórico, que conlleve a darle su verdadero valor como fuente principal de investigación a nivel local, nacional e internacional; efectuar métodos y técnicas archivísticas vigentes que permitan la localización, integración, descripción y difusión de los acervos documentales; además de garantizar la preservación de la memoria del estado con el apoyo de soportes digitales que permitan conocer la grandeza de nuestro estado de Tlaxcala</w:t>
      </w:r>
      <w:r w:rsidR="00F359FC" w:rsidRPr="007E71CF">
        <w:rPr>
          <w:rFonts w:ascii="Arial" w:hAnsi="Arial" w:cs="Arial"/>
          <w:sz w:val="18"/>
          <w:szCs w:val="18"/>
        </w:rPr>
        <w:t>,</w:t>
      </w:r>
      <w:r w:rsidRPr="007E71CF">
        <w:rPr>
          <w:rFonts w:ascii="Arial" w:hAnsi="Arial" w:cs="Arial"/>
          <w:sz w:val="18"/>
          <w:szCs w:val="18"/>
        </w:rPr>
        <w:t xml:space="preserve"> es por ello que en el </w:t>
      </w:r>
      <w:r w:rsidR="00F359FC" w:rsidRPr="007E71CF">
        <w:rPr>
          <w:rFonts w:ascii="Arial" w:hAnsi="Arial" w:cs="Arial"/>
          <w:sz w:val="18"/>
          <w:szCs w:val="18"/>
        </w:rPr>
        <w:t xml:space="preserve">periodo de </w:t>
      </w:r>
      <w:r w:rsidR="00F359FC" w:rsidRPr="000258A8">
        <w:rPr>
          <w:rFonts w:ascii="Arial" w:hAnsi="Arial" w:cs="Arial"/>
          <w:sz w:val="18"/>
          <w:szCs w:val="18"/>
        </w:rPr>
        <w:t xml:space="preserve">enero a </w:t>
      </w:r>
      <w:r w:rsidR="000258A8" w:rsidRPr="000258A8">
        <w:rPr>
          <w:rFonts w:ascii="Arial" w:hAnsi="Arial" w:cs="Arial"/>
          <w:sz w:val="18"/>
          <w:szCs w:val="18"/>
        </w:rPr>
        <w:t>marzo</w:t>
      </w:r>
      <w:r w:rsidR="00F359FC" w:rsidRPr="000258A8">
        <w:rPr>
          <w:rFonts w:ascii="Arial" w:hAnsi="Arial" w:cs="Arial"/>
          <w:sz w:val="18"/>
          <w:szCs w:val="18"/>
        </w:rPr>
        <w:t xml:space="preserve"> de este ejercicio,</w:t>
      </w:r>
      <w:r w:rsidRPr="007E71CF">
        <w:rPr>
          <w:rFonts w:ascii="Arial" w:hAnsi="Arial" w:cs="Arial"/>
          <w:sz w:val="18"/>
          <w:szCs w:val="18"/>
        </w:rPr>
        <w:t xml:space="preserve"> se han realizado las siguientes acciones</w:t>
      </w:r>
      <w:r w:rsidR="00F359FC" w:rsidRPr="007E71CF">
        <w:rPr>
          <w:rFonts w:ascii="Arial" w:hAnsi="Arial" w:cs="Arial"/>
          <w:sz w:val="18"/>
          <w:szCs w:val="18"/>
        </w:rPr>
        <w:t>.</w:t>
      </w:r>
    </w:p>
    <w:p w14:paraId="0F28F7E2" w14:textId="77777777" w:rsidR="00F359FC" w:rsidRDefault="00F359FC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933D49E" w14:textId="5B176813" w:rsidR="00AA1FFB" w:rsidRDefault="00FC2FC4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En este </w:t>
      </w:r>
      <w:r w:rsidR="00B051FA" w:rsidRPr="00C31280">
        <w:rPr>
          <w:rFonts w:ascii="Arial" w:hAnsi="Arial" w:cs="Arial"/>
          <w:sz w:val="18"/>
          <w:szCs w:val="18"/>
        </w:rPr>
        <w:t>primer</w:t>
      </w:r>
      <w:r w:rsidRPr="00C31280">
        <w:rPr>
          <w:rFonts w:ascii="Arial" w:hAnsi="Arial" w:cs="Arial"/>
          <w:sz w:val="18"/>
          <w:szCs w:val="18"/>
        </w:rPr>
        <w:t xml:space="preserve"> trimestre de 202</w:t>
      </w:r>
      <w:r w:rsidR="00B051FA" w:rsidRPr="00C31280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s</w:t>
      </w:r>
      <w:r w:rsidR="00AA1FFB">
        <w:rPr>
          <w:rFonts w:ascii="Arial" w:hAnsi="Arial" w:cs="Arial"/>
          <w:sz w:val="18"/>
          <w:szCs w:val="18"/>
        </w:rPr>
        <w:t xml:space="preserve">e realizaron </w:t>
      </w:r>
      <w:r w:rsidR="00C31280">
        <w:rPr>
          <w:rFonts w:ascii="Arial" w:hAnsi="Arial" w:cs="Arial"/>
          <w:sz w:val="18"/>
          <w:szCs w:val="18"/>
        </w:rPr>
        <w:t>12</w:t>
      </w:r>
      <w:r w:rsidR="00AA1FFB">
        <w:rPr>
          <w:rFonts w:ascii="Arial" w:hAnsi="Arial" w:cs="Arial"/>
          <w:sz w:val="18"/>
          <w:szCs w:val="18"/>
        </w:rPr>
        <w:t>,</w:t>
      </w:r>
      <w:r w:rsidR="00C31280">
        <w:rPr>
          <w:rFonts w:ascii="Arial" w:hAnsi="Arial" w:cs="Arial"/>
          <w:sz w:val="18"/>
          <w:szCs w:val="18"/>
        </w:rPr>
        <w:t>215</w:t>
      </w:r>
      <w:r w:rsidR="00AA1FFB">
        <w:rPr>
          <w:rFonts w:ascii="Arial" w:hAnsi="Arial" w:cs="Arial"/>
          <w:sz w:val="18"/>
          <w:szCs w:val="18"/>
        </w:rPr>
        <w:t xml:space="preserve"> digitalizaciones como el método más eficaz para preservar y conservar los Documentos Históricos</w:t>
      </w:r>
      <w:r w:rsidR="00F16710">
        <w:rPr>
          <w:rFonts w:ascii="Arial" w:hAnsi="Arial" w:cs="Arial"/>
          <w:sz w:val="18"/>
          <w:szCs w:val="18"/>
        </w:rPr>
        <w:t>, logrando la menor manipulación posible, evitando un mayor deterioro al Patrimonio Documental.</w:t>
      </w:r>
    </w:p>
    <w:p w14:paraId="077A760A" w14:textId="77777777" w:rsidR="00FC2FC4" w:rsidRDefault="00FC2FC4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4FC5B05" w14:textId="52A66969" w:rsidR="00F16710" w:rsidRDefault="00F16710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publicaron 3 Investigaciones para la Vitrina Digital a través de nuestras Redes Sociales y en la Vitrina Física en la Sala de Consulta del Departamento sobre los siguientes temas:</w:t>
      </w:r>
    </w:p>
    <w:p w14:paraId="4BB4B223" w14:textId="7C0E21D5" w:rsidR="00F16710" w:rsidRDefault="00F16710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1.- </w:t>
      </w:r>
      <w:r w:rsidR="00C31280">
        <w:rPr>
          <w:rFonts w:ascii="Arial" w:hAnsi="Arial" w:cs="Arial"/>
          <w:sz w:val="18"/>
          <w:szCs w:val="18"/>
        </w:rPr>
        <w:t>Datos Históricos sobre la Lactancia Materna</w:t>
      </w:r>
    </w:p>
    <w:p w14:paraId="6F20E5C5" w14:textId="33B6E883" w:rsidR="00F16710" w:rsidRDefault="00F16710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2.-</w:t>
      </w:r>
      <w:r w:rsidR="003D7E25" w:rsidRPr="003D7E25">
        <w:t xml:space="preserve"> </w:t>
      </w:r>
      <w:r w:rsidR="00C31280">
        <w:t>Legisladores Tlaxcaltecas presentes en la redacción de la Constitución Política del 5 de febrero de 1917.</w:t>
      </w:r>
    </w:p>
    <w:p w14:paraId="339384A0" w14:textId="06158378" w:rsidR="00F16710" w:rsidRDefault="00F16710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3.- </w:t>
      </w:r>
      <w:r w:rsidR="00C31280">
        <w:rPr>
          <w:rFonts w:ascii="Arial" w:hAnsi="Arial" w:cs="Arial"/>
          <w:sz w:val="18"/>
          <w:szCs w:val="18"/>
        </w:rPr>
        <w:t>El Órgano de la Iglesia de San Juan Huactzinco.</w:t>
      </w:r>
    </w:p>
    <w:p w14:paraId="7C0CC8D6" w14:textId="77777777" w:rsidR="00F16710" w:rsidRDefault="00F16710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82931B3" w14:textId="48477A7C" w:rsidR="00F16710" w:rsidRDefault="00F16710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 realizaron </w:t>
      </w:r>
      <w:r w:rsidR="00C31280">
        <w:rPr>
          <w:rFonts w:ascii="Arial" w:hAnsi="Arial" w:cs="Arial"/>
          <w:sz w:val="18"/>
          <w:szCs w:val="18"/>
        </w:rPr>
        <w:t>8</w:t>
      </w:r>
      <w:r w:rsidR="00D76E2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publicaciones en Redes Sociales del AGHET</w:t>
      </w:r>
      <w:r w:rsidR="00907C2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D76E21">
        <w:rPr>
          <w:rFonts w:ascii="Arial" w:hAnsi="Arial" w:cs="Arial"/>
          <w:sz w:val="18"/>
          <w:szCs w:val="18"/>
        </w:rPr>
        <w:t xml:space="preserve">denominada ¿Sabías que?, </w:t>
      </w:r>
      <w:r>
        <w:rPr>
          <w:rFonts w:ascii="Arial" w:hAnsi="Arial" w:cs="Arial"/>
          <w:sz w:val="18"/>
          <w:szCs w:val="18"/>
        </w:rPr>
        <w:t>con la finalidad</w:t>
      </w:r>
      <w:r w:rsidR="00907C29">
        <w:rPr>
          <w:rFonts w:ascii="Arial" w:hAnsi="Arial" w:cs="Arial"/>
          <w:sz w:val="18"/>
          <w:szCs w:val="18"/>
        </w:rPr>
        <w:t xml:space="preserve"> de dar a conocer a la ciudadanía la extensa riqueza histórica-cultural con la que se cuenta en la entidad.</w:t>
      </w:r>
    </w:p>
    <w:p w14:paraId="4064CF2D" w14:textId="77777777" w:rsidR="00907C29" w:rsidRDefault="00907C29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59CA97F" w14:textId="447E6234" w:rsidR="00625389" w:rsidRDefault="00625389" w:rsidP="005D6F1B">
      <w:pPr>
        <w:spacing w:after="160" w:line="240" w:lineRule="auto"/>
        <w:contextualSpacing/>
        <w:jc w:val="both"/>
        <w:rPr>
          <w:rFonts w:ascii="Arial" w:eastAsia="Aptos" w:hAnsi="Arial" w:cs="Arial"/>
          <w:sz w:val="18"/>
          <w:szCs w:val="18"/>
          <w:lang w:eastAsia="es-MX"/>
        </w:rPr>
      </w:pPr>
      <w:r w:rsidRPr="005D6F1B">
        <w:rPr>
          <w:rFonts w:ascii="Arial" w:eastAsia="Aptos" w:hAnsi="Arial" w:cs="Arial"/>
          <w:color w:val="000000"/>
          <w:sz w:val="18"/>
          <w:szCs w:val="18"/>
          <w:lang w:eastAsia="es-MX"/>
        </w:rPr>
        <w:t>Se p</w:t>
      </w:r>
      <w:r w:rsidRPr="00625389">
        <w:rPr>
          <w:rFonts w:ascii="Arial" w:eastAsia="Aptos" w:hAnsi="Arial" w:cs="Arial"/>
          <w:color w:val="000000"/>
          <w:sz w:val="18"/>
          <w:szCs w:val="18"/>
          <w:lang w:eastAsia="es-MX"/>
        </w:rPr>
        <w:t>roporcion</w:t>
      </w:r>
      <w:r w:rsidR="00F83A98">
        <w:rPr>
          <w:rFonts w:ascii="Arial" w:eastAsia="Aptos" w:hAnsi="Arial" w:cs="Arial"/>
          <w:color w:val="000000"/>
          <w:sz w:val="18"/>
          <w:szCs w:val="18"/>
          <w:lang w:eastAsia="es-MX"/>
        </w:rPr>
        <w:t>ó</w:t>
      </w:r>
      <w:r w:rsidRPr="00625389">
        <w:rPr>
          <w:rFonts w:ascii="Arial" w:eastAsia="Aptos" w:hAnsi="Arial" w:cs="Arial"/>
          <w:color w:val="000000"/>
          <w:sz w:val="18"/>
          <w:szCs w:val="18"/>
          <w:lang w:eastAsia="es-MX"/>
        </w:rPr>
        <w:t xml:space="preserve"> </w:t>
      </w:r>
      <w:r w:rsidRPr="00625389">
        <w:rPr>
          <w:rFonts w:ascii="Arial" w:eastAsia="Aptos" w:hAnsi="Arial" w:cs="Arial"/>
          <w:sz w:val="18"/>
          <w:szCs w:val="18"/>
          <w:lang w:eastAsia="es-MX"/>
        </w:rPr>
        <w:t xml:space="preserve">información Cultural e Histórica a </w:t>
      </w:r>
      <w:r w:rsidR="005F46C3">
        <w:rPr>
          <w:rFonts w:ascii="Arial" w:eastAsia="Aptos" w:hAnsi="Arial" w:cs="Arial"/>
          <w:sz w:val="18"/>
          <w:szCs w:val="18"/>
          <w:lang w:eastAsia="es-MX"/>
        </w:rPr>
        <w:t>1</w:t>
      </w:r>
      <w:r w:rsidR="00C31280">
        <w:rPr>
          <w:rFonts w:ascii="Arial" w:eastAsia="Aptos" w:hAnsi="Arial" w:cs="Arial"/>
          <w:sz w:val="18"/>
          <w:szCs w:val="18"/>
          <w:lang w:eastAsia="es-MX"/>
        </w:rPr>
        <w:t>06</w:t>
      </w:r>
      <w:r w:rsidRPr="00625389">
        <w:rPr>
          <w:rFonts w:ascii="Arial" w:eastAsia="Aptos" w:hAnsi="Arial" w:cs="Arial"/>
          <w:sz w:val="18"/>
          <w:szCs w:val="18"/>
          <w:lang w:eastAsia="es-MX"/>
        </w:rPr>
        <w:t xml:space="preserve"> usuarios, con la finalidad de difundir el Acervo Documental del Archivo Histórico a través de las consultas realizadas de manera presencial por el público en general interesados durante este </w:t>
      </w:r>
      <w:r w:rsidR="00792609">
        <w:rPr>
          <w:rFonts w:ascii="Arial" w:eastAsia="Aptos" w:hAnsi="Arial" w:cs="Arial"/>
          <w:sz w:val="18"/>
          <w:szCs w:val="18"/>
          <w:lang w:eastAsia="es-MX"/>
        </w:rPr>
        <w:t>1er.</w:t>
      </w:r>
      <w:r w:rsidR="006C66D2">
        <w:rPr>
          <w:rFonts w:ascii="Arial" w:eastAsia="Aptos" w:hAnsi="Arial" w:cs="Arial"/>
          <w:sz w:val="18"/>
          <w:szCs w:val="18"/>
          <w:lang w:eastAsia="es-MX"/>
        </w:rPr>
        <w:t xml:space="preserve"> </w:t>
      </w:r>
      <w:r w:rsidR="006C66D2" w:rsidRPr="00625389">
        <w:rPr>
          <w:rFonts w:ascii="Arial" w:eastAsia="Aptos" w:hAnsi="Arial" w:cs="Arial"/>
          <w:sz w:val="18"/>
          <w:szCs w:val="18"/>
          <w:lang w:eastAsia="es-MX"/>
        </w:rPr>
        <w:t>T</w:t>
      </w:r>
      <w:r w:rsidRPr="00625389">
        <w:rPr>
          <w:rFonts w:ascii="Arial" w:eastAsia="Aptos" w:hAnsi="Arial" w:cs="Arial"/>
          <w:sz w:val="18"/>
          <w:szCs w:val="18"/>
          <w:lang w:eastAsia="es-MX"/>
        </w:rPr>
        <w:t>rimestre</w:t>
      </w:r>
      <w:r w:rsidR="006C66D2">
        <w:rPr>
          <w:rFonts w:ascii="Arial" w:eastAsia="Aptos" w:hAnsi="Arial" w:cs="Arial"/>
          <w:sz w:val="18"/>
          <w:szCs w:val="18"/>
          <w:lang w:eastAsia="es-MX"/>
        </w:rPr>
        <w:t>.</w:t>
      </w:r>
    </w:p>
    <w:p w14:paraId="6124E903" w14:textId="77777777" w:rsidR="00907C29" w:rsidRPr="00625389" w:rsidRDefault="00907C29" w:rsidP="005D6F1B">
      <w:pPr>
        <w:spacing w:after="160" w:line="240" w:lineRule="auto"/>
        <w:contextualSpacing/>
        <w:jc w:val="both"/>
        <w:rPr>
          <w:rFonts w:ascii="Arial" w:eastAsia="Aptos" w:hAnsi="Arial" w:cs="Arial"/>
          <w:b/>
          <w:bCs/>
          <w:sz w:val="18"/>
          <w:szCs w:val="18"/>
          <w:lang w:eastAsia="es-MX"/>
        </w:rPr>
      </w:pPr>
    </w:p>
    <w:p w14:paraId="70708D4F" w14:textId="77777777" w:rsidR="00792609" w:rsidRDefault="00CB1994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1994">
        <w:rPr>
          <w:rFonts w:ascii="Arial" w:hAnsi="Arial" w:cs="Arial"/>
          <w:sz w:val="18"/>
          <w:szCs w:val="18"/>
        </w:rPr>
        <w:t xml:space="preserve">Se atendieron </w:t>
      </w:r>
      <w:r w:rsidR="00792609">
        <w:rPr>
          <w:rFonts w:ascii="Arial" w:hAnsi="Arial" w:cs="Arial"/>
          <w:sz w:val="18"/>
          <w:szCs w:val="18"/>
        </w:rPr>
        <w:t>2</w:t>
      </w:r>
      <w:r w:rsidRPr="00CB1994">
        <w:rPr>
          <w:rFonts w:ascii="Arial" w:hAnsi="Arial" w:cs="Arial"/>
          <w:sz w:val="18"/>
          <w:szCs w:val="18"/>
        </w:rPr>
        <w:t xml:space="preserve"> visitas guiadas, la primera de ellas solicitada por </w:t>
      </w:r>
      <w:r w:rsidR="00792609">
        <w:rPr>
          <w:rFonts w:ascii="Arial" w:hAnsi="Arial" w:cs="Arial"/>
          <w:sz w:val="18"/>
          <w:szCs w:val="18"/>
        </w:rPr>
        <w:t xml:space="preserve">la </w:t>
      </w:r>
      <w:r w:rsidR="00792609" w:rsidRPr="00792609">
        <w:rPr>
          <w:rFonts w:ascii="Arial" w:hAnsi="Arial" w:cs="Arial"/>
          <w:sz w:val="18"/>
          <w:szCs w:val="18"/>
        </w:rPr>
        <w:t>Escuela Secundaria Técnica 4 de Santa Ana Chiautempan; se atendió a 210 Matriculados</w:t>
      </w:r>
      <w:r w:rsidR="00792609">
        <w:rPr>
          <w:rFonts w:ascii="Arial" w:hAnsi="Arial" w:cs="Arial"/>
          <w:sz w:val="18"/>
          <w:szCs w:val="18"/>
        </w:rPr>
        <w:t xml:space="preserve">. </w:t>
      </w:r>
      <w:r w:rsidR="005F46C3" w:rsidRPr="005F46C3">
        <w:rPr>
          <w:rFonts w:ascii="Arial" w:hAnsi="Arial" w:cs="Arial"/>
          <w:sz w:val="18"/>
          <w:szCs w:val="18"/>
        </w:rPr>
        <w:t>La segunda, a</w:t>
      </w:r>
      <w:r w:rsidR="00792609">
        <w:rPr>
          <w:rFonts w:ascii="Arial" w:hAnsi="Arial" w:cs="Arial"/>
          <w:sz w:val="18"/>
          <w:szCs w:val="18"/>
        </w:rPr>
        <w:t xml:space="preserve">l </w:t>
      </w:r>
      <w:r w:rsidR="00792609" w:rsidRPr="00792609">
        <w:rPr>
          <w:rFonts w:ascii="Arial" w:hAnsi="Arial" w:cs="Arial"/>
          <w:sz w:val="18"/>
          <w:szCs w:val="18"/>
        </w:rPr>
        <w:t>Centro de Educación Media Superior CECyTE EMSAD del Plantel de Atotonilco, Tlaxco; atendiendo a 62 estudiantes, con el objetivo de conocer</w:t>
      </w:r>
      <w:r w:rsidR="00792609">
        <w:rPr>
          <w:rFonts w:ascii="Arial" w:hAnsi="Arial" w:cs="Arial"/>
          <w:sz w:val="18"/>
          <w:szCs w:val="18"/>
        </w:rPr>
        <w:t>:</w:t>
      </w:r>
      <w:r w:rsidR="00792609" w:rsidRPr="00792609">
        <w:rPr>
          <w:rFonts w:ascii="Arial" w:hAnsi="Arial" w:cs="Arial"/>
          <w:sz w:val="18"/>
          <w:szCs w:val="18"/>
        </w:rPr>
        <w:t xml:space="preserve"> a) La Importancia del Resguardo Histórico</w:t>
      </w:r>
      <w:r w:rsidR="00792609">
        <w:rPr>
          <w:rFonts w:ascii="Arial" w:hAnsi="Arial" w:cs="Arial"/>
          <w:sz w:val="18"/>
          <w:szCs w:val="18"/>
        </w:rPr>
        <w:t>,</w:t>
      </w:r>
      <w:r w:rsidR="00792609" w:rsidRPr="00792609">
        <w:rPr>
          <w:rFonts w:ascii="Arial" w:hAnsi="Arial" w:cs="Arial"/>
          <w:sz w:val="18"/>
          <w:szCs w:val="18"/>
        </w:rPr>
        <w:t xml:space="preserve"> b) Conocer sobre el quehacer Paleográfico</w:t>
      </w:r>
      <w:r w:rsidR="00792609">
        <w:rPr>
          <w:rFonts w:ascii="Arial" w:hAnsi="Arial" w:cs="Arial"/>
          <w:sz w:val="18"/>
          <w:szCs w:val="18"/>
        </w:rPr>
        <w:t xml:space="preserve"> y </w:t>
      </w:r>
      <w:r w:rsidR="00792609" w:rsidRPr="00792609">
        <w:rPr>
          <w:rFonts w:ascii="Arial" w:hAnsi="Arial" w:cs="Arial"/>
          <w:sz w:val="18"/>
          <w:szCs w:val="18"/>
        </w:rPr>
        <w:t>c) Divulgación de la Información Histórica</w:t>
      </w:r>
      <w:r w:rsidR="00792609">
        <w:rPr>
          <w:rFonts w:ascii="Arial" w:hAnsi="Arial" w:cs="Arial"/>
          <w:sz w:val="18"/>
          <w:szCs w:val="18"/>
        </w:rPr>
        <w:t>.</w:t>
      </w:r>
    </w:p>
    <w:p w14:paraId="344EBB3D" w14:textId="77777777" w:rsidR="00792609" w:rsidRDefault="00792609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59A493" w14:textId="74B75B3A" w:rsidR="00792609" w:rsidRDefault="00792609" w:rsidP="0079260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92609">
        <w:rPr>
          <w:rFonts w:ascii="Arial" w:hAnsi="Arial" w:cs="Arial"/>
          <w:sz w:val="18"/>
          <w:szCs w:val="18"/>
        </w:rPr>
        <w:t xml:space="preserve">Se realizó la exposición Temporal y Conversatorio titulada: “Detrás del Disfraz Mujeres en el Carnaval” en la sala de consulta “Mercedes Meade” del 12 al 31 de </w:t>
      </w:r>
      <w:r w:rsidR="000357B1">
        <w:rPr>
          <w:rFonts w:ascii="Arial" w:hAnsi="Arial" w:cs="Arial"/>
          <w:sz w:val="18"/>
          <w:szCs w:val="18"/>
        </w:rPr>
        <w:t>m</w:t>
      </w:r>
      <w:r w:rsidRPr="00792609">
        <w:rPr>
          <w:rFonts w:ascii="Arial" w:hAnsi="Arial" w:cs="Arial"/>
          <w:sz w:val="18"/>
          <w:szCs w:val="18"/>
        </w:rPr>
        <w:t>arzo del 2026, contando con una asistencia de 200 personas, lo anterior con motivo de la conmemoración del Día Internacional de la Mujer.</w:t>
      </w:r>
    </w:p>
    <w:p w14:paraId="38F35684" w14:textId="77777777" w:rsidR="00792609" w:rsidRPr="00792609" w:rsidRDefault="00792609" w:rsidP="0079260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5CA28F8" w14:textId="70F4A1FD" w:rsidR="00792609" w:rsidRDefault="00792609" w:rsidP="0079260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92609">
        <w:rPr>
          <w:rFonts w:ascii="Arial" w:hAnsi="Arial" w:cs="Arial"/>
          <w:sz w:val="18"/>
          <w:szCs w:val="18"/>
        </w:rPr>
        <w:t xml:space="preserve">Se recepción una donación de 57 libros el día 06 de </w:t>
      </w:r>
      <w:r w:rsidR="000357B1">
        <w:rPr>
          <w:rFonts w:ascii="Arial" w:hAnsi="Arial" w:cs="Arial"/>
          <w:sz w:val="18"/>
          <w:szCs w:val="18"/>
        </w:rPr>
        <w:t>e</w:t>
      </w:r>
      <w:r w:rsidRPr="00792609">
        <w:rPr>
          <w:rFonts w:ascii="Arial" w:hAnsi="Arial" w:cs="Arial"/>
          <w:sz w:val="18"/>
          <w:szCs w:val="18"/>
        </w:rPr>
        <w:t xml:space="preserve">nero del 2026 por parte del </w:t>
      </w:r>
      <w:r w:rsidR="000357B1">
        <w:rPr>
          <w:rFonts w:ascii="Arial" w:hAnsi="Arial" w:cs="Arial"/>
          <w:sz w:val="18"/>
          <w:szCs w:val="18"/>
        </w:rPr>
        <w:t>p</w:t>
      </w:r>
      <w:r w:rsidRPr="00792609">
        <w:rPr>
          <w:rFonts w:ascii="Arial" w:hAnsi="Arial" w:cs="Arial"/>
          <w:sz w:val="18"/>
          <w:szCs w:val="18"/>
        </w:rPr>
        <w:t>residente Municipal</w:t>
      </w:r>
      <w:r>
        <w:rPr>
          <w:rFonts w:ascii="Arial" w:hAnsi="Arial" w:cs="Arial"/>
          <w:sz w:val="18"/>
          <w:szCs w:val="18"/>
        </w:rPr>
        <w:t>,</w:t>
      </w:r>
      <w:r w:rsidRPr="00792609">
        <w:rPr>
          <w:rFonts w:ascii="Arial" w:hAnsi="Arial" w:cs="Arial"/>
          <w:sz w:val="18"/>
          <w:szCs w:val="18"/>
        </w:rPr>
        <w:t xml:space="preserve"> Mtro. Ernesto Azain Avalos Marban de Apetatitlán de Antonio Carbajal; Tlax.</w:t>
      </w:r>
    </w:p>
    <w:p w14:paraId="22EA787B" w14:textId="77777777" w:rsidR="00CB1994" w:rsidRDefault="00CB1994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892042A" w14:textId="03FB3EB8" w:rsidR="00792609" w:rsidRDefault="00792609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00792609">
        <w:rPr>
          <w:rFonts w:ascii="Arial" w:hAnsi="Arial" w:cs="Arial"/>
          <w:sz w:val="18"/>
          <w:szCs w:val="18"/>
        </w:rPr>
        <w:t>Por lo que a través de la implementación de estrategias se continua fomentando la difusión del Patrimonio Documental histórico - cultural de la entidad, a través de la organización de eventos culturales, de la digitalización como el método más eficaz para la preservación de documentos, la organización y catalogación de los fondos históricos, así como el impulso y fomento a la investigación del patrimonio histórico documental, logrando con ello un acercamiento con la población en general a través del acceso a la información contenida en el acervo histórico documental que es patrimonio histórico – cultural de Tlaxcala y de México.</w:t>
      </w:r>
    </w:p>
    <w:p w14:paraId="31251DB4" w14:textId="77777777" w:rsidR="0010532C" w:rsidRDefault="0010532C" w:rsidP="00981DDB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  <w:lang w:val="es-ES_tradnl"/>
        </w:rPr>
      </w:pPr>
    </w:p>
    <w:p w14:paraId="7F864AF5" w14:textId="77777777" w:rsidR="0010532C" w:rsidRDefault="0010532C" w:rsidP="00981DDB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  <w:lang w:val="es-ES_tradnl"/>
        </w:rPr>
      </w:pPr>
    </w:p>
    <w:p w14:paraId="59350E6E" w14:textId="77777777" w:rsidR="0010532C" w:rsidRDefault="0010532C" w:rsidP="00981DDB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  <w:lang w:val="es-ES_tradnl"/>
        </w:rPr>
      </w:pPr>
    </w:p>
    <w:p w14:paraId="78B43A87" w14:textId="77777777" w:rsidR="0010532C" w:rsidRPr="007A3614" w:rsidRDefault="0010532C" w:rsidP="00981DDB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  <w:lang w:val="es-ES_tradnl"/>
        </w:rPr>
      </w:pPr>
    </w:p>
    <w:p w14:paraId="3DDA58F9" w14:textId="77777777" w:rsidR="00981DDB" w:rsidRPr="007A3614" w:rsidRDefault="00981DDB" w:rsidP="00981DDB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  <w:lang w:val="es-ES_tradnl"/>
        </w:rPr>
      </w:pPr>
    </w:p>
    <w:p w14:paraId="0AF0FAD5" w14:textId="77777777" w:rsidR="0083022E" w:rsidRDefault="0083022E" w:rsidP="00724B8C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14:paraId="31C49682" w14:textId="77777777" w:rsidR="000258A8" w:rsidRDefault="000258A8" w:rsidP="00724B8C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14:paraId="62A3A36C" w14:textId="77777777" w:rsidR="000258A8" w:rsidRDefault="000258A8" w:rsidP="00724B8C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14:paraId="4CC09523" w14:textId="77777777" w:rsidR="00F359FC" w:rsidRDefault="00F359FC" w:rsidP="00724B8C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14:paraId="3A404F53" w14:textId="77777777" w:rsidR="00A72515" w:rsidRDefault="00A72515" w:rsidP="00724B8C">
      <w:pPr>
        <w:jc w:val="center"/>
        <w:rPr>
          <w:rFonts w:ascii="Arial" w:hAnsi="Arial" w:cs="Arial"/>
          <w:sz w:val="18"/>
          <w:szCs w:val="18"/>
        </w:rPr>
      </w:pPr>
    </w:p>
    <w:p w14:paraId="59D379C5" w14:textId="07F76DEA" w:rsidR="00724B8C" w:rsidRDefault="00724B8C" w:rsidP="00724B8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El contenido de la presente</w:t>
      </w:r>
      <w:r w:rsidR="00807A25">
        <w:rPr>
          <w:rFonts w:ascii="Arial" w:hAnsi="Arial" w:cs="Arial"/>
          <w:sz w:val="18"/>
          <w:szCs w:val="18"/>
        </w:rPr>
        <w:t xml:space="preserve"> Cuenta Pública Armonizada es</w:t>
      </w:r>
      <w:r w:rsidR="00703A12">
        <w:rPr>
          <w:rFonts w:ascii="Arial" w:hAnsi="Arial" w:cs="Arial"/>
          <w:sz w:val="18"/>
          <w:szCs w:val="18"/>
        </w:rPr>
        <w:t xml:space="preserve"> de acuerdo al siguiente</w:t>
      </w:r>
    </w:p>
    <w:p w14:paraId="20F363D8" w14:textId="77777777" w:rsidR="0083022E" w:rsidRDefault="0083022E" w:rsidP="0083022E">
      <w:pPr>
        <w:jc w:val="center"/>
        <w:rPr>
          <w:rFonts w:ascii="Arial" w:hAnsi="Arial" w:cs="Arial"/>
          <w:b/>
          <w:sz w:val="18"/>
          <w:szCs w:val="18"/>
        </w:rPr>
      </w:pPr>
    </w:p>
    <w:p w14:paraId="344A10D0" w14:textId="77777777" w:rsidR="0083022E" w:rsidRDefault="00703A12" w:rsidP="0083022E">
      <w:pPr>
        <w:jc w:val="center"/>
        <w:rPr>
          <w:rFonts w:ascii="Arial" w:hAnsi="Arial" w:cs="Arial"/>
          <w:sz w:val="18"/>
          <w:szCs w:val="18"/>
        </w:rPr>
      </w:pPr>
      <w:r w:rsidRPr="00703A12">
        <w:rPr>
          <w:rFonts w:ascii="Arial" w:hAnsi="Arial" w:cs="Arial"/>
          <w:b/>
          <w:sz w:val="18"/>
          <w:szCs w:val="18"/>
        </w:rPr>
        <w:t>I N D I C E:</w:t>
      </w:r>
    </w:p>
    <w:p w14:paraId="1873D002" w14:textId="77777777" w:rsidR="00724B8C" w:rsidRDefault="00724B8C" w:rsidP="00724B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INTRODUCCIÓN</w:t>
      </w:r>
    </w:p>
    <w:p w14:paraId="2DFFAB67" w14:textId="77777777" w:rsidR="00703A12" w:rsidRDefault="00703A12" w:rsidP="00703A12">
      <w:pPr>
        <w:pStyle w:val="Prrafodelista"/>
        <w:ind w:left="1080"/>
        <w:jc w:val="both"/>
        <w:rPr>
          <w:rFonts w:ascii="Arial" w:hAnsi="Arial" w:cs="Arial"/>
          <w:sz w:val="18"/>
          <w:szCs w:val="18"/>
        </w:rPr>
      </w:pPr>
    </w:p>
    <w:p w14:paraId="445F5D9E" w14:textId="77777777" w:rsidR="00724B8C" w:rsidRDefault="00C27F12" w:rsidP="00724B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</w:t>
      </w:r>
      <w:r w:rsidR="00724B8C">
        <w:rPr>
          <w:rFonts w:ascii="Arial" w:hAnsi="Arial" w:cs="Arial"/>
          <w:sz w:val="18"/>
          <w:szCs w:val="18"/>
        </w:rPr>
        <w:t>ON CONTABLE</w:t>
      </w:r>
    </w:p>
    <w:p w14:paraId="19975004" w14:textId="77777777" w:rsidR="00703A12" w:rsidRPr="00703A12" w:rsidRDefault="00703A12" w:rsidP="00703A12">
      <w:pPr>
        <w:pStyle w:val="Prrafodelista"/>
        <w:rPr>
          <w:rFonts w:ascii="Arial" w:hAnsi="Arial" w:cs="Arial"/>
          <w:sz w:val="18"/>
          <w:szCs w:val="18"/>
        </w:rPr>
      </w:pPr>
    </w:p>
    <w:p w14:paraId="5CE56638" w14:textId="77777777" w:rsidR="007B145A" w:rsidRDefault="007B145A" w:rsidP="007B14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Actividades</w:t>
      </w:r>
    </w:p>
    <w:p w14:paraId="678F5818" w14:textId="77777777" w:rsidR="007B145A" w:rsidRDefault="007B145A" w:rsidP="007B14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Situación Financiera</w:t>
      </w:r>
    </w:p>
    <w:p w14:paraId="01338430" w14:textId="77777777" w:rsidR="007B145A" w:rsidRDefault="007B145A" w:rsidP="007B14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Cambios en la Situación Financiera</w:t>
      </w:r>
    </w:p>
    <w:p w14:paraId="3062D565" w14:textId="77777777" w:rsidR="007B145A" w:rsidRDefault="007B145A" w:rsidP="007B14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Activo</w:t>
      </w:r>
    </w:p>
    <w:p w14:paraId="5AA140C2" w14:textId="43DE4D59" w:rsidR="007B145A" w:rsidRDefault="007B145A" w:rsidP="007B14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</w:t>
      </w:r>
      <w:r w:rsidR="007A3614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nalítico de la Deuda y Otros Pasivos</w:t>
      </w:r>
    </w:p>
    <w:p w14:paraId="773E393D" w14:textId="77777777" w:rsidR="007B145A" w:rsidRDefault="007B145A" w:rsidP="007B14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Variación de la Hacienda Pública</w:t>
      </w:r>
    </w:p>
    <w:p w14:paraId="2926CAC1" w14:textId="77777777" w:rsidR="007B145A" w:rsidRDefault="007B145A" w:rsidP="007B14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Flujos de Efectivo</w:t>
      </w:r>
    </w:p>
    <w:p w14:paraId="5C71E556" w14:textId="77777777" w:rsidR="00703A12" w:rsidRDefault="00703A12" w:rsidP="007B145A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1877EE62" w14:textId="77777777" w:rsidR="00A11EBA" w:rsidRDefault="00A11EBA" w:rsidP="00A11EB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PRESUPUESTARIA</w:t>
      </w:r>
    </w:p>
    <w:p w14:paraId="4C00ECC8" w14:textId="77777777" w:rsidR="00703A12" w:rsidRDefault="00703A12" w:rsidP="00703A12">
      <w:pPr>
        <w:pStyle w:val="Prrafodelista"/>
        <w:ind w:left="1080"/>
        <w:jc w:val="both"/>
        <w:rPr>
          <w:rFonts w:ascii="Arial" w:hAnsi="Arial" w:cs="Arial"/>
          <w:sz w:val="18"/>
          <w:szCs w:val="18"/>
        </w:rPr>
      </w:pPr>
    </w:p>
    <w:p w14:paraId="5A88A3EC" w14:textId="2ED62331" w:rsidR="00BC4EFF" w:rsidRDefault="00BC4EFF" w:rsidP="00BC4EF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 Ingresos (Por Rubro</w:t>
      </w:r>
      <w:r w:rsidR="00CE66BD">
        <w:rPr>
          <w:rFonts w:ascii="Arial" w:hAnsi="Arial" w:cs="Arial"/>
          <w:sz w:val="18"/>
          <w:szCs w:val="18"/>
        </w:rPr>
        <w:t xml:space="preserve"> de Ingresos</w:t>
      </w:r>
      <w:r>
        <w:rPr>
          <w:rFonts w:ascii="Arial" w:hAnsi="Arial" w:cs="Arial"/>
          <w:sz w:val="18"/>
          <w:szCs w:val="18"/>
        </w:rPr>
        <w:t xml:space="preserve"> y por Fuente de Financiamiento)</w:t>
      </w:r>
    </w:p>
    <w:p w14:paraId="47058AD2" w14:textId="77777777" w:rsidR="00BC4EFF" w:rsidRDefault="00BC4EFF" w:rsidP="00BC4EF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Ejercicio del Presupuesto de egresos Clasificación Administrativa</w:t>
      </w:r>
    </w:p>
    <w:p w14:paraId="3AAB7E52" w14:textId="77777777" w:rsidR="00BC4EFF" w:rsidRDefault="00BC4EFF" w:rsidP="00BC4EF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ejercicio del Presupuesto de Egresos Clasificación por Objeto del Gasto (Capítulo y Concepto)</w:t>
      </w:r>
    </w:p>
    <w:p w14:paraId="6019D612" w14:textId="77777777" w:rsidR="001537CF" w:rsidRDefault="001537CF" w:rsidP="00BC4EF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Ejercicio del Presupuesto de Egresos Clasificación Económica (Por Tipo de Gasto</w:t>
      </w:r>
      <w:r w:rsidR="0094454A">
        <w:rPr>
          <w:rFonts w:ascii="Arial" w:hAnsi="Arial" w:cs="Arial"/>
          <w:sz w:val="18"/>
          <w:szCs w:val="18"/>
        </w:rPr>
        <w:t>)</w:t>
      </w:r>
    </w:p>
    <w:p w14:paraId="5A3658EA" w14:textId="77777777" w:rsidR="0094454A" w:rsidRDefault="0094454A" w:rsidP="00BC4EF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Ejercicio del Presupuesto de Egresos Clasificación Funcional (Finalidad y Función)</w:t>
      </w:r>
    </w:p>
    <w:p w14:paraId="71FDE3D1" w14:textId="77777777" w:rsidR="0094454A" w:rsidRDefault="0094454A" w:rsidP="00BC4EF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Endeudamiento Neto</w:t>
      </w:r>
    </w:p>
    <w:p w14:paraId="3419CED3" w14:textId="77777777" w:rsidR="0094454A" w:rsidRDefault="00656D62" w:rsidP="00BC4EF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Intereses de la deuda</w:t>
      </w:r>
    </w:p>
    <w:p w14:paraId="5D203EE8" w14:textId="77777777" w:rsidR="00656D62" w:rsidRDefault="00986C92" w:rsidP="00656D6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Indicadores de Postura Fiscal</w:t>
      </w:r>
    </w:p>
    <w:p w14:paraId="5276CB1D" w14:textId="77777777" w:rsidR="00C55007" w:rsidRDefault="00C55007" w:rsidP="00703A12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325AF26D" w14:textId="38C18BAB" w:rsidR="00986C92" w:rsidRPr="005B7A12" w:rsidRDefault="00656D62" w:rsidP="005B7A1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5B7A12">
        <w:rPr>
          <w:rFonts w:ascii="Arial" w:hAnsi="Arial" w:cs="Arial"/>
          <w:sz w:val="18"/>
          <w:szCs w:val="18"/>
        </w:rPr>
        <w:t>INFORMACIÓN PROGR</w:t>
      </w:r>
      <w:r w:rsidR="00A21999">
        <w:rPr>
          <w:rFonts w:ascii="Arial" w:hAnsi="Arial" w:cs="Arial"/>
          <w:sz w:val="18"/>
          <w:szCs w:val="18"/>
        </w:rPr>
        <w:t>A</w:t>
      </w:r>
      <w:r w:rsidRPr="005B7A12">
        <w:rPr>
          <w:rFonts w:ascii="Arial" w:hAnsi="Arial" w:cs="Arial"/>
          <w:sz w:val="18"/>
          <w:szCs w:val="18"/>
        </w:rPr>
        <w:t>M</w:t>
      </w:r>
      <w:r w:rsidR="00A21999">
        <w:rPr>
          <w:rFonts w:ascii="Arial" w:hAnsi="Arial" w:cs="Arial"/>
          <w:sz w:val="18"/>
          <w:szCs w:val="18"/>
        </w:rPr>
        <w:t>Á</w:t>
      </w:r>
      <w:r w:rsidRPr="005B7A12">
        <w:rPr>
          <w:rFonts w:ascii="Arial" w:hAnsi="Arial" w:cs="Arial"/>
          <w:sz w:val="18"/>
          <w:szCs w:val="18"/>
        </w:rPr>
        <w:t>TICA</w:t>
      </w:r>
    </w:p>
    <w:p w14:paraId="6612FFBC" w14:textId="77777777" w:rsidR="00703A12" w:rsidRDefault="00DC6C73" w:rsidP="00DC6C73">
      <w:pPr>
        <w:pStyle w:val="Prrafodelista"/>
        <w:tabs>
          <w:tab w:val="left" w:pos="9410"/>
        </w:tabs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1E9BBB9" w14:textId="77777777" w:rsidR="00986C92" w:rsidRDefault="00986C92" w:rsidP="00986C9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Gasto por Categoría Programática</w:t>
      </w:r>
    </w:p>
    <w:p w14:paraId="7ED3554F" w14:textId="77777777" w:rsidR="00986C92" w:rsidRPr="00DF317D" w:rsidRDefault="00986C92" w:rsidP="00986C9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DF317D">
        <w:rPr>
          <w:rFonts w:ascii="Arial" w:hAnsi="Arial" w:cs="Arial"/>
          <w:sz w:val="18"/>
          <w:szCs w:val="18"/>
        </w:rPr>
        <w:t>Programas y Proyectos de Inversión</w:t>
      </w:r>
    </w:p>
    <w:p w14:paraId="0C7CC53F" w14:textId="77777777" w:rsidR="00703A12" w:rsidRPr="00DF317D" w:rsidRDefault="00986C92" w:rsidP="00703A1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DF317D">
        <w:rPr>
          <w:rFonts w:ascii="Arial" w:hAnsi="Arial" w:cs="Arial"/>
          <w:sz w:val="18"/>
          <w:szCs w:val="18"/>
        </w:rPr>
        <w:t>Indicadores de Resultados</w:t>
      </w:r>
    </w:p>
    <w:p w14:paraId="29A7AA93" w14:textId="77777777" w:rsidR="00703A12" w:rsidRDefault="00703A12" w:rsidP="00703A12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752F0BA3" w14:textId="77777777" w:rsidR="0083022E" w:rsidRDefault="0083022E" w:rsidP="00703A12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7E92CB22" w14:textId="77777777" w:rsidR="00337D64" w:rsidRDefault="00337D64" w:rsidP="00703A12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68E2676B" w14:textId="349BE65D" w:rsidR="00AC3FCB" w:rsidRDefault="00AC3FCB" w:rsidP="00703A12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5822C05C" w14:textId="77777777" w:rsidR="00337D64" w:rsidRDefault="00337D64" w:rsidP="00703A12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28DE5138" w14:textId="77777777" w:rsidR="00703A12" w:rsidRDefault="00986C92" w:rsidP="00703A1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D95CF5">
        <w:rPr>
          <w:rFonts w:ascii="Arial" w:hAnsi="Arial" w:cs="Arial"/>
          <w:sz w:val="18"/>
          <w:szCs w:val="18"/>
        </w:rPr>
        <w:lastRenderedPageBreak/>
        <w:t>ANEXOS</w:t>
      </w:r>
    </w:p>
    <w:p w14:paraId="73DEA57C" w14:textId="77777777" w:rsidR="00E776A3" w:rsidRPr="00D95CF5" w:rsidRDefault="00E776A3" w:rsidP="00E776A3">
      <w:pPr>
        <w:pStyle w:val="Prrafodelista"/>
        <w:ind w:left="1080"/>
        <w:jc w:val="both"/>
        <w:rPr>
          <w:rFonts w:ascii="Arial" w:hAnsi="Arial" w:cs="Arial"/>
          <w:sz w:val="18"/>
          <w:szCs w:val="18"/>
        </w:rPr>
      </w:pPr>
    </w:p>
    <w:p w14:paraId="3F7F8593" w14:textId="77777777" w:rsidR="00656D62" w:rsidRPr="00F11D67" w:rsidRDefault="00986C92" w:rsidP="00986C9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F11D67">
        <w:rPr>
          <w:rFonts w:ascii="Arial" w:hAnsi="Arial" w:cs="Arial"/>
          <w:sz w:val="18"/>
          <w:szCs w:val="18"/>
        </w:rPr>
        <w:t>Relación de Bienes Muebles que Componen el Patrimonio</w:t>
      </w:r>
    </w:p>
    <w:p w14:paraId="1A34383D" w14:textId="77777777" w:rsidR="00986C92" w:rsidRPr="00F11D67" w:rsidRDefault="00986C92" w:rsidP="00986C9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F11D67">
        <w:rPr>
          <w:rFonts w:ascii="Arial" w:hAnsi="Arial" w:cs="Arial"/>
          <w:sz w:val="18"/>
          <w:szCs w:val="18"/>
        </w:rPr>
        <w:t>Relación de Bienes Inmuebles que Componen el Patrimonio</w:t>
      </w:r>
    </w:p>
    <w:p w14:paraId="605E3BD9" w14:textId="77777777" w:rsidR="00986C92" w:rsidRPr="00F11D67" w:rsidRDefault="00986C92" w:rsidP="00986C9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F11D67">
        <w:rPr>
          <w:rFonts w:ascii="Arial" w:hAnsi="Arial" w:cs="Arial"/>
          <w:sz w:val="18"/>
          <w:szCs w:val="18"/>
        </w:rPr>
        <w:t>Relación de cuentas Bancarias Productivas Específicas</w:t>
      </w:r>
    </w:p>
    <w:p w14:paraId="370B9C7C" w14:textId="56C3CC26" w:rsidR="00EA1986" w:rsidRPr="00F11D67" w:rsidRDefault="00EA1986" w:rsidP="00986C9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F11D67">
        <w:rPr>
          <w:rFonts w:ascii="Arial" w:hAnsi="Arial" w:cs="Arial"/>
          <w:sz w:val="18"/>
          <w:szCs w:val="18"/>
        </w:rPr>
        <w:t>Relación de Esquemas Bursátiles</w:t>
      </w:r>
    </w:p>
    <w:p w14:paraId="13BB6C87" w14:textId="5B0F5004" w:rsidR="00EA1986" w:rsidRDefault="00B45C39" w:rsidP="00986C9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Art. 46 último párrafo LGCG</w:t>
      </w:r>
    </w:p>
    <w:p w14:paraId="0843C413" w14:textId="062EFFFF" w:rsidR="001F6715" w:rsidRDefault="001F6715" w:rsidP="001F6715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contable:</w:t>
      </w:r>
    </w:p>
    <w:p w14:paraId="152F3B7B" w14:textId="4CE9E364" w:rsidR="00B45C39" w:rsidRPr="00621AE4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621AE4">
        <w:rPr>
          <w:rFonts w:ascii="Arial" w:hAnsi="Arial" w:cs="Arial"/>
          <w:sz w:val="18"/>
          <w:szCs w:val="18"/>
        </w:rPr>
        <w:t>Estado de actividades</w:t>
      </w:r>
    </w:p>
    <w:p w14:paraId="0692553E" w14:textId="5CCF5E80" w:rsidR="001F6715" w:rsidRPr="00621AE4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621AE4">
        <w:rPr>
          <w:rFonts w:ascii="Arial" w:hAnsi="Arial" w:cs="Arial"/>
          <w:sz w:val="18"/>
          <w:szCs w:val="18"/>
        </w:rPr>
        <w:t>Estado de situación financiera</w:t>
      </w:r>
    </w:p>
    <w:p w14:paraId="504BCF77" w14:textId="6556A8D8" w:rsidR="001F6715" w:rsidRPr="00621AE4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621AE4">
        <w:rPr>
          <w:rFonts w:ascii="Arial" w:hAnsi="Arial" w:cs="Arial"/>
          <w:sz w:val="18"/>
          <w:szCs w:val="18"/>
        </w:rPr>
        <w:t>Estado de variación en la hacienda pública</w:t>
      </w:r>
    </w:p>
    <w:p w14:paraId="143864C1" w14:textId="53FC3B7C" w:rsidR="001F6715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cambio en la situación financiera</w:t>
      </w:r>
    </w:p>
    <w:p w14:paraId="4ECED065" w14:textId="1CE63C0E" w:rsidR="001F6715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flujos de efectivo</w:t>
      </w:r>
    </w:p>
    <w:p w14:paraId="125CCCA8" w14:textId="7877A8F0" w:rsidR="001F6715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sobre pasivos contingentes</w:t>
      </w:r>
    </w:p>
    <w:p w14:paraId="2F821181" w14:textId="786D6582" w:rsidR="001F6715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activo, e</w:t>
      </w:r>
    </w:p>
    <w:p w14:paraId="760E595B" w14:textId="397766DB" w:rsidR="001F6715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 la deuda y otros pasivos, del cual se derivan las clasificaciones siguientes:</w:t>
      </w:r>
    </w:p>
    <w:p w14:paraId="1F5C242A" w14:textId="1BB94459" w:rsidR="001F6715" w:rsidRDefault="001F6715" w:rsidP="001F6715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Corto y largo plazo, así como por su origen en interna y externa</w:t>
      </w:r>
    </w:p>
    <w:p w14:paraId="1B2E0284" w14:textId="5F003213" w:rsidR="001F6715" w:rsidRDefault="001F6715" w:rsidP="001F6715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Fuentes de financiamiento</w:t>
      </w:r>
    </w:p>
    <w:p w14:paraId="5298D146" w14:textId="514FDA94" w:rsidR="001F6715" w:rsidRDefault="001F6715" w:rsidP="001F6715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país acreedor</w:t>
      </w:r>
    </w:p>
    <w:p w14:paraId="5B584D7B" w14:textId="62175AA3" w:rsidR="001F6715" w:rsidRDefault="001F6715" w:rsidP="001F67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Información presupuestaria:</w:t>
      </w:r>
    </w:p>
    <w:p w14:paraId="6C7A6B40" w14:textId="69BBFD24" w:rsidR="001F6715" w:rsidRDefault="001F6715" w:rsidP="001F671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 ingresos, del que se deriva la presentación en clasificación económica por fuente de financiamiento y concepto, incluyendo los ingresos excedentes generados.</w:t>
      </w:r>
    </w:p>
    <w:p w14:paraId="38EE2275" w14:textId="70B63133" w:rsidR="001F6715" w:rsidRDefault="001F6715" w:rsidP="001F671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ejercicio del presupuesto de egresos del que se derivan las clasificaciones siguientes:</w:t>
      </w:r>
    </w:p>
    <w:p w14:paraId="0E90CED8" w14:textId="487CF5C0" w:rsidR="001F6715" w:rsidRDefault="001F6715" w:rsidP="001F671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Administrativa</w:t>
      </w:r>
    </w:p>
    <w:p w14:paraId="357444B7" w14:textId="14617A23" w:rsidR="001F6715" w:rsidRDefault="001F6715" w:rsidP="001F671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Económica</w:t>
      </w:r>
    </w:p>
    <w:p w14:paraId="1B5BB83B" w14:textId="1ADDF17D" w:rsidR="001F6715" w:rsidRDefault="001F6715" w:rsidP="001F671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objeto del gasto</w:t>
      </w:r>
    </w:p>
    <w:p w14:paraId="66DCEE6E" w14:textId="30968F6F" w:rsidR="001F6715" w:rsidRDefault="001F6715" w:rsidP="001F671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Funcional</w:t>
      </w:r>
    </w:p>
    <w:p w14:paraId="4F8B0303" w14:textId="7004AAB5" w:rsidR="001F6715" w:rsidRDefault="001B118C" w:rsidP="001F6715">
      <w:pPr>
        <w:pStyle w:val="Prrafodelista"/>
        <w:ind w:left="213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estado analítico del ejercicio del presupuesto de egresos deberá identificar los montos y adecuaciones presupuestarias y subejercicios por ramo y programa.</w:t>
      </w:r>
    </w:p>
    <w:p w14:paraId="26374073" w14:textId="7B5FEE9A" w:rsidR="001B118C" w:rsidRDefault="001B118C" w:rsidP="001B118C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Endeudamiento neto, financiamiento menos amortización, del que deriva la clasificación por su origen en interno y externo.</w:t>
      </w:r>
    </w:p>
    <w:p w14:paraId="16CE72BA" w14:textId="18A4C2F2" w:rsidR="001B118C" w:rsidRDefault="001B118C" w:rsidP="001B118C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Intereses de la deuda,</w:t>
      </w:r>
    </w:p>
    <w:p w14:paraId="7B53D8ED" w14:textId="66602077" w:rsidR="001B118C" w:rsidRDefault="001B118C" w:rsidP="001B118C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flujo de fondos que resuman todas las operaciones.</w:t>
      </w:r>
    </w:p>
    <w:p w14:paraId="41ABF922" w14:textId="4A200ABA" w:rsidR="001B118C" w:rsidRDefault="001B118C" w:rsidP="001B118C">
      <w:pPr>
        <w:ind w:left="14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programática:</w:t>
      </w:r>
    </w:p>
    <w:p w14:paraId="24213F79" w14:textId="0EB6DCD1" w:rsidR="001B118C" w:rsidRDefault="001B118C" w:rsidP="001B118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Gasto por categoría programática</w:t>
      </w:r>
    </w:p>
    <w:p w14:paraId="39904004" w14:textId="77777777" w:rsidR="00942B92" w:rsidRDefault="00942B92" w:rsidP="00942B92">
      <w:pPr>
        <w:pStyle w:val="Prrafodelista"/>
        <w:ind w:left="1770"/>
        <w:jc w:val="both"/>
        <w:rPr>
          <w:rFonts w:ascii="Arial" w:hAnsi="Arial" w:cs="Arial"/>
          <w:sz w:val="18"/>
          <w:szCs w:val="18"/>
        </w:rPr>
      </w:pPr>
    </w:p>
    <w:p w14:paraId="36BE1EF9" w14:textId="77777777" w:rsidR="004A575D" w:rsidRDefault="004A575D" w:rsidP="00942B92">
      <w:pPr>
        <w:pStyle w:val="Prrafodelista"/>
        <w:ind w:left="1770"/>
        <w:jc w:val="both"/>
        <w:rPr>
          <w:rFonts w:ascii="Arial" w:hAnsi="Arial" w:cs="Arial"/>
          <w:sz w:val="18"/>
          <w:szCs w:val="18"/>
        </w:rPr>
      </w:pPr>
    </w:p>
    <w:p w14:paraId="62F9056B" w14:textId="21FA7D88" w:rsidR="001B118C" w:rsidRPr="003139A5" w:rsidRDefault="001B118C" w:rsidP="003139A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3139A5">
        <w:rPr>
          <w:rFonts w:ascii="Arial" w:hAnsi="Arial" w:cs="Arial"/>
          <w:sz w:val="18"/>
          <w:szCs w:val="18"/>
        </w:rPr>
        <w:lastRenderedPageBreak/>
        <w:t>ANEXOS ADICIONALES, DEBERÁN INCLUIR LOS SIGUIENTES:</w:t>
      </w:r>
    </w:p>
    <w:p w14:paraId="1A2ADCCF" w14:textId="39CFCF5D" w:rsidR="005E5731" w:rsidRDefault="005E5731" w:rsidP="009E0E4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9E0E4A">
        <w:rPr>
          <w:rFonts w:ascii="Arial" w:hAnsi="Arial" w:cs="Arial"/>
          <w:sz w:val="18"/>
          <w:szCs w:val="18"/>
        </w:rPr>
        <w:t>Balanza de Comprobación</w:t>
      </w:r>
    </w:p>
    <w:p w14:paraId="2D42685A" w14:textId="13B16B30" w:rsidR="009E0E4A" w:rsidRDefault="009E0E4A" w:rsidP="009E0E4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Auxiliares contables (En medio electrónico formato Excel)</w:t>
      </w:r>
    </w:p>
    <w:p w14:paraId="4543BFCD" w14:textId="27048112" w:rsidR="009E0E4A" w:rsidRDefault="00652782" w:rsidP="009E0E4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Inventario de bienes muebles, inmuebles e intangibles, codificado, clasificado y cuantificado emitido por el Sistema Armonizado de Administración y Contabilidad Gubernamental (En medio electrónico).</w:t>
      </w:r>
    </w:p>
    <w:p w14:paraId="732D0176" w14:textId="26B97E05" w:rsidR="00652782" w:rsidRDefault="00652782" w:rsidP="009E0E4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337D64">
        <w:rPr>
          <w:rFonts w:ascii="Arial" w:hAnsi="Arial" w:cs="Arial"/>
          <w:sz w:val="18"/>
          <w:szCs w:val="18"/>
        </w:rPr>
        <w:t>Relación de Ingresos Trimestral, en la cual deberá indicar el tipo de recurso ya sea los derivados de transferencias estatales, los derivados de transferencias federales y los recursos propios (En medio electrónico).</w:t>
      </w:r>
    </w:p>
    <w:p w14:paraId="1EFDCA6B" w14:textId="6DE86D83" w:rsidR="00652782" w:rsidRDefault="00652782" w:rsidP="009E0E4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337D64">
        <w:rPr>
          <w:rFonts w:ascii="Arial" w:hAnsi="Arial" w:cs="Arial"/>
          <w:sz w:val="18"/>
          <w:szCs w:val="18"/>
        </w:rPr>
        <w:t>Plantilla de Personal Trimestral (En medio electrónico formato Excel).</w:t>
      </w:r>
    </w:p>
    <w:p w14:paraId="5174E770" w14:textId="7F4A3069" w:rsidR="00675E98" w:rsidRPr="00337D64" w:rsidRDefault="00675E98" w:rsidP="009E0E4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Liga de transparencia del AGHET</w:t>
      </w:r>
    </w:p>
    <w:p w14:paraId="45A86A0A" w14:textId="77777777" w:rsidR="005539D0" w:rsidRDefault="005539D0" w:rsidP="00F83FC1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231E13D6" w14:textId="77777777" w:rsidR="009D1B13" w:rsidRPr="00F359FC" w:rsidRDefault="009D1B13" w:rsidP="009D1B1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F359FC">
        <w:rPr>
          <w:rFonts w:ascii="Arial" w:hAnsi="Arial" w:cs="Arial"/>
          <w:sz w:val="18"/>
          <w:szCs w:val="18"/>
        </w:rPr>
        <w:t>LEY DE DISCIPLINA FINANCIERA</w:t>
      </w:r>
    </w:p>
    <w:p w14:paraId="18A433AF" w14:textId="77777777" w:rsidR="009D1B13" w:rsidRDefault="009D1B13" w:rsidP="009D1B1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Situación Financiera Detallado</w:t>
      </w:r>
    </w:p>
    <w:p w14:paraId="6E5F7C24" w14:textId="77777777" w:rsidR="009D1B13" w:rsidRDefault="006E1E0E" w:rsidP="009D1B1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de Analítico de la Deuda Pública y Otros Pasivos</w:t>
      </w:r>
    </w:p>
    <w:p w14:paraId="602A5A6D" w14:textId="77777777" w:rsidR="006E1E0E" w:rsidRDefault="006E1E0E" w:rsidP="009D1B1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Analítico de Obligaciones Diferentes de Financiamientos</w:t>
      </w:r>
    </w:p>
    <w:p w14:paraId="53DBF06C" w14:textId="77777777" w:rsidR="006E1E0E" w:rsidRDefault="006E1E0E" w:rsidP="009D1B1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Balance Presupuestario</w:t>
      </w:r>
    </w:p>
    <w:p w14:paraId="0C7AF7F3" w14:textId="185EF5C3" w:rsidR="006E1E0E" w:rsidRPr="004A09F7" w:rsidRDefault="006E1E0E" w:rsidP="007F74D7">
      <w:pPr>
        <w:pStyle w:val="Prrafodelista"/>
        <w:numPr>
          <w:ilvl w:val="0"/>
          <w:numId w:val="11"/>
        </w:num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4A09F7">
        <w:rPr>
          <w:rFonts w:ascii="Arial" w:hAnsi="Arial" w:cs="Arial"/>
          <w:sz w:val="18"/>
          <w:szCs w:val="18"/>
        </w:rPr>
        <w:t>Estado Analítico de Ingresos Detallado6a. Estado Analítico del Ejercicio del Presupuesto de Egresos Detallado</w:t>
      </w:r>
    </w:p>
    <w:p w14:paraId="6486CB57" w14:textId="77777777" w:rsidR="006E1E0E" w:rsidRDefault="004C7F7B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Clasificación por Objeto del Gasto (Capítulo y Concepto)</w:t>
      </w:r>
    </w:p>
    <w:p w14:paraId="2233ACF0" w14:textId="77777777" w:rsidR="006E1E0E" w:rsidRDefault="006E1E0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6b. Estado Analítico del Ejercicio de Presupuesto de Egresos Detallado</w:t>
      </w:r>
    </w:p>
    <w:p w14:paraId="337E2EFB" w14:textId="77777777" w:rsidR="004C7F7B" w:rsidRDefault="004C7F7B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Clasificación Administrativa</w:t>
      </w:r>
    </w:p>
    <w:p w14:paraId="0ADD2B14" w14:textId="77777777" w:rsidR="006E1E0E" w:rsidRDefault="006E1E0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6c. Estado Analítico del Ejercicio del Presupuesto de Egresos Detallado</w:t>
      </w:r>
    </w:p>
    <w:p w14:paraId="61CA5436" w14:textId="77777777" w:rsidR="004C7F7B" w:rsidRDefault="004C7F7B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Clasificación Funcional (Funcionalidad y Función)</w:t>
      </w:r>
    </w:p>
    <w:p w14:paraId="57D59061" w14:textId="00BAD7F2" w:rsidR="007946DE" w:rsidRDefault="007946D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6d. Clasificación de Servicios Personales por Categoría</w:t>
      </w:r>
    </w:p>
    <w:p w14:paraId="036D9B02" w14:textId="77777777" w:rsidR="0083022E" w:rsidRDefault="0083022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7a. Proyecciones de Ingresos</w:t>
      </w:r>
    </w:p>
    <w:p w14:paraId="1EE03FFF" w14:textId="77777777" w:rsidR="0083022E" w:rsidRDefault="0083022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7b. Proyecciones de Egresos</w:t>
      </w:r>
    </w:p>
    <w:p w14:paraId="1C03C9D1" w14:textId="77777777" w:rsidR="0083022E" w:rsidRDefault="0083022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7c. Resultado de Ingresos</w:t>
      </w:r>
    </w:p>
    <w:p w14:paraId="586228E5" w14:textId="77777777" w:rsidR="0083022E" w:rsidRDefault="0083022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7d. Resultado de Egresos</w:t>
      </w:r>
    </w:p>
    <w:p w14:paraId="48C7CE74" w14:textId="77777777" w:rsidR="004C7F7B" w:rsidRDefault="0083022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8.- Informe sobre Estudios Actuariales.</w:t>
      </w:r>
    </w:p>
    <w:p w14:paraId="5CDB3CD0" w14:textId="08D1E5BB" w:rsidR="00252B5E" w:rsidRDefault="007946D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Guía de Cumplimiento de la Ley de Disciplina Financiera de las Entidades Federativas y los Municipios. </w:t>
      </w:r>
    </w:p>
    <w:sectPr w:rsidR="00252B5E" w:rsidSect="00366FEB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0525" w14:textId="77777777" w:rsidR="007B7C62" w:rsidRDefault="007B7C62" w:rsidP="00EA5418">
      <w:pPr>
        <w:spacing w:after="0" w:line="240" w:lineRule="auto"/>
      </w:pPr>
      <w:r>
        <w:separator/>
      </w:r>
    </w:p>
  </w:endnote>
  <w:endnote w:type="continuationSeparator" w:id="0">
    <w:p w14:paraId="313F0B29" w14:textId="77777777" w:rsidR="007B7C62" w:rsidRDefault="007B7C6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6177" w14:textId="074960E6" w:rsidR="008B5043" w:rsidRPr="0013011C" w:rsidRDefault="008B504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DCB30D2" wp14:editId="071CB92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553146" id="12 Conector recto" o:spid="_x0000_s1026" style="position:absolute;flip:y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>
      <w:rPr>
        <w:rFonts w:ascii="Soberana Sans Light" w:hAnsi="Soberana Sans Light"/>
      </w:rPr>
      <w:t>Introducción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616C28" w:rsidRPr="00616C28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CC70D56" w14:textId="77777777" w:rsidR="008B5043" w:rsidRDefault="008B50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D876" w14:textId="7B211660" w:rsidR="008B5043" w:rsidRPr="008E3652" w:rsidRDefault="008B5043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F74D2D" wp14:editId="7158B2E7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DDD1CC" id="3 Conector recto" o:spid="_x0000_s1026" style="position:absolute;flip:y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Introducción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616C28" w:rsidRPr="00616C28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B77D" w14:textId="77777777" w:rsidR="007B7C62" w:rsidRDefault="007B7C62" w:rsidP="00EA5418">
      <w:pPr>
        <w:spacing w:after="0" w:line="240" w:lineRule="auto"/>
      </w:pPr>
      <w:r>
        <w:separator/>
      </w:r>
    </w:p>
  </w:footnote>
  <w:footnote w:type="continuationSeparator" w:id="0">
    <w:p w14:paraId="282F0F50" w14:textId="77777777" w:rsidR="007B7C62" w:rsidRDefault="007B7C6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AD1A" w14:textId="77777777" w:rsidR="008B5043" w:rsidRDefault="008B5043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E79C421" wp14:editId="4065FA95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435FC" w14:textId="77777777" w:rsidR="008B5043" w:rsidRDefault="008B5043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227FE4E" w14:textId="77777777" w:rsidR="008B5043" w:rsidRDefault="008B504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353D69E" w14:textId="77777777" w:rsidR="008B5043" w:rsidRPr="00275FC6" w:rsidRDefault="008B5043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ECBCD" w14:textId="18C6D5B6" w:rsidR="008B5043" w:rsidRDefault="008B50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4A25C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0E2D65EC" w14:textId="77777777" w:rsidR="008B5043" w:rsidRDefault="008B50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EABB851" w14:textId="77777777" w:rsidR="008B5043" w:rsidRDefault="008B50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1CCAF45D" w14:textId="77777777" w:rsidR="008B5043" w:rsidRDefault="008B50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10D4DDB" w14:textId="77777777" w:rsidR="008B5043" w:rsidRPr="00275FC6" w:rsidRDefault="008B50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E79C421" id="6 Grupo" o:spid="_x0000_s1026" style="position:absolute;margin-left:132.6pt;margin-top:-22.15pt;width:347.6pt;height:39.25pt;z-index:251661824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jurlbS3eRvuoCxx6DmuB/Zh/aZ8N/&#10;tbfB/TvHHhMah/YeqSSxwfbYfJmzG5Rsrk4+ZT3qeZX5eplKtTVRUm/eabS6tK138rr7z0Kiiiq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f2xvLKWJW2mRCuT2yMV&#10;4v8A8E9P2Srr9iX9lvQ/h3fa1b+ILjR5rmU3sNubdJPNmaTGwsxGN2Ote3UUeZ3U8yxFPB1MBF/u&#10;6koSkrLWUFNRd91ZTlotHfXZBRRRQc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+LG9v71G9v71Jj2ox7UGY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G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n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2D435FC" w14:textId="77777777" w:rsidR="008B5043" w:rsidRDefault="008B5043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227FE4E" w14:textId="77777777" w:rsidR="008B5043" w:rsidRDefault="008B504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353D69E" w14:textId="77777777" w:rsidR="008B5043" w:rsidRPr="00275FC6" w:rsidRDefault="008B5043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718ECBCD" w14:textId="18C6D5B6" w:rsidR="008B5043" w:rsidRDefault="008B50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4A25C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0E2D65EC" w14:textId="77777777" w:rsidR="008B5043" w:rsidRDefault="008B50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EABB851" w14:textId="77777777" w:rsidR="008B5043" w:rsidRDefault="008B50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1CCAF45D" w14:textId="77777777" w:rsidR="008B5043" w:rsidRDefault="008B50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10D4DDB" w14:textId="77777777" w:rsidR="008B5043" w:rsidRPr="00275FC6" w:rsidRDefault="008B50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4B02BE" wp14:editId="0FB4F9FC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019636" id="4 Conector recto" o:spid="_x0000_s1026" style="position:absolute;flip:y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2191" w14:textId="77777777" w:rsidR="008B5043" w:rsidRPr="0013011C" w:rsidRDefault="008B5043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CE6EC8C" wp14:editId="320D92F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2CA2" id="1 Conector recto" o:spid="_x0000_s1026" style="position:absolute;flip:y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02F6363"/>
    <w:multiLevelType w:val="multilevel"/>
    <w:tmpl w:val="FD427E5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3" w15:restartNumberingAfterBreak="0">
    <w:nsid w:val="25DA46FC"/>
    <w:multiLevelType w:val="hybridMultilevel"/>
    <w:tmpl w:val="160C13CE"/>
    <w:lvl w:ilvl="0" w:tplc="B8C8581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284D4AD6"/>
    <w:multiLevelType w:val="hybridMultilevel"/>
    <w:tmpl w:val="06C03040"/>
    <w:lvl w:ilvl="0" w:tplc="13F284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3988539F"/>
    <w:multiLevelType w:val="hybridMultilevel"/>
    <w:tmpl w:val="61EE3BBA"/>
    <w:lvl w:ilvl="0" w:tplc="8460DB86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0" w:hanging="360"/>
      </w:pPr>
    </w:lvl>
    <w:lvl w:ilvl="2" w:tplc="080A001B" w:tentative="1">
      <w:start w:val="1"/>
      <w:numFmt w:val="lowerRoman"/>
      <w:lvlText w:val="%3."/>
      <w:lvlJc w:val="right"/>
      <w:pPr>
        <w:ind w:left="3570" w:hanging="180"/>
      </w:pPr>
    </w:lvl>
    <w:lvl w:ilvl="3" w:tplc="080A000F" w:tentative="1">
      <w:start w:val="1"/>
      <w:numFmt w:val="decimal"/>
      <w:lvlText w:val="%4."/>
      <w:lvlJc w:val="left"/>
      <w:pPr>
        <w:ind w:left="4290" w:hanging="360"/>
      </w:pPr>
    </w:lvl>
    <w:lvl w:ilvl="4" w:tplc="080A0019" w:tentative="1">
      <w:start w:val="1"/>
      <w:numFmt w:val="lowerLetter"/>
      <w:lvlText w:val="%5."/>
      <w:lvlJc w:val="left"/>
      <w:pPr>
        <w:ind w:left="5010" w:hanging="360"/>
      </w:pPr>
    </w:lvl>
    <w:lvl w:ilvl="5" w:tplc="080A001B" w:tentative="1">
      <w:start w:val="1"/>
      <w:numFmt w:val="lowerRoman"/>
      <w:lvlText w:val="%6."/>
      <w:lvlJc w:val="right"/>
      <w:pPr>
        <w:ind w:left="5730" w:hanging="180"/>
      </w:pPr>
    </w:lvl>
    <w:lvl w:ilvl="6" w:tplc="080A000F" w:tentative="1">
      <w:start w:val="1"/>
      <w:numFmt w:val="decimal"/>
      <w:lvlText w:val="%7."/>
      <w:lvlJc w:val="left"/>
      <w:pPr>
        <w:ind w:left="6450" w:hanging="360"/>
      </w:pPr>
    </w:lvl>
    <w:lvl w:ilvl="7" w:tplc="080A0019" w:tentative="1">
      <w:start w:val="1"/>
      <w:numFmt w:val="lowerLetter"/>
      <w:lvlText w:val="%8."/>
      <w:lvlJc w:val="left"/>
      <w:pPr>
        <w:ind w:left="7170" w:hanging="360"/>
      </w:pPr>
    </w:lvl>
    <w:lvl w:ilvl="8" w:tplc="08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3A701CD1"/>
    <w:multiLevelType w:val="hybridMultilevel"/>
    <w:tmpl w:val="32A67F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10D20"/>
    <w:multiLevelType w:val="hybridMultilevel"/>
    <w:tmpl w:val="8AC2BB52"/>
    <w:lvl w:ilvl="0" w:tplc="867CE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561F5"/>
    <w:multiLevelType w:val="hybridMultilevel"/>
    <w:tmpl w:val="CD5CDDC8"/>
    <w:lvl w:ilvl="0" w:tplc="CFBAB06C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75" w:hanging="360"/>
      </w:pPr>
    </w:lvl>
    <w:lvl w:ilvl="2" w:tplc="080A001B" w:tentative="1">
      <w:start w:val="1"/>
      <w:numFmt w:val="lowerRoman"/>
      <w:lvlText w:val="%3."/>
      <w:lvlJc w:val="right"/>
      <w:pPr>
        <w:ind w:left="2895" w:hanging="180"/>
      </w:pPr>
    </w:lvl>
    <w:lvl w:ilvl="3" w:tplc="080A000F" w:tentative="1">
      <w:start w:val="1"/>
      <w:numFmt w:val="decimal"/>
      <w:lvlText w:val="%4."/>
      <w:lvlJc w:val="left"/>
      <w:pPr>
        <w:ind w:left="3615" w:hanging="360"/>
      </w:pPr>
    </w:lvl>
    <w:lvl w:ilvl="4" w:tplc="080A0019" w:tentative="1">
      <w:start w:val="1"/>
      <w:numFmt w:val="lowerLetter"/>
      <w:lvlText w:val="%5."/>
      <w:lvlJc w:val="left"/>
      <w:pPr>
        <w:ind w:left="4335" w:hanging="360"/>
      </w:pPr>
    </w:lvl>
    <w:lvl w:ilvl="5" w:tplc="080A001B" w:tentative="1">
      <w:start w:val="1"/>
      <w:numFmt w:val="lowerRoman"/>
      <w:lvlText w:val="%6."/>
      <w:lvlJc w:val="right"/>
      <w:pPr>
        <w:ind w:left="5055" w:hanging="180"/>
      </w:pPr>
    </w:lvl>
    <w:lvl w:ilvl="6" w:tplc="080A000F" w:tentative="1">
      <w:start w:val="1"/>
      <w:numFmt w:val="decimal"/>
      <w:lvlText w:val="%7."/>
      <w:lvlJc w:val="left"/>
      <w:pPr>
        <w:ind w:left="5775" w:hanging="360"/>
      </w:pPr>
    </w:lvl>
    <w:lvl w:ilvl="7" w:tplc="080A0019" w:tentative="1">
      <w:start w:val="1"/>
      <w:numFmt w:val="lowerLetter"/>
      <w:lvlText w:val="%8."/>
      <w:lvlJc w:val="left"/>
      <w:pPr>
        <w:ind w:left="6495" w:hanging="360"/>
      </w:pPr>
    </w:lvl>
    <w:lvl w:ilvl="8" w:tplc="08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4E4C72C0"/>
    <w:multiLevelType w:val="hybridMultilevel"/>
    <w:tmpl w:val="A1FA6558"/>
    <w:lvl w:ilvl="0" w:tplc="E3E8D2E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3A3023"/>
    <w:multiLevelType w:val="hybridMultilevel"/>
    <w:tmpl w:val="10D28C6A"/>
    <w:lvl w:ilvl="0" w:tplc="085ADD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5A1328"/>
    <w:multiLevelType w:val="hybridMultilevel"/>
    <w:tmpl w:val="58B694F0"/>
    <w:lvl w:ilvl="0" w:tplc="FA121E5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3" w:hanging="360"/>
      </w:pPr>
    </w:lvl>
    <w:lvl w:ilvl="2" w:tplc="080A001B" w:tentative="1">
      <w:start w:val="1"/>
      <w:numFmt w:val="lowerRoman"/>
      <w:lvlText w:val="%3."/>
      <w:lvlJc w:val="right"/>
      <w:pPr>
        <w:ind w:left="3213" w:hanging="180"/>
      </w:pPr>
    </w:lvl>
    <w:lvl w:ilvl="3" w:tplc="080A000F" w:tentative="1">
      <w:start w:val="1"/>
      <w:numFmt w:val="decimal"/>
      <w:lvlText w:val="%4."/>
      <w:lvlJc w:val="left"/>
      <w:pPr>
        <w:ind w:left="3933" w:hanging="360"/>
      </w:pPr>
    </w:lvl>
    <w:lvl w:ilvl="4" w:tplc="080A0019" w:tentative="1">
      <w:start w:val="1"/>
      <w:numFmt w:val="lowerLetter"/>
      <w:lvlText w:val="%5."/>
      <w:lvlJc w:val="left"/>
      <w:pPr>
        <w:ind w:left="4653" w:hanging="360"/>
      </w:pPr>
    </w:lvl>
    <w:lvl w:ilvl="5" w:tplc="080A001B" w:tentative="1">
      <w:start w:val="1"/>
      <w:numFmt w:val="lowerRoman"/>
      <w:lvlText w:val="%6."/>
      <w:lvlJc w:val="right"/>
      <w:pPr>
        <w:ind w:left="5373" w:hanging="180"/>
      </w:pPr>
    </w:lvl>
    <w:lvl w:ilvl="6" w:tplc="080A000F" w:tentative="1">
      <w:start w:val="1"/>
      <w:numFmt w:val="decimal"/>
      <w:lvlText w:val="%7."/>
      <w:lvlJc w:val="left"/>
      <w:pPr>
        <w:ind w:left="6093" w:hanging="360"/>
      </w:pPr>
    </w:lvl>
    <w:lvl w:ilvl="7" w:tplc="080A0019" w:tentative="1">
      <w:start w:val="1"/>
      <w:numFmt w:val="lowerLetter"/>
      <w:lvlText w:val="%8."/>
      <w:lvlJc w:val="left"/>
      <w:pPr>
        <w:ind w:left="6813" w:hanging="360"/>
      </w:pPr>
    </w:lvl>
    <w:lvl w:ilvl="8" w:tplc="080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4" w15:restartNumberingAfterBreak="0">
    <w:nsid w:val="5E03601C"/>
    <w:multiLevelType w:val="hybridMultilevel"/>
    <w:tmpl w:val="D86C44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3040A"/>
    <w:multiLevelType w:val="hybridMultilevel"/>
    <w:tmpl w:val="6B9EE7B6"/>
    <w:lvl w:ilvl="0" w:tplc="5E4E48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6902E3"/>
    <w:multiLevelType w:val="hybridMultilevel"/>
    <w:tmpl w:val="D732397C"/>
    <w:lvl w:ilvl="0" w:tplc="9DFC4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23525B"/>
    <w:multiLevelType w:val="hybridMultilevel"/>
    <w:tmpl w:val="87927124"/>
    <w:lvl w:ilvl="0" w:tplc="B3B255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AB0CE4"/>
    <w:multiLevelType w:val="hybridMultilevel"/>
    <w:tmpl w:val="F698A56C"/>
    <w:lvl w:ilvl="0" w:tplc="50648F2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71C42F0D"/>
    <w:multiLevelType w:val="hybridMultilevel"/>
    <w:tmpl w:val="24900CEC"/>
    <w:lvl w:ilvl="0" w:tplc="4336F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347564"/>
    <w:multiLevelType w:val="hybridMultilevel"/>
    <w:tmpl w:val="734CACFE"/>
    <w:lvl w:ilvl="0" w:tplc="45BCC9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991EFF"/>
    <w:multiLevelType w:val="hybridMultilevel"/>
    <w:tmpl w:val="358EDA72"/>
    <w:lvl w:ilvl="0" w:tplc="4A1EED90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979796">
    <w:abstractNumId w:val="0"/>
  </w:num>
  <w:num w:numId="2" w16cid:durableId="630525616">
    <w:abstractNumId w:val="1"/>
  </w:num>
  <w:num w:numId="3" w16cid:durableId="760760610">
    <w:abstractNumId w:val="6"/>
  </w:num>
  <w:num w:numId="4" w16cid:durableId="1118140639">
    <w:abstractNumId w:val="5"/>
  </w:num>
  <w:num w:numId="5" w16cid:durableId="294527774">
    <w:abstractNumId w:val="21"/>
  </w:num>
  <w:num w:numId="6" w16cid:durableId="1945186362">
    <w:abstractNumId w:val="9"/>
  </w:num>
  <w:num w:numId="7" w16cid:durableId="992950199">
    <w:abstractNumId w:val="20"/>
  </w:num>
  <w:num w:numId="8" w16cid:durableId="258878169">
    <w:abstractNumId w:val="12"/>
  </w:num>
  <w:num w:numId="9" w16cid:durableId="807550186">
    <w:abstractNumId w:val="16"/>
  </w:num>
  <w:num w:numId="10" w16cid:durableId="564804167">
    <w:abstractNumId w:val="2"/>
  </w:num>
  <w:num w:numId="11" w16cid:durableId="1573929714">
    <w:abstractNumId w:val="19"/>
  </w:num>
  <w:num w:numId="12" w16cid:durableId="1881627024">
    <w:abstractNumId w:val="4"/>
  </w:num>
  <w:num w:numId="13" w16cid:durableId="566914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5284944">
    <w:abstractNumId w:val="15"/>
  </w:num>
  <w:num w:numId="15" w16cid:durableId="1519854532">
    <w:abstractNumId w:val="17"/>
  </w:num>
  <w:num w:numId="16" w16cid:durableId="1170370244">
    <w:abstractNumId w:val="18"/>
  </w:num>
  <w:num w:numId="17" w16cid:durableId="145633811">
    <w:abstractNumId w:val="7"/>
  </w:num>
  <w:num w:numId="18" w16cid:durableId="1556622340">
    <w:abstractNumId w:val="3"/>
  </w:num>
  <w:num w:numId="19" w16cid:durableId="1767849677">
    <w:abstractNumId w:val="13"/>
  </w:num>
  <w:num w:numId="20" w16cid:durableId="1554072783">
    <w:abstractNumId w:val="11"/>
  </w:num>
  <w:num w:numId="21" w16cid:durableId="322590174">
    <w:abstractNumId w:val="10"/>
  </w:num>
  <w:num w:numId="22" w16cid:durableId="438838283">
    <w:abstractNumId w:val="14"/>
  </w:num>
  <w:num w:numId="23" w16cid:durableId="410275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03E3"/>
    <w:rsid w:val="000037D6"/>
    <w:rsid w:val="00006F1F"/>
    <w:rsid w:val="00016953"/>
    <w:rsid w:val="000258A8"/>
    <w:rsid w:val="00027865"/>
    <w:rsid w:val="000356B0"/>
    <w:rsid w:val="000357B1"/>
    <w:rsid w:val="00036753"/>
    <w:rsid w:val="00040466"/>
    <w:rsid w:val="000404D8"/>
    <w:rsid w:val="00047602"/>
    <w:rsid w:val="000532C4"/>
    <w:rsid w:val="00056042"/>
    <w:rsid w:val="000759F1"/>
    <w:rsid w:val="00087589"/>
    <w:rsid w:val="000928D4"/>
    <w:rsid w:val="00092DA5"/>
    <w:rsid w:val="000C2E25"/>
    <w:rsid w:val="000C5C36"/>
    <w:rsid w:val="001031F7"/>
    <w:rsid w:val="0010532C"/>
    <w:rsid w:val="00112C82"/>
    <w:rsid w:val="0012106E"/>
    <w:rsid w:val="0013011C"/>
    <w:rsid w:val="001308CF"/>
    <w:rsid w:val="00131F54"/>
    <w:rsid w:val="00133AAD"/>
    <w:rsid w:val="001409C3"/>
    <w:rsid w:val="00145941"/>
    <w:rsid w:val="001537CF"/>
    <w:rsid w:val="001646D9"/>
    <w:rsid w:val="001743ED"/>
    <w:rsid w:val="00175969"/>
    <w:rsid w:val="001A00C2"/>
    <w:rsid w:val="001B118C"/>
    <w:rsid w:val="001B1B72"/>
    <w:rsid w:val="001B405F"/>
    <w:rsid w:val="001C3B87"/>
    <w:rsid w:val="001C41DD"/>
    <w:rsid w:val="001E00F2"/>
    <w:rsid w:val="001F3EE5"/>
    <w:rsid w:val="001F6715"/>
    <w:rsid w:val="00204135"/>
    <w:rsid w:val="00215511"/>
    <w:rsid w:val="002216F4"/>
    <w:rsid w:val="002416FC"/>
    <w:rsid w:val="00252B5E"/>
    <w:rsid w:val="00264A12"/>
    <w:rsid w:val="00284F5E"/>
    <w:rsid w:val="00285850"/>
    <w:rsid w:val="002865A7"/>
    <w:rsid w:val="00297D28"/>
    <w:rsid w:val="002A70B3"/>
    <w:rsid w:val="002B36EF"/>
    <w:rsid w:val="002C2917"/>
    <w:rsid w:val="002C778A"/>
    <w:rsid w:val="002D48F6"/>
    <w:rsid w:val="002E45B2"/>
    <w:rsid w:val="002E5897"/>
    <w:rsid w:val="002E5A93"/>
    <w:rsid w:val="002F0DE9"/>
    <w:rsid w:val="002F3A11"/>
    <w:rsid w:val="002F5394"/>
    <w:rsid w:val="00307635"/>
    <w:rsid w:val="00310D3A"/>
    <w:rsid w:val="003139A5"/>
    <w:rsid w:val="00317BA3"/>
    <w:rsid w:val="003268D7"/>
    <w:rsid w:val="0033404C"/>
    <w:rsid w:val="00337D64"/>
    <w:rsid w:val="003436FE"/>
    <w:rsid w:val="003460B0"/>
    <w:rsid w:val="0034745A"/>
    <w:rsid w:val="00355821"/>
    <w:rsid w:val="003575A4"/>
    <w:rsid w:val="003610E0"/>
    <w:rsid w:val="00366FEB"/>
    <w:rsid w:val="00371F70"/>
    <w:rsid w:val="00372F40"/>
    <w:rsid w:val="00377CFC"/>
    <w:rsid w:val="00384852"/>
    <w:rsid w:val="003C5086"/>
    <w:rsid w:val="003D5DBF"/>
    <w:rsid w:val="003D7E25"/>
    <w:rsid w:val="003E7FD0"/>
    <w:rsid w:val="00406946"/>
    <w:rsid w:val="00406CE5"/>
    <w:rsid w:val="00416A9C"/>
    <w:rsid w:val="00423208"/>
    <w:rsid w:val="00427E2C"/>
    <w:rsid w:val="00440E39"/>
    <w:rsid w:val="00441A0E"/>
    <w:rsid w:val="0044253C"/>
    <w:rsid w:val="0044441B"/>
    <w:rsid w:val="00444ACB"/>
    <w:rsid w:val="00453974"/>
    <w:rsid w:val="004614A0"/>
    <w:rsid w:val="00473B33"/>
    <w:rsid w:val="00483151"/>
    <w:rsid w:val="0048333A"/>
    <w:rsid w:val="00486AE1"/>
    <w:rsid w:val="0048789B"/>
    <w:rsid w:val="0049719C"/>
    <w:rsid w:val="00497D8B"/>
    <w:rsid w:val="004A09F7"/>
    <w:rsid w:val="004A25CC"/>
    <w:rsid w:val="004A575D"/>
    <w:rsid w:val="004A7F39"/>
    <w:rsid w:val="004B63B8"/>
    <w:rsid w:val="004C2F5B"/>
    <w:rsid w:val="004C4217"/>
    <w:rsid w:val="004C7F7B"/>
    <w:rsid w:val="004D41B8"/>
    <w:rsid w:val="004F1C53"/>
    <w:rsid w:val="004F542F"/>
    <w:rsid w:val="00502D8E"/>
    <w:rsid w:val="00504FA2"/>
    <w:rsid w:val="005117F4"/>
    <w:rsid w:val="005219C4"/>
    <w:rsid w:val="00522632"/>
    <w:rsid w:val="00523775"/>
    <w:rsid w:val="00526762"/>
    <w:rsid w:val="00531310"/>
    <w:rsid w:val="00534982"/>
    <w:rsid w:val="00534CE1"/>
    <w:rsid w:val="00540418"/>
    <w:rsid w:val="005404B7"/>
    <w:rsid w:val="005539D0"/>
    <w:rsid w:val="005633A2"/>
    <w:rsid w:val="005802C0"/>
    <w:rsid w:val="00582405"/>
    <w:rsid w:val="005859FA"/>
    <w:rsid w:val="005956E5"/>
    <w:rsid w:val="005B06E7"/>
    <w:rsid w:val="005B19D3"/>
    <w:rsid w:val="005B2D7D"/>
    <w:rsid w:val="005B6C40"/>
    <w:rsid w:val="005B7A12"/>
    <w:rsid w:val="005D6F1B"/>
    <w:rsid w:val="005E5731"/>
    <w:rsid w:val="005F46C3"/>
    <w:rsid w:val="005F52C6"/>
    <w:rsid w:val="006048D2"/>
    <w:rsid w:val="00607D9E"/>
    <w:rsid w:val="00610318"/>
    <w:rsid w:val="00611E39"/>
    <w:rsid w:val="00616C28"/>
    <w:rsid w:val="006216F8"/>
    <w:rsid w:val="00621AE4"/>
    <w:rsid w:val="00622E65"/>
    <w:rsid w:val="00625389"/>
    <w:rsid w:val="00631E89"/>
    <w:rsid w:val="00633025"/>
    <w:rsid w:val="00652782"/>
    <w:rsid w:val="00655D8D"/>
    <w:rsid w:val="00656D62"/>
    <w:rsid w:val="00667C32"/>
    <w:rsid w:val="00675E98"/>
    <w:rsid w:val="00676076"/>
    <w:rsid w:val="00676A23"/>
    <w:rsid w:val="00680209"/>
    <w:rsid w:val="00693628"/>
    <w:rsid w:val="006B729B"/>
    <w:rsid w:val="006C66D2"/>
    <w:rsid w:val="006E1E0E"/>
    <w:rsid w:val="006E5D84"/>
    <w:rsid w:val="006E6B8E"/>
    <w:rsid w:val="006E77DD"/>
    <w:rsid w:val="006F451F"/>
    <w:rsid w:val="00703A12"/>
    <w:rsid w:val="0071481B"/>
    <w:rsid w:val="00721E90"/>
    <w:rsid w:val="00724B8C"/>
    <w:rsid w:val="00727186"/>
    <w:rsid w:val="00737D9B"/>
    <w:rsid w:val="00741A26"/>
    <w:rsid w:val="00747991"/>
    <w:rsid w:val="0075305B"/>
    <w:rsid w:val="00754508"/>
    <w:rsid w:val="00754CBB"/>
    <w:rsid w:val="007556EA"/>
    <w:rsid w:val="0077212D"/>
    <w:rsid w:val="00775D30"/>
    <w:rsid w:val="00777AD8"/>
    <w:rsid w:val="00782B73"/>
    <w:rsid w:val="00783049"/>
    <w:rsid w:val="00792609"/>
    <w:rsid w:val="007935A3"/>
    <w:rsid w:val="007946DE"/>
    <w:rsid w:val="0079582C"/>
    <w:rsid w:val="007A3614"/>
    <w:rsid w:val="007A4DD1"/>
    <w:rsid w:val="007A5500"/>
    <w:rsid w:val="007B0914"/>
    <w:rsid w:val="007B145A"/>
    <w:rsid w:val="007B5824"/>
    <w:rsid w:val="007B7C62"/>
    <w:rsid w:val="007B7C67"/>
    <w:rsid w:val="007D0214"/>
    <w:rsid w:val="007D6E9A"/>
    <w:rsid w:val="007E03E5"/>
    <w:rsid w:val="007E6475"/>
    <w:rsid w:val="007E71CF"/>
    <w:rsid w:val="007F4080"/>
    <w:rsid w:val="00807A25"/>
    <w:rsid w:val="0081120A"/>
    <w:rsid w:val="00824559"/>
    <w:rsid w:val="0083022E"/>
    <w:rsid w:val="00836E49"/>
    <w:rsid w:val="00841EB9"/>
    <w:rsid w:val="00844215"/>
    <w:rsid w:val="00845D08"/>
    <w:rsid w:val="00850E90"/>
    <w:rsid w:val="008535A8"/>
    <w:rsid w:val="0088193C"/>
    <w:rsid w:val="00884851"/>
    <w:rsid w:val="008A693A"/>
    <w:rsid w:val="008A6E4D"/>
    <w:rsid w:val="008B0017"/>
    <w:rsid w:val="008B5043"/>
    <w:rsid w:val="008D4272"/>
    <w:rsid w:val="008E3652"/>
    <w:rsid w:val="008F6681"/>
    <w:rsid w:val="009068DB"/>
    <w:rsid w:val="00907C29"/>
    <w:rsid w:val="00912962"/>
    <w:rsid w:val="00917645"/>
    <w:rsid w:val="00922527"/>
    <w:rsid w:val="00923580"/>
    <w:rsid w:val="00937888"/>
    <w:rsid w:val="00942B92"/>
    <w:rsid w:val="0094454A"/>
    <w:rsid w:val="00946290"/>
    <w:rsid w:val="009470C9"/>
    <w:rsid w:val="00950967"/>
    <w:rsid w:val="009555EC"/>
    <w:rsid w:val="00964359"/>
    <w:rsid w:val="00970E9B"/>
    <w:rsid w:val="00981DDB"/>
    <w:rsid w:val="009844BB"/>
    <w:rsid w:val="00985646"/>
    <w:rsid w:val="00986C92"/>
    <w:rsid w:val="009B4922"/>
    <w:rsid w:val="009D1B13"/>
    <w:rsid w:val="009E0E4A"/>
    <w:rsid w:val="009E4248"/>
    <w:rsid w:val="00A044D9"/>
    <w:rsid w:val="00A11EBA"/>
    <w:rsid w:val="00A134F8"/>
    <w:rsid w:val="00A14B74"/>
    <w:rsid w:val="00A21999"/>
    <w:rsid w:val="00A272E0"/>
    <w:rsid w:val="00A35C01"/>
    <w:rsid w:val="00A425EC"/>
    <w:rsid w:val="00A43705"/>
    <w:rsid w:val="00A537D1"/>
    <w:rsid w:val="00A72515"/>
    <w:rsid w:val="00A73573"/>
    <w:rsid w:val="00A8349A"/>
    <w:rsid w:val="00AA1FFB"/>
    <w:rsid w:val="00AB0783"/>
    <w:rsid w:val="00AB13B7"/>
    <w:rsid w:val="00AC1FC6"/>
    <w:rsid w:val="00AC3FCB"/>
    <w:rsid w:val="00B051FA"/>
    <w:rsid w:val="00B05A3B"/>
    <w:rsid w:val="00B06537"/>
    <w:rsid w:val="00B11AF0"/>
    <w:rsid w:val="00B17423"/>
    <w:rsid w:val="00B17B2B"/>
    <w:rsid w:val="00B34D67"/>
    <w:rsid w:val="00B42A02"/>
    <w:rsid w:val="00B45C39"/>
    <w:rsid w:val="00B6096C"/>
    <w:rsid w:val="00B849EE"/>
    <w:rsid w:val="00B912D9"/>
    <w:rsid w:val="00B92D9F"/>
    <w:rsid w:val="00BC4EFF"/>
    <w:rsid w:val="00BD3E3D"/>
    <w:rsid w:val="00BE0800"/>
    <w:rsid w:val="00BE5D81"/>
    <w:rsid w:val="00C102A9"/>
    <w:rsid w:val="00C14FDE"/>
    <w:rsid w:val="00C16FBC"/>
    <w:rsid w:val="00C27F12"/>
    <w:rsid w:val="00C31280"/>
    <w:rsid w:val="00C44F01"/>
    <w:rsid w:val="00C503CF"/>
    <w:rsid w:val="00C54785"/>
    <w:rsid w:val="00C55007"/>
    <w:rsid w:val="00C6443C"/>
    <w:rsid w:val="00C676F1"/>
    <w:rsid w:val="00C70181"/>
    <w:rsid w:val="00C82D61"/>
    <w:rsid w:val="00C927DC"/>
    <w:rsid w:val="00CA22E6"/>
    <w:rsid w:val="00CA2D37"/>
    <w:rsid w:val="00CA3794"/>
    <w:rsid w:val="00CA62F8"/>
    <w:rsid w:val="00CB1994"/>
    <w:rsid w:val="00CB5789"/>
    <w:rsid w:val="00CC5CB6"/>
    <w:rsid w:val="00CC6A69"/>
    <w:rsid w:val="00CD719D"/>
    <w:rsid w:val="00CE2B0A"/>
    <w:rsid w:val="00CE2E28"/>
    <w:rsid w:val="00CE66BD"/>
    <w:rsid w:val="00CF4783"/>
    <w:rsid w:val="00CF4BF2"/>
    <w:rsid w:val="00CF4FBA"/>
    <w:rsid w:val="00CF65C9"/>
    <w:rsid w:val="00D055EC"/>
    <w:rsid w:val="00D14D5F"/>
    <w:rsid w:val="00D17165"/>
    <w:rsid w:val="00D171F8"/>
    <w:rsid w:val="00D25636"/>
    <w:rsid w:val="00D404ED"/>
    <w:rsid w:val="00D4281F"/>
    <w:rsid w:val="00D474CB"/>
    <w:rsid w:val="00D50DE6"/>
    <w:rsid w:val="00D51261"/>
    <w:rsid w:val="00D63805"/>
    <w:rsid w:val="00D72599"/>
    <w:rsid w:val="00D748D3"/>
    <w:rsid w:val="00D76E21"/>
    <w:rsid w:val="00D937D2"/>
    <w:rsid w:val="00D95CF5"/>
    <w:rsid w:val="00DA20DB"/>
    <w:rsid w:val="00DB1845"/>
    <w:rsid w:val="00DB2AA2"/>
    <w:rsid w:val="00DC4F37"/>
    <w:rsid w:val="00DC6C73"/>
    <w:rsid w:val="00DD230F"/>
    <w:rsid w:val="00DE2BA9"/>
    <w:rsid w:val="00DF317D"/>
    <w:rsid w:val="00E01F73"/>
    <w:rsid w:val="00E071C1"/>
    <w:rsid w:val="00E1239F"/>
    <w:rsid w:val="00E14D47"/>
    <w:rsid w:val="00E202D8"/>
    <w:rsid w:val="00E23B2F"/>
    <w:rsid w:val="00E32708"/>
    <w:rsid w:val="00E37457"/>
    <w:rsid w:val="00E41B63"/>
    <w:rsid w:val="00E41C47"/>
    <w:rsid w:val="00E501E7"/>
    <w:rsid w:val="00E776A3"/>
    <w:rsid w:val="00E8339C"/>
    <w:rsid w:val="00EA1986"/>
    <w:rsid w:val="00EA5418"/>
    <w:rsid w:val="00ED1273"/>
    <w:rsid w:val="00ED6BE8"/>
    <w:rsid w:val="00EE6970"/>
    <w:rsid w:val="00EF28C6"/>
    <w:rsid w:val="00F10CE1"/>
    <w:rsid w:val="00F11D67"/>
    <w:rsid w:val="00F16710"/>
    <w:rsid w:val="00F329DA"/>
    <w:rsid w:val="00F3534A"/>
    <w:rsid w:val="00F359FC"/>
    <w:rsid w:val="00F366E9"/>
    <w:rsid w:val="00F5399A"/>
    <w:rsid w:val="00F54A68"/>
    <w:rsid w:val="00F64866"/>
    <w:rsid w:val="00F75D5C"/>
    <w:rsid w:val="00F81A91"/>
    <w:rsid w:val="00F82956"/>
    <w:rsid w:val="00F83A98"/>
    <w:rsid w:val="00F83FC1"/>
    <w:rsid w:val="00F96944"/>
    <w:rsid w:val="00FB7A85"/>
    <w:rsid w:val="00FB7F7C"/>
    <w:rsid w:val="00FC2FC4"/>
    <w:rsid w:val="00FD771E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179DF"/>
  <w15:docId w15:val="{08ED20C6-394D-40C2-9324-C0E3F1C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C834-02C4-4147-A83A-0719DCF3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</Pages>
  <Words>1605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Administrativo</cp:lastModifiedBy>
  <cp:revision>122</cp:revision>
  <cp:lastPrinted>2026-04-01T18:10:00Z</cp:lastPrinted>
  <dcterms:created xsi:type="dcterms:W3CDTF">2015-07-01T23:47:00Z</dcterms:created>
  <dcterms:modified xsi:type="dcterms:W3CDTF">2026-04-06T19:24:00Z</dcterms:modified>
</cp:coreProperties>
</file>